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7"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155575</wp:posOffset>
            </wp:positionH>
            <wp:positionV relativeFrom="page">
              <wp:posOffset>266700</wp:posOffset>
            </wp:positionV>
            <wp:extent cx="726757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38735"/>
                    </a:xfrm>
                    <a:prstGeom prst="rect">
                      <a:avLst/>
                    </a:prstGeom>
                    <a:noFill/>
                  </pic:spPr>
                </pic:pic>
              </a:graphicData>
            </a:graphic>
          </wp:anchor>
        </w:drawing>
        <w:drawing>
          <wp:anchor simplePos="0" relativeHeight="251657728" behindDoc="1" locked="0" layoutInCell="0" allowOverlap="1">
            <wp:simplePos x="0" y="0"/>
            <wp:positionH relativeFrom="page">
              <wp:posOffset>2816225</wp:posOffset>
            </wp:positionH>
            <wp:positionV relativeFrom="page">
              <wp:posOffset>526415</wp:posOffset>
            </wp:positionV>
            <wp:extent cx="1929765" cy="2317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1929765" cy="231775"/>
                    </a:xfrm>
                    <a:prstGeom prst="rect">
                      <a:avLst/>
                    </a:prstGeom>
                    <a:noFill/>
                  </pic:spPr>
                </pic:pic>
              </a:graphicData>
            </a:graphic>
          </wp:anchor>
        </w:drawing>
      </w:r>
    </w:p>
    <w:p>
      <w:pPr>
        <w:jc w:val="center"/>
        <w:ind w:right="20"/>
        <w:spacing w:after="0"/>
        <w:rPr>
          <w:sz w:val="20"/>
          <w:szCs w:val="20"/>
          <w:color w:val="auto"/>
        </w:rPr>
      </w:pPr>
      <w:r>
        <w:rPr>
          <w:rFonts w:ascii="Arial" w:cs="Arial" w:eastAsia="Arial" w:hAnsi="Arial"/>
          <w:sz w:val="24"/>
          <w:szCs w:val="24"/>
          <w:color w:val="auto"/>
        </w:rPr>
        <w:t>United States</w:t>
      </w:r>
    </w:p>
    <w:p>
      <w:pPr>
        <w:spacing w:after="0" w:line="28" w:lineRule="exact"/>
        <w:rPr>
          <w:sz w:val="24"/>
          <w:szCs w:val="24"/>
          <w:color w:val="auto"/>
        </w:rPr>
      </w:pPr>
    </w:p>
    <w:p>
      <w:pPr>
        <w:jc w:val="center"/>
        <w:ind w:right="20"/>
        <w:spacing w:after="0"/>
        <w:rPr>
          <w:sz w:val="20"/>
          <w:szCs w:val="20"/>
          <w:color w:val="auto"/>
        </w:rPr>
      </w:pPr>
      <w:r>
        <w:rPr>
          <w:rFonts w:ascii="Arial" w:cs="Arial" w:eastAsia="Arial" w:hAnsi="Arial"/>
          <w:sz w:val="24"/>
          <w:szCs w:val="24"/>
          <w:color w:val="auto"/>
        </w:rPr>
        <w:t>Securities and Exchange Commission</w:t>
      </w:r>
    </w:p>
    <w:p>
      <w:pPr>
        <w:spacing w:after="0" w:line="135" w:lineRule="exact"/>
        <w:rPr>
          <w:sz w:val="24"/>
          <w:szCs w:val="24"/>
          <w:color w:val="auto"/>
        </w:rPr>
      </w:pPr>
    </w:p>
    <w:p>
      <w:pPr>
        <w:jc w:val="center"/>
        <w:ind w:right="20"/>
        <w:spacing w:after="0"/>
        <w:rPr>
          <w:sz w:val="20"/>
          <w:szCs w:val="20"/>
          <w:color w:val="auto"/>
        </w:rPr>
      </w:pPr>
      <w:r>
        <w:rPr>
          <w:rFonts w:ascii="Arial" w:cs="Arial" w:eastAsia="Arial" w:hAnsi="Arial"/>
          <w:sz w:val="22"/>
          <w:szCs w:val="22"/>
          <w:color w:val="auto"/>
        </w:rPr>
        <w:t>Washington, D.C. 20549</w:t>
      </w:r>
    </w:p>
    <w:p>
      <w:pPr>
        <w:spacing w:after="0" w:line="127" w:lineRule="exact"/>
        <w:rPr>
          <w:sz w:val="24"/>
          <w:szCs w:val="24"/>
          <w:color w:val="auto"/>
        </w:rPr>
      </w:pPr>
    </w:p>
    <w:p>
      <w:pPr>
        <w:jc w:val="center"/>
        <w:ind w:right="20"/>
        <w:spacing w:after="0"/>
        <w:rPr>
          <w:sz w:val="20"/>
          <w:szCs w:val="20"/>
          <w:color w:val="auto"/>
        </w:rPr>
      </w:pPr>
      <w:r>
        <w:rPr>
          <w:rFonts w:ascii="Arial" w:cs="Arial" w:eastAsia="Arial" w:hAnsi="Arial"/>
          <w:sz w:val="32"/>
          <w:szCs w:val="32"/>
          <w:color w:val="auto"/>
        </w:rPr>
        <w:t>Form 10-K</w:t>
      </w:r>
    </w:p>
    <w:p>
      <w:pPr>
        <w:spacing w:after="0" w:line="151"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Annual Report pursuant to section 13 or 15(d) of</w:t>
      </w:r>
    </w:p>
    <w:p>
      <w:pPr>
        <w:spacing w:after="0" w:line="14"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the Securities Exchange Act of 1934</w:t>
      </w:r>
    </w:p>
    <w:p>
      <w:pPr>
        <w:spacing w:after="0" w:line="134" w:lineRule="exact"/>
        <w:rPr>
          <w:sz w:val="24"/>
          <w:szCs w:val="24"/>
          <w:color w:val="auto"/>
        </w:rPr>
      </w:pPr>
    </w:p>
    <w:p>
      <w:pPr>
        <w:jc w:val="center"/>
        <w:ind w:right="20"/>
        <w:spacing w:after="0"/>
        <w:tabs>
          <w:tab w:leader="none" w:pos="160" w:val="left"/>
          <w:tab w:leader="none" w:pos="160" w:val="left"/>
        </w:tabs>
        <w:rPr>
          <w:sz w:val="20"/>
          <w:szCs w:val="20"/>
          <w:color w:val="auto"/>
        </w:rPr>
      </w:pPr>
      <w:r>
        <w:rPr>
          <w:rFonts w:ascii="Arial" w:cs="Arial" w:eastAsia="Arial" w:hAnsi="Arial"/>
          <w:sz w:val="16"/>
          <w:szCs w:val="16"/>
          <w:color w:val="auto"/>
        </w:rPr>
        <w:t>For the fiscal year ended May 31, 2010</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Commission File No. 000-19860</w:t>
      </w:r>
    </w:p>
    <w:p>
      <w:pPr>
        <w:spacing w:after="0" w:line="123" w:lineRule="exact"/>
        <w:rPr>
          <w:sz w:val="24"/>
          <w:szCs w:val="24"/>
          <w:color w:val="auto"/>
        </w:rPr>
      </w:pPr>
    </w:p>
    <w:p>
      <w:pPr>
        <w:jc w:val="center"/>
        <w:ind w:right="20"/>
        <w:spacing w:after="0"/>
        <w:rPr>
          <w:sz w:val="20"/>
          <w:szCs w:val="20"/>
          <w:color w:val="auto"/>
        </w:rPr>
      </w:pPr>
      <w:r>
        <w:rPr>
          <w:rFonts w:ascii="Arial" w:cs="Arial" w:eastAsia="Arial" w:hAnsi="Arial"/>
          <w:sz w:val="43"/>
          <w:szCs w:val="43"/>
          <w:b w:val="1"/>
          <w:bCs w:val="1"/>
          <w:color w:val="auto"/>
        </w:rPr>
        <w:t>Scholastic Corporation</w:t>
      </w:r>
    </w:p>
    <w:p>
      <w:pPr>
        <w:spacing w:after="0" w:line="189"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(Exact name of Registrant as specified in its charter)</w:t>
      </w:r>
    </w:p>
    <w:p>
      <w:pPr>
        <w:spacing w:after="0" w:line="255" w:lineRule="exact"/>
        <w:rPr>
          <w:sz w:val="24"/>
          <w:szCs w:val="24"/>
          <w:color w:val="auto"/>
        </w:rPr>
      </w:pPr>
    </w:p>
    <w:tbl>
      <w:tblPr>
        <w:tblLayout w:type="fixed"/>
        <w:tblInd w:w="1600" w:type="dxa"/>
        <w:tblCellMar>
          <w:top w:w="0" w:type="dxa"/>
          <w:left w:w="0" w:type="dxa"/>
          <w:bottom w:w="0" w:type="dxa"/>
          <w:right w:w="0" w:type="dxa"/>
        </w:tblCellMar>
      </w:tblPr>
      <w:tr>
        <w:trPr>
          <w:trHeight w:val="213"/>
        </w:trPr>
        <w:tc>
          <w:tcPr>
            <w:tcW w:w="4440" w:type="dxa"/>
            <w:vAlign w:val="bottom"/>
          </w:tcPr>
          <w:p>
            <w:pPr>
              <w:jc w:val="center"/>
              <w:ind w:right="1432"/>
              <w:spacing w:after="0"/>
              <w:rPr>
                <w:sz w:val="20"/>
                <w:szCs w:val="20"/>
                <w:color w:val="auto"/>
              </w:rPr>
            </w:pPr>
            <w:r>
              <w:rPr>
                <w:rFonts w:ascii="Arial" w:cs="Arial" w:eastAsia="Arial" w:hAnsi="Arial"/>
                <w:sz w:val="18"/>
                <w:szCs w:val="18"/>
                <w:b w:val="1"/>
                <w:bCs w:val="1"/>
                <w:color w:val="auto"/>
                <w:w w:val="96"/>
              </w:rPr>
              <w:t>Delaware</w:t>
            </w:r>
          </w:p>
        </w:tc>
        <w:tc>
          <w:tcPr>
            <w:tcW w:w="3940" w:type="dxa"/>
            <w:vAlign w:val="bottom"/>
          </w:tcPr>
          <w:p>
            <w:pPr>
              <w:jc w:val="right"/>
              <w:ind w:right="652"/>
              <w:spacing w:after="0"/>
              <w:rPr>
                <w:sz w:val="20"/>
                <w:szCs w:val="20"/>
                <w:color w:val="auto"/>
              </w:rPr>
            </w:pPr>
            <w:r>
              <w:rPr>
                <w:rFonts w:ascii="Arial" w:cs="Arial" w:eastAsia="Arial" w:hAnsi="Arial"/>
                <w:sz w:val="18"/>
                <w:szCs w:val="18"/>
                <w:b w:val="1"/>
                <w:bCs w:val="1"/>
                <w:color w:val="auto"/>
              </w:rPr>
              <w:t>13-3385513</w:t>
            </w:r>
          </w:p>
        </w:tc>
      </w:tr>
      <w:tr>
        <w:trPr>
          <w:trHeight w:val="216"/>
        </w:trPr>
        <w:tc>
          <w:tcPr>
            <w:tcW w:w="4440" w:type="dxa"/>
            <w:vAlign w:val="bottom"/>
          </w:tcPr>
          <w:p>
            <w:pPr>
              <w:jc w:val="center"/>
              <w:ind w:right="1432"/>
              <w:spacing w:after="0"/>
              <w:rPr>
                <w:sz w:val="20"/>
                <w:szCs w:val="20"/>
                <w:color w:val="auto"/>
              </w:rPr>
            </w:pPr>
            <w:r>
              <w:rPr>
                <w:rFonts w:ascii="Arial" w:cs="Arial" w:eastAsia="Arial" w:hAnsi="Arial"/>
                <w:sz w:val="18"/>
                <w:szCs w:val="18"/>
                <w:color w:val="auto"/>
                <w:w w:val="90"/>
              </w:rPr>
              <w:t>(State or other jurisdiction of</w:t>
            </w:r>
          </w:p>
        </w:tc>
        <w:tc>
          <w:tcPr>
            <w:tcW w:w="3940" w:type="dxa"/>
            <w:vAlign w:val="bottom"/>
          </w:tcPr>
          <w:p>
            <w:pPr>
              <w:jc w:val="center"/>
              <w:ind w:left="1432"/>
              <w:spacing w:after="0"/>
              <w:rPr>
                <w:sz w:val="20"/>
                <w:szCs w:val="20"/>
                <w:color w:val="auto"/>
              </w:rPr>
            </w:pPr>
            <w:r>
              <w:rPr>
                <w:rFonts w:ascii="Arial" w:cs="Arial" w:eastAsia="Arial" w:hAnsi="Arial"/>
                <w:sz w:val="18"/>
                <w:szCs w:val="18"/>
                <w:color w:val="auto"/>
                <w:w w:val="92"/>
              </w:rPr>
              <w:t>(IRS Employer Identification No.)</w:t>
            </w:r>
          </w:p>
        </w:tc>
      </w:tr>
      <w:tr>
        <w:trPr>
          <w:trHeight w:val="222"/>
        </w:trPr>
        <w:tc>
          <w:tcPr>
            <w:tcW w:w="4440" w:type="dxa"/>
            <w:vAlign w:val="bottom"/>
          </w:tcPr>
          <w:p>
            <w:pPr>
              <w:jc w:val="center"/>
              <w:ind w:right="1432"/>
              <w:spacing w:after="0"/>
              <w:rPr>
                <w:sz w:val="20"/>
                <w:szCs w:val="20"/>
                <w:color w:val="auto"/>
              </w:rPr>
            </w:pPr>
            <w:r>
              <w:rPr>
                <w:rFonts w:ascii="Arial" w:cs="Arial" w:eastAsia="Arial" w:hAnsi="Arial"/>
                <w:sz w:val="18"/>
                <w:szCs w:val="18"/>
                <w:color w:val="auto"/>
                <w:w w:val="90"/>
              </w:rPr>
              <w:t>incorporation or organization)</w:t>
            </w:r>
          </w:p>
        </w:tc>
        <w:tc>
          <w:tcPr>
            <w:tcW w:w="3940" w:type="dxa"/>
            <w:vAlign w:val="bottom"/>
          </w:tcPr>
          <w:p>
            <w:pPr>
              <w:spacing w:after="0"/>
              <w:rPr>
                <w:sz w:val="19"/>
                <w:szCs w:val="19"/>
                <w:color w:val="auto"/>
              </w:rPr>
            </w:pPr>
          </w:p>
        </w:tc>
      </w:tr>
      <w:tr>
        <w:trPr>
          <w:trHeight w:val="345"/>
        </w:trPr>
        <w:tc>
          <w:tcPr>
            <w:tcW w:w="4440" w:type="dxa"/>
            <w:vAlign w:val="bottom"/>
          </w:tcPr>
          <w:p>
            <w:pPr>
              <w:jc w:val="center"/>
              <w:ind w:right="1432"/>
              <w:spacing w:after="0"/>
              <w:rPr>
                <w:sz w:val="20"/>
                <w:szCs w:val="20"/>
                <w:color w:val="auto"/>
              </w:rPr>
            </w:pPr>
            <w:r>
              <w:rPr>
                <w:rFonts w:ascii="Arial" w:cs="Arial" w:eastAsia="Arial" w:hAnsi="Arial"/>
                <w:sz w:val="18"/>
                <w:szCs w:val="18"/>
                <w:b w:val="1"/>
                <w:bCs w:val="1"/>
                <w:color w:val="auto"/>
                <w:w w:val="95"/>
              </w:rPr>
              <w:t>557 Broadway, New York, New York</w:t>
            </w:r>
          </w:p>
        </w:tc>
        <w:tc>
          <w:tcPr>
            <w:tcW w:w="3940" w:type="dxa"/>
            <w:vAlign w:val="bottom"/>
          </w:tcPr>
          <w:p>
            <w:pPr>
              <w:jc w:val="right"/>
              <w:ind w:right="872"/>
              <w:spacing w:after="0"/>
              <w:rPr>
                <w:sz w:val="20"/>
                <w:szCs w:val="20"/>
                <w:color w:val="auto"/>
              </w:rPr>
            </w:pPr>
            <w:r>
              <w:rPr>
                <w:rFonts w:ascii="Arial" w:cs="Arial" w:eastAsia="Arial" w:hAnsi="Arial"/>
                <w:sz w:val="18"/>
                <w:szCs w:val="18"/>
                <w:b w:val="1"/>
                <w:bCs w:val="1"/>
                <w:color w:val="auto"/>
              </w:rPr>
              <w:t>10012</w:t>
            </w:r>
          </w:p>
        </w:tc>
      </w:tr>
      <w:tr>
        <w:trPr>
          <w:trHeight w:val="222"/>
        </w:trPr>
        <w:tc>
          <w:tcPr>
            <w:tcW w:w="4440" w:type="dxa"/>
            <w:vAlign w:val="bottom"/>
          </w:tcPr>
          <w:p>
            <w:pPr>
              <w:jc w:val="center"/>
              <w:ind w:right="1432"/>
              <w:spacing w:after="0"/>
              <w:rPr>
                <w:sz w:val="20"/>
                <w:szCs w:val="20"/>
                <w:color w:val="auto"/>
              </w:rPr>
            </w:pPr>
            <w:r>
              <w:rPr>
                <w:rFonts w:ascii="Arial" w:cs="Arial" w:eastAsia="Arial" w:hAnsi="Arial"/>
                <w:sz w:val="18"/>
                <w:szCs w:val="18"/>
                <w:color w:val="auto"/>
                <w:w w:val="90"/>
              </w:rPr>
              <w:t>(Address of principal executive offices)</w:t>
            </w:r>
          </w:p>
        </w:tc>
        <w:tc>
          <w:tcPr>
            <w:tcW w:w="3940" w:type="dxa"/>
            <w:vAlign w:val="bottom"/>
          </w:tcPr>
          <w:p>
            <w:pPr>
              <w:jc w:val="center"/>
              <w:ind w:left="1432"/>
              <w:spacing w:after="0"/>
              <w:rPr>
                <w:sz w:val="20"/>
                <w:szCs w:val="20"/>
                <w:color w:val="auto"/>
              </w:rPr>
            </w:pPr>
            <w:r>
              <w:rPr>
                <w:rFonts w:ascii="Arial" w:cs="Arial" w:eastAsia="Arial" w:hAnsi="Arial"/>
                <w:sz w:val="18"/>
                <w:szCs w:val="18"/>
                <w:color w:val="auto"/>
                <w:w w:val="91"/>
              </w:rPr>
              <w:t>(Zip Code)</w:t>
            </w:r>
          </w:p>
        </w:tc>
      </w:tr>
    </w:tbl>
    <w:p>
      <w:pPr>
        <w:spacing w:after="0" w:line="210"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Registrant’s telephone number, including area code: (212) 343-6100</w:t>
      </w:r>
    </w:p>
    <w:p>
      <w:pPr>
        <w:spacing w:after="0" w:line="15"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221615</wp:posOffset>
            </wp:positionV>
            <wp:extent cx="72637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4"/>
          <w:szCs w:val="24"/>
          <w:color w:val="auto"/>
        </w:rPr>
      </w:pPr>
    </w:p>
    <w:p>
      <w:pPr>
        <w:spacing w:after="0" w:line="234" w:lineRule="exact"/>
        <w:rPr>
          <w:sz w:val="24"/>
          <w:szCs w:val="24"/>
          <w:color w:val="auto"/>
        </w:rPr>
      </w:pPr>
    </w:p>
    <w:tbl>
      <w:tblPr>
        <w:tblLayout w:type="fixed"/>
        <w:tblInd w:w="0" w:type="dxa"/>
        <w:tblCellMar>
          <w:top w:w="0" w:type="dxa"/>
          <w:left w:w="0" w:type="dxa"/>
          <w:bottom w:w="0" w:type="dxa"/>
          <w:right w:w="0" w:type="dxa"/>
        </w:tblCellMar>
      </w:tblPr>
      <w:tr>
        <w:trPr>
          <w:trHeight w:val="178"/>
        </w:trPr>
        <w:tc>
          <w:tcPr>
            <w:tcW w:w="5540" w:type="dxa"/>
            <w:vAlign w:val="bottom"/>
          </w:tcPr>
          <w:p>
            <w:pPr>
              <w:jc w:val="center"/>
              <w:ind w:left="122"/>
              <w:spacing w:after="0"/>
              <w:rPr>
                <w:sz w:val="20"/>
                <w:szCs w:val="20"/>
                <w:color w:val="auto"/>
              </w:rPr>
            </w:pPr>
            <w:r>
              <w:rPr>
                <w:rFonts w:ascii="Arial" w:cs="Arial" w:eastAsia="Arial" w:hAnsi="Arial"/>
                <w:sz w:val="14"/>
                <w:szCs w:val="14"/>
                <w:b w:val="1"/>
                <w:bCs w:val="1"/>
                <w:color w:val="auto"/>
                <w:w w:val="96"/>
              </w:rPr>
              <w:t>Title of class</w:t>
            </w:r>
          </w:p>
        </w:tc>
        <w:tc>
          <w:tcPr>
            <w:tcW w:w="5900" w:type="dxa"/>
            <w:vAlign w:val="bottom"/>
          </w:tcPr>
          <w:p>
            <w:pPr>
              <w:jc w:val="center"/>
              <w:ind w:left="82"/>
              <w:spacing w:after="0"/>
              <w:rPr>
                <w:sz w:val="20"/>
                <w:szCs w:val="20"/>
                <w:color w:val="auto"/>
              </w:rPr>
            </w:pPr>
            <w:r>
              <w:rPr>
                <w:rFonts w:ascii="Arial" w:cs="Arial" w:eastAsia="Arial" w:hAnsi="Arial"/>
                <w:sz w:val="14"/>
                <w:szCs w:val="14"/>
                <w:b w:val="1"/>
                <w:bCs w:val="1"/>
                <w:color w:val="auto"/>
                <w:w w:val="96"/>
              </w:rPr>
              <w:t>Name of Each Exchange on Which Registered</w:t>
            </w:r>
          </w:p>
        </w:tc>
      </w:tr>
      <w:tr>
        <w:trPr>
          <w:trHeight w:val="95"/>
        </w:trPr>
        <w:tc>
          <w:tcPr>
            <w:tcW w:w="5540" w:type="dxa"/>
            <w:vAlign w:val="bottom"/>
            <w:tcBorders>
              <w:bottom w:val="single" w:sz="8" w:color="auto"/>
            </w:tcBorders>
          </w:tcPr>
          <w:p>
            <w:pPr>
              <w:spacing w:after="0"/>
              <w:rPr>
                <w:sz w:val="8"/>
                <w:szCs w:val="8"/>
                <w:color w:val="auto"/>
              </w:rPr>
            </w:pPr>
          </w:p>
        </w:tc>
        <w:tc>
          <w:tcPr>
            <w:tcW w:w="5900" w:type="dxa"/>
            <w:vAlign w:val="bottom"/>
            <w:tcBorders>
              <w:bottom w:val="single" w:sz="8" w:color="auto"/>
            </w:tcBorders>
          </w:tcPr>
          <w:p>
            <w:pPr>
              <w:spacing w:after="0"/>
              <w:rPr>
                <w:sz w:val="8"/>
                <w:szCs w:val="8"/>
                <w:color w:val="auto"/>
              </w:rPr>
            </w:pPr>
          </w:p>
        </w:tc>
      </w:tr>
      <w:tr>
        <w:trPr>
          <w:trHeight w:val="316"/>
        </w:trPr>
        <w:tc>
          <w:tcPr>
            <w:tcW w:w="5540" w:type="dxa"/>
            <w:vAlign w:val="bottom"/>
          </w:tcPr>
          <w:p>
            <w:pPr>
              <w:jc w:val="center"/>
              <w:ind w:left="102"/>
              <w:spacing w:after="0"/>
              <w:rPr>
                <w:sz w:val="20"/>
                <w:szCs w:val="20"/>
                <w:color w:val="auto"/>
              </w:rPr>
            </w:pPr>
            <w:r>
              <w:rPr>
                <w:rFonts w:ascii="Arial" w:cs="Arial" w:eastAsia="Arial" w:hAnsi="Arial"/>
                <w:sz w:val="18"/>
                <w:szCs w:val="18"/>
                <w:color w:val="auto"/>
                <w:w w:val="88"/>
              </w:rPr>
              <w:t>Common Stock, $0.01 par value</w:t>
            </w:r>
          </w:p>
        </w:tc>
        <w:tc>
          <w:tcPr>
            <w:tcW w:w="5900" w:type="dxa"/>
            <w:vAlign w:val="bottom"/>
          </w:tcPr>
          <w:p>
            <w:pPr>
              <w:jc w:val="center"/>
              <w:ind w:left="82"/>
              <w:spacing w:after="0"/>
              <w:rPr>
                <w:sz w:val="20"/>
                <w:szCs w:val="20"/>
                <w:color w:val="auto"/>
              </w:rPr>
            </w:pPr>
            <w:r>
              <w:rPr>
                <w:rFonts w:ascii="Arial" w:cs="Arial" w:eastAsia="Arial" w:hAnsi="Arial"/>
                <w:sz w:val="18"/>
                <w:szCs w:val="18"/>
                <w:color w:val="auto"/>
                <w:w w:val="93"/>
              </w:rPr>
              <w:t>The NASDAQ Stock Market LLC</w:t>
            </w:r>
          </w:p>
        </w:tc>
      </w:tr>
      <w:tr>
        <w:trPr>
          <w:trHeight w:val="110"/>
        </w:trPr>
        <w:tc>
          <w:tcPr>
            <w:tcW w:w="5540" w:type="dxa"/>
            <w:vAlign w:val="bottom"/>
            <w:tcBorders>
              <w:bottom w:val="single" w:sz="8" w:color="808080"/>
            </w:tcBorders>
          </w:tcPr>
          <w:p>
            <w:pPr>
              <w:spacing w:after="0"/>
              <w:rPr>
                <w:sz w:val="9"/>
                <w:szCs w:val="9"/>
                <w:color w:val="auto"/>
              </w:rPr>
            </w:pPr>
          </w:p>
        </w:tc>
        <w:tc>
          <w:tcPr>
            <w:tcW w:w="5900" w:type="dxa"/>
            <w:vAlign w:val="bottom"/>
            <w:tcBorders>
              <w:bottom w:val="single" w:sz="8" w:color="808080"/>
            </w:tcBorders>
          </w:tcPr>
          <w:p>
            <w:pPr>
              <w:spacing w:after="0"/>
              <w:rPr>
                <w:sz w:val="9"/>
                <w:szCs w:val="9"/>
                <w:color w:val="auto"/>
              </w:rPr>
            </w:pPr>
          </w:p>
        </w:tc>
      </w:tr>
    </w:tbl>
    <w:p>
      <w:pPr>
        <w:spacing w:after="0" w:line="316"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Securities Registered Pursuant to Section 12(g) of the Act:</w:t>
      </w:r>
    </w:p>
    <w:p>
      <w:pPr>
        <w:spacing w:after="0" w:line="15"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NONE</w:t>
      </w:r>
    </w:p>
    <w:p>
      <w:pPr>
        <w:spacing w:after="0" w:line="219" w:lineRule="exact"/>
        <w:rPr>
          <w:sz w:val="24"/>
          <w:szCs w:val="24"/>
          <w:color w:val="auto"/>
        </w:rPr>
      </w:pPr>
    </w:p>
    <w:p>
      <w:pPr>
        <w:ind w:left="220"/>
        <w:spacing w:after="0"/>
        <w:rPr>
          <w:sz w:val="20"/>
          <w:szCs w:val="20"/>
          <w:color w:val="auto"/>
        </w:rPr>
      </w:pPr>
      <w:r>
        <w:rPr>
          <w:rFonts w:ascii="Arial" w:cs="Arial" w:eastAsia="Arial" w:hAnsi="Arial"/>
          <w:sz w:val="18"/>
          <w:szCs w:val="18"/>
          <w:color w:val="auto"/>
        </w:rPr>
        <w:t>Indicate by check mark if the Registrant is a well-known seasoned issuer, as defined in Rule 405 of the Securities Act.</w:t>
      </w:r>
    </w:p>
    <w:p>
      <w:pPr>
        <w:spacing w:after="0" w:line="15" w:lineRule="exact"/>
        <w:rPr>
          <w:sz w:val="24"/>
          <w:szCs w:val="24"/>
          <w:color w:val="auto"/>
        </w:rPr>
      </w:pPr>
    </w:p>
    <w:p>
      <w:pPr>
        <w:spacing w:after="0"/>
        <w:rPr>
          <w:sz w:val="20"/>
          <w:szCs w:val="20"/>
          <w:color w:val="auto"/>
        </w:rPr>
      </w:pPr>
      <w:r>
        <w:rPr>
          <w:rFonts w:ascii="Arial" w:cs="Arial" w:eastAsia="Arial" w:hAnsi="Arial"/>
          <w:sz w:val="18"/>
          <w:szCs w:val="18"/>
          <w:color w:val="auto"/>
        </w:rPr>
        <w:t>Yes x No o</w:t>
      </w:r>
    </w:p>
    <w:p>
      <w:pPr>
        <w:spacing w:after="0" w:line="219" w:lineRule="exact"/>
        <w:rPr>
          <w:sz w:val="24"/>
          <w:szCs w:val="24"/>
          <w:color w:val="auto"/>
        </w:rPr>
      </w:pPr>
    </w:p>
    <w:p>
      <w:pPr>
        <w:ind w:left="220"/>
        <w:spacing w:after="0"/>
        <w:rPr>
          <w:sz w:val="20"/>
          <w:szCs w:val="20"/>
          <w:color w:val="auto"/>
        </w:rPr>
      </w:pPr>
      <w:r>
        <w:rPr>
          <w:rFonts w:ascii="Arial" w:cs="Arial" w:eastAsia="Arial" w:hAnsi="Arial"/>
          <w:sz w:val="18"/>
          <w:szCs w:val="18"/>
          <w:color w:val="auto"/>
        </w:rPr>
        <w:t>Indicate by check mark if the Registrant is not required to file reports pursuant to Section 13 or Section 15(d) of the Act.</w:t>
      </w:r>
    </w:p>
    <w:p>
      <w:pPr>
        <w:spacing w:after="0" w:line="15" w:lineRule="exact"/>
        <w:rPr>
          <w:sz w:val="24"/>
          <w:szCs w:val="24"/>
          <w:color w:val="auto"/>
        </w:rPr>
      </w:pPr>
    </w:p>
    <w:p>
      <w:pPr>
        <w:spacing w:after="0"/>
        <w:rPr>
          <w:sz w:val="20"/>
          <w:szCs w:val="20"/>
          <w:color w:val="auto"/>
        </w:rPr>
      </w:pPr>
      <w:r>
        <w:rPr>
          <w:rFonts w:ascii="Arial" w:cs="Arial" w:eastAsia="Arial" w:hAnsi="Arial"/>
          <w:sz w:val="18"/>
          <w:szCs w:val="18"/>
          <w:color w:val="auto"/>
        </w:rPr>
        <w:t>Yes o No x</w:t>
      </w:r>
    </w:p>
    <w:p>
      <w:pPr>
        <w:spacing w:after="0" w:line="219" w:lineRule="exact"/>
        <w:rPr>
          <w:sz w:val="24"/>
          <w:szCs w:val="24"/>
          <w:color w:val="auto"/>
        </w:rPr>
      </w:pPr>
    </w:p>
    <w:p>
      <w:pPr>
        <w:ind w:right="480" w:firstLine="220"/>
        <w:spacing w:after="0" w:line="259"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94" w:lineRule="exact"/>
        <w:rPr>
          <w:sz w:val="24"/>
          <w:szCs w:val="24"/>
          <w:color w:val="auto"/>
        </w:rPr>
      </w:pPr>
    </w:p>
    <w:p>
      <w:pPr>
        <w:ind w:right="220" w:firstLine="220"/>
        <w:spacing w:after="0" w:line="259"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website, if any, every Interactive Data File required to be submitted and posted pursuant to Rule 405 of Regulation S-T (229.405 of this chapter) during the preceding 12 months (or for such shorter period that the registrant was required to submit and post such files). Yes o No o</w:t>
      </w:r>
    </w:p>
    <w:p>
      <w:pPr>
        <w:spacing w:after="0" w:line="194" w:lineRule="exact"/>
        <w:rPr>
          <w:sz w:val="24"/>
          <w:szCs w:val="24"/>
          <w:color w:val="auto"/>
        </w:rPr>
      </w:pPr>
    </w:p>
    <w:p>
      <w:pPr>
        <w:jc w:val="both"/>
        <w:ind w:right="140" w:firstLine="220"/>
        <w:spacing w:after="0" w:line="259" w:lineRule="auto"/>
        <w:rPr>
          <w:sz w:val="20"/>
          <w:szCs w:val="20"/>
          <w:color w:val="auto"/>
        </w:rPr>
      </w:pPr>
      <w:r>
        <w:rPr>
          <w:rFonts w:ascii="Arial" w:cs="Arial" w:eastAsia="Arial" w:hAnsi="Arial"/>
          <w:sz w:val="18"/>
          <w:szCs w:val="18"/>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x</w:t>
      </w:r>
    </w:p>
    <w:p>
      <w:pPr>
        <w:spacing w:after="0" w:line="194" w:lineRule="exact"/>
        <w:rPr>
          <w:sz w:val="24"/>
          <w:szCs w:val="24"/>
          <w:color w:val="auto"/>
        </w:rPr>
      </w:pPr>
    </w:p>
    <w:p>
      <w:pPr>
        <w:ind w:right="440" w:firstLine="220"/>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 (Check one):</w:t>
      </w:r>
    </w:p>
    <w:p>
      <w:pPr>
        <w:spacing w:after="0" w:line="153" w:lineRule="exact"/>
        <w:rPr>
          <w:sz w:val="24"/>
          <w:szCs w:val="24"/>
          <w:color w:val="auto"/>
        </w:rPr>
      </w:pPr>
    </w:p>
    <w:p>
      <w:pPr>
        <w:ind w:left="580"/>
        <w:spacing w:after="0"/>
        <w:tabs>
          <w:tab w:leader="none" w:pos="3620" w:val="left"/>
          <w:tab w:leader="none" w:pos="6320" w:val="left"/>
          <w:tab w:leader="none" w:pos="8940" w:val="left"/>
        </w:tabs>
        <w:rPr>
          <w:sz w:val="20"/>
          <w:szCs w:val="20"/>
          <w:color w:val="auto"/>
        </w:rPr>
      </w:pPr>
      <w:r>
        <w:rPr>
          <w:rFonts w:ascii="Arial" w:cs="Arial" w:eastAsia="Arial" w:hAnsi="Arial"/>
          <w:sz w:val="18"/>
          <w:szCs w:val="18"/>
          <w:color w:val="auto"/>
        </w:rPr>
        <w:t>x Large accelerated filer</w:t>
      </w:r>
      <w:r>
        <w:rPr>
          <w:sz w:val="20"/>
          <w:szCs w:val="20"/>
          <w:color w:val="auto"/>
        </w:rPr>
        <w:tab/>
      </w:r>
      <w:r>
        <w:rPr>
          <w:rFonts w:ascii="Arial" w:cs="Arial" w:eastAsia="Arial" w:hAnsi="Arial"/>
          <w:sz w:val="18"/>
          <w:szCs w:val="18"/>
          <w:color w:val="auto"/>
        </w:rPr>
        <w:t>o Accelerated filer</w:t>
      </w:r>
      <w:r>
        <w:rPr>
          <w:sz w:val="20"/>
          <w:szCs w:val="20"/>
          <w:color w:val="auto"/>
        </w:rPr>
        <w:tab/>
      </w:r>
      <w:r>
        <w:rPr>
          <w:rFonts w:ascii="Arial" w:cs="Arial" w:eastAsia="Arial" w:hAnsi="Arial"/>
          <w:sz w:val="18"/>
          <w:szCs w:val="18"/>
          <w:color w:val="auto"/>
        </w:rPr>
        <w:t>o Non-accelerated filer</w:t>
      </w:r>
      <w:r>
        <w:rPr>
          <w:sz w:val="20"/>
          <w:szCs w:val="20"/>
          <w:color w:val="auto"/>
        </w:rPr>
        <w:tab/>
      </w:r>
      <w:r>
        <w:rPr>
          <w:rFonts w:ascii="Arial" w:cs="Arial" w:eastAsia="Arial" w:hAnsi="Arial"/>
          <w:sz w:val="16"/>
          <w:szCs w:val="16"/>
          <w:color w:val="auto"/>
        </w:rPr>
        <w:t>o Smaller reporting company</w:t>
      </w:r>
    </w:p>
    <w:p>
      <w:pPr>
        <w:spacing w:after="0" w:line="225" w:lineRule="exact"/>
        <w:rPr>
          <w:sz w:val="24"/>
          <w:szCs w:val="24"/>
          <w:color w:val="auto"/>
        </w:rPr>
      </w:pPr>
    </w:p>
    <w:p>
      <w:pPr>
        <w:ind w:left="22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Act). Yes o No x</w:t>
      </w:r>
    </w:p>
    <w:p>
      <w:pPr>
        <w:spacing w:after="0" w:line="225" w:lineRule="exact"/>
        <w:rPr>
          <w:sz w:val="24"/>
          <w:szCs w:val="24"/>
          <w:color w:val="auto"/>
        </w:rPr>
      </w:pPr>
    </w:p>
    <w:p>
      <w:pPr>
        <w:ind w:right="180" w:firstLine="216"/>
        <w:spacing w:after="0" w:line="332" w:lineRule="auto"/>
        <w:rPr>
          <w:sz w:val="20"/>
          <w:szCs w:val="20"/>
          <w:color w:val="auto"/>
        </w:rPr>
      </w:pPr>
      <w:r>
        <w:rPr>
          <w:rFonts w:ascii="Arial" w:cs="Arial" w:eastAsia="Arial" w:hAnsi="Arial"/>
          <w:sz w:val="16"/>
          <w:szCs w:val="16"/>
          <w:color w:val="auto"/>
        </w:rPr>
        <w:t>The aggregate market value of the Common Stock, par value $0.01, held by non-affiliates as of November 30, 2009, was approximately $770,528,774. As of such date, non-affiliates held no shares of the Class A Stock, $0.01 par value. There is no active market for the Class A Stock.</w:t>
      </w:r>
    </w:p>
    <w:p>
      <w:pPr>
        <w:spacing w:after="0" w:line="139" w:lineRule="exact"/>
        <w:rPr>
          <w:sz w:val="24"/>
          <w:szCs w:val="24"/>
          <w:color w:val="auto"/>
        </w:rPr>
      </w:pPr>
    </w:p>
    <w:p>
      <w:pPr>
        <w:ind w:right="180" w:firstLine="216"/>
        <w:spacing w:after="0" w:line="268" w:lineRule="auto"/>
        <w:rPr>
          <w:sz w:val="20"/>
          <w:szCs w:val="20"/>
          <w:color w:val="auto"/>
        </w:rPr>
      </w:pPr>
      <w:r>
        <w:rPr>
          <w:rFonts w:ascii="Arial" w:cs="Arial" w:eastAsia="Arial" w:hAnsi="Arial"/>
          <w:sz w:val="18"/>
          <w:szCs w:val="18"/>
          <w:color w:val="auto"/>
        </w:rPr>
        <w:t>The number of shares outstanding of each class of the Registrant’s voting stock as of June 30, 2010 was as follows: 34,491,261 shares of Common Stock and 1,656,200 shares of Class A Stock.</w:t>
      </w:r>
    </w:p>
    <w:p>
      <w:pPr>
        <w:spacing w:after="0" w:line="173" w:lineRule="exact"/>
        <w:rPr>
          <w:sz w:val="24"/>
          <w:szCs w:val="24"/>
          <w:color w:val="auto"/>
        </w:rPr>
      </w:pPr>
    </w:p>
    <w:p>
      <w:pPr>
        <w:jc w:val="center"/>
        <w:ind w:right="20"/>
        <w:spacing w:after="0"/>
        <w:rPr>
          <w:sz w:val="20"/>
          <w:szCs w:val="20"/>
          <w:color w:val="auto"/>
        </w:rPr>
      </w:pPr>
      <w:r>
        <w:rPr>
          <w:rFonts w:ascii="Arial" w:cs="Arial" w:eastAsia="Arial" w:hAnsi="Arial"/>
          <w:sz w:val="22"/>
          <w:szCs w:val="22"/>
          <w:color w:val="auto"/>
        </w:rPr>
        <w:t>Documents Incorporated By Reference</w:t>
      </w:r>
    </w:p>
    <w:p>
      <w:pPr>
        <w:spacing w:after="0" w:line="219" w:lineRule="exact"/>
        <w:rPr>
          <w:sz w:val="24"/>
          <w:szCs w:val="24"/>
          <w:color w:val="auto"/>
        </w:rPr>
      </w:pPr>
    </w:p>
    <w:p>
      <w:pPr>
        <w:ind w:right="500" w:firstLine="220"/>
        <w:spacing w:after="0" w:line="268" w:lineRule="auto"/>
        <w:rPr>
          <w:sz w:val="20"/>
          <w:szCs w:val="20"/>
          <w:color w:val="auto"/>
        </w:rPr>
      </w:pPr>
      <w:r>
        <w:rPr>
          <w:rFonts w:ascii="Arial" w:cs="Arial" w:eastAsia="Arial" w:hAnsi="Arial"/>
          <w:sz w:val="18"/>
          <w:szCs w:val="18"/>
          <w:color w:val="auto"/>
        </w:rPr>
        <w:t>Part III incorporates certain information by reference from the Registrant’s definitive proxy statement for the Annual Meeting of Stockholders to be held September 22, 2010.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63765" cy="4763"/>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3765" cy="4763"/>
                    </a:xfrm>
                    <a:prstGeom prst="rect">
                      <a:avLst/>
                    </a:prstGeom>
                    <a:noFill/>
                  </pic:spPr>
                </pic:pic>
              </a:graphicData>
            </a:graphic>
          </wp:anchor>
        </w:drawing>
      </w:r>
    </w:p>
    <w:p>
      <w:pPr>
        <w:sectPr>
          <w:pgSz w:w="11900" w:h="16906" w:orient="portrait"/>
          <w:cols w:equalWidth="0" w:num="1">
            <w:col w:w="11440"/>
          </w:cols>
          <w:pgMar w:left="240" w:top="1321" w:right="219" w:bottom="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81"/>
        </w:trPr>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60" w:type="dxa"/>
            <w:vAlign w:val="bottom"/>
            <w:gridSpan w:val="19"/>
          </w:tcPr>
          <w:p>
            <w:pPr>
              <w:ind w:left="900"/>
              <w:spacing w:after="0"/>
              <w:rPr>
                <w:sz w:val="20"/>
                <w:szCs w:val="20"/>
                <w:color w:val="auto"/>
              </w:rPr>
            </w:pPr>
            <w:r>
              <w:rPr>
                <w:rFonts w:ascii="Arial" w:cs="Arial" w:eastAsia="Arial" w:hAnsi="Arial"/>
                <w:sz w:val="22"/>
                <w:szCs w:val="22"/>
                <w:b w:val="1"/>
                <w:bCs w:val="1"/>
                <w:color w:val="auto"/>
              </w:rPr>
              <w:t>Table of Contents</w:t>
            </w: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1"/>
        </w:trPr>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311"/>
        </w:trPr>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Borders>
              <w:bottom w:val="single" w:sz="8" w:color="0000EE"/>
            </w:tcBorders>
          </w:tcPr>
          <w:p>
            <w:pPr>
              <w:jc w:val="center"/>
              <w:spacing w:after="0"/>
              <w:rPr>
                <w:rFonts w:ascii="Arial" w:cs="Arial" w:eastAsia="Arial" w:hAnsi="Arial"/>
                <w:sz w:val="18"/>
                <w:szCs w:val="18"/>
                <w:b w:val="1"/>
                <w:bCs w:val="1"/>
                <w:color w:val="0000EE"/>
                <w:w w:val="97"/>
              </w:rPr>
            </w:pPr>
            <w:hyperlink w:anchor="page4">
              <w:r>
                <w:rPr>
                  <w:rFonts w:ascii="Arial" w:cs="Arial" w:eastAsia="Arial" w:hAnsi="Arial"/>
                  <w:sz w:val="18"/>
                  <w:szCs w:val="18"/>
                  <w:b w:val="1"/>
                  <w:bCs w:val="1"/>
                  <w:color w:val="0000EE"/>
                  <w:w w:val="97"/>
                </w:rPr>
                <w:t>Part I</w:t>
              </w:r>
            </w:hyperlink>
          </w:p>
        </w:tc>
        <w:tc>
          <w:tcPr>
            <w:tcW w:w="4000" w:type="dxa"/>
            <w:vAlign w:val="bottom"/>
            <w:gridSpan w:val="10"/>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920" w:type="dxa"/>
            <w:vAlign w:val="bottom"/>
            <w:gridSpan w:val="3"/>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Item 1.</w:t>
              </w:r>
            </w:hyperlink>
          </w:p>
        </w:tc>
        <w:tc>
          <w:tcPr>
            <w:tcW w:w="9140" w:type="dxa"/>
            <w:vAlign w:val="bottom"/>
            <w:gridSpan w:val="35"/>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Business</w:t>
              </w:r>
            </w:hyperlink>
          </w:p>
        </w:tc>
        <w:tc>
          <w:tcPr>
            <w:tcW w:w="14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0" w:type="dxa"/>
            <w:vAlign w:val="bottom"/>
            <w:gridSpan w:val="2"/>
          </w:tcPr>
          <w:p>
            <w:pPr>
              <w:spacing w:after="0" w:line="196" w:lineRule="exact"/>
              <w:rPr>
                <w:rFonts w:ascii="Arial" w:cs="Arial" w:eastAsia="Arial" w:hAnsi="Arial"/>
                <w:sz w:val="18"/>
                <w:szCs w:val="18"/>
                <w:b w:val="1"/>
                <w:bCs w:val="1"/>
                <w:color w:val="0000EE"/>
                <w:w w:val="88"/>
              </w:rPr>
            </w:pPr>
            <w:hyperlink w:anchor="page13">
              <w:r>
                <w:rPr>
                  <w:rFonts w:ascii="Arial" w:cs="Arial" w:eastAsia="Arial" w:hAnsi="Arial"/>
                  <w:sz w:val="18"/>
                  <w:szCs w:val="18"/>
                  <w:b w:val="1"/>
                  <w:bCs w:val="1"/>
                  <w:color w:val="0000EE"/>
                  <w:w w:val="88"/>
                </w:rPr>
                <w:t>Item 1A.</w:t>
              </w:r>
            </w:hyperlink>
          </w:p>
        </w:tc>
        <w:tc>
          <w:tcPr>
            <w:tcW w:w="260" w:type="dxa"/>
            <w:vAlign w:val="bottom"/>
          </w:tcPr>
          <w:p>
            <w:pPr>
              <w:spacing w:after="0"/>
              <w:rPr>
                <w:sz w:val="17"/>
                <w:szCs w:val="17"/>
                <w:color w:val="auto"/>
              </w:rPr>
            </w:pPr>
          </w:p>
        </w:tc>
        <w:tc>
          <w:tcPr>
            <w:tcW w:w="9140" w:type="dxa"/>
            <w:vAlign w:val="bottom"/>
            <w:gridSpan w:val="35"/>
          </w:tcPr>
          <w:p>
            <w:pPr>
              <w:spacing w:after="0" w:line="196" w:lineRule="exact"/>
              <w:rPr>
                <w:rFonts w:ascii="Arial" w:cs="Arial" w:eastAsia="Arial" w:hAnsi="Arial"/>
                <w:sz w:val="18"/>
                <w:szCs w:val="18"/>
                <w:color w:val="0000EE"/>
              </w:rPr>
            </w:pPr>
            <w:hyperlink w:anchor="page13">
              <w:r>
                <w:rPr>
                  <w:rFonts w:ascii="Arial" w:cs="Arial" w:eastAsia="Arial" w:hAnsi="Arial"/>
                  <w:sz w:val="18"/>
                  <w:szCs w:val="18"/>
                  <w:color w:val="0000EE"/>
                </w:rPr>
                <w:t>Risk Factors</w:t>
              </w:r>
            </w:hyperlink>
          </w:p>
        </w:tc>
        <w:tc>
          <w:tcPr>
            <w:tcW w:w="140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c>
          <w:tcPr>
            <w:tcW w:w="720" w:type="dxa"/>
            <w:vAlign w:val="bottom"/>
            <w:tcBorders>
              <w:righ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0" w:type="dxa"/>
            <w:vAlign w:val="bottom"/>
            <w:gridSpan w:val="2"/>
          </w:tcPr>
          <w:p>
            <w:pPr>
              <w:spacing w:after="0" w:line="196" w:lineRule="exact"/>
              <w:rPr>
                <w:rFonts w:ascii="Arial" w:cs="Arial" w:eastAsia="Arial" w:hAnsi="Arial"/>
                <w:sz w:val="18"/>
                <w:szCs w:val="18"/>
                <w:b w:val="1"/>
                <w:bCs w:val="1"/>
                <w:color w:val="0000EE"/>
                <w:w w:val="88"/>
              </w:rPr>
            </w:pPr>
            <w:hyperlink w:anchor="page16">
              <w:r>
                <w:rPr>
                  <w:rFonts w:ascii="Arial" w:cs="Arial" w:eastAsia="Arial" w:hAnsi="Arial"/>
                  <w:sz w:val="18"/>
                  <w:szCs w:val="18"/>
                  <w:b w:val="1"/>
                  <w:bCs w:val="1"/>
                  <w:color w:val="0000EE"/>
                  <w:w w:val="88"/>
                </w:rPr>
                <w:t>Item 1B.</w:t>
              </w:r>
            </w:hyperlink>
          </w:p>
        </w:tc>
        <w:tc>
          <w:tcPr>
            <w:tcW w:w="260" w:type="dxa"/>
            <w:vAlign w:val="bottom"/>
          </w:tcPr>
          <w:p>
            <w:pPr>
              <w:spacing w:after="0"/>
              <w:rPr>
                <w:sz w:val="17"/>
                <w:szCs w:val="17"/>
                <w:color w:val="auto"/>
              </w:rPr>
            </w:pPr>
          </w:p>
        </w:tc>
        <w:tc>
          <w:tcPr>
            <w:tcW w:w="9140" w:type="dxa"/>
            <w:vAlign w:val="bottom"/>
            <w:gridSpan w:val="35"/>
          </w:tcPr>
          <w:p>
            <w:pPr>
              <w:spacing w:after="0" w:line="196" w:lineRule="exact"/>
              <w:rPr>
                <w:rFonts w:ascii="Arial" w:cs="Arial" w:eastAsia="Arial" w:hAnsi="Arial"/>
                <w:sz w:val="18"/>
                <w:szCs w:val="18"/>
                <w:color w:val="0000EE"/>
              </w:rPr>
            </w:pPr>
            <w:hyperlink w:anchor="page16">
              <w:r>
                <w:rPr>
                  <w:rFonts w:ascii="Arial" w:cs="Arial" w:eastAsia="Arial" w:hAnsi="Arial"/>
                  <w:sz w:val="18"/>
                  <w:szCs w:val="18"/>
                  <w:color w:val="0000EE"/>
                </w:rPr>
                <w:t>Unresolved Staff Comments</w:t>
              </w:r>
            </w:hyperlink>
          </w:p>
        </w:tc>
        <w:tc>
          <w:tcPr>
            <w:tcW w:w="1400" w:type="dxa"/>
            <w:vAlign w:val="bottom"/>
          </w:tcPr>
          <w:p>
            <w:pPr>
              <w:jc w:val="right"/>
              <w:spacing w:after="0" w:line="196"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196"/>
        </w:trPr>
        <w:tc>
          <w:tcPr>
            <w:tcW w:w="660" w:type="dxa"/>
            <w:vAlign w:val="bottom"/>
            <w:tcBorders>
              <w:top w:val="single" w:sz="8" w:color="0000EE"/>
            </w:tcBorders>
            <w:gridSpan w:val="2"/>
          </w:tcPr>
          <w:p>
            <w:pPr>
              <w:spacing w:after="0" w:line="196" w:lineRule="exact"/>
              <w:rPr>
                <w:rFonts w:ascii="Arial" w:cs="Arial" w:eastAsia="Arial" w:hAnsi="Arial"/>
                <w:sz w:val="18"/>
                <w:szCs w:val="18"/>
                <w:b w:val="1"/>
                <w:bCs w:val="1"/>
                <w:color w:val="0000EE"/>
              </w:rPr>
            </w:pPr>
            <w:hyperlink w:anchor="page16">
              <w:r>
                <w:rPr>
                  <w:rFonts w:ascii="Arial" w:cs="Arial" w:eastAsia="Arial" w:hAnsi="Arial"/>
                  <w:sz w:val="18"/>
                  <w:szCs w:val="18"/>
                  <w:b w:val="1"/>
                  <w:bCs w:val="1"/>
                  <w:color w:val="0000EE"/>
                </w:rPr>
                <w:t>Item 2.</w:t>
              </w:r>
            </w:hyperlink>
          </w:p>
        </w:tc>
        <w:tc>
          <w:tcPr>
            <w:tcW w:w="260" w:type="dxa"/>
            <w:vAlign w:val="bottom"/>
          </w:tcPr>
          <w:p>
            <w:pPr>
              <w:spacing w:after="0"/>
              <w:rPr>
                <w:sz w:val="17"/>
                <w:szCs w:val="17"/>
                <w:color w:val="auto"/>
              </w:rPr>
            </w:pPr>
          </w:p>
        </w:tc>
        <w:tc>
          <w:tcPr>
            <w:tcW w:w="200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w:anchor="page16">
              <w:r>
                <w:rPr>
                  <w:rFonts w:ascii="Arial" w:cs="Arial" w:eastAsia="Arial" w:hAnsi="Arial"/>
                  <w:sz w:val="18"/>
                  <w:szCs w:val="18"/>
                  <w:color w:val="0000EE"/>
                </w:rPr>
                <w:t>Properties</w:t>
              </w:r>
            </w:hyperlink>
          </w:p>
        </w:tc>
        <w:tc>
          <w:tcPr>
            <w:tcW w:w="7140" w:type="dxa"/>
            <w:vAlign w:val="bottom"/>
            <w:gridSpan w:val="25"/>
          </w:tcPr>
          <w:p>
            <w:pPr>
              <w:spacing w:after="0"/>
              <w:rPr>
                <w:sz w:val="17"/>
                <w:szCs w:val="17"/>
                <w:color w:val="auto"/>
              </w:rPr>
            </w:pPr>
          </w:p>
        </w:tc>
        <w:tc>
          <w:tcPr>
            <w:tcW w:w="1400" w:type="dxa"/>
            <w:vAlign w:val="bottom"/>
          </w:tcPr>
          <w:p>
            <w:pPr>
              <w:jc w:val="right"/>
              <w:spacing w:after="0" w:line="196"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Borders>
              <w:right w:val="single" w:sz="8" w:color="0000EE"/>
            </w:tcBorders>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gridSpan w:val="3"/>
          </w:tcPr>
          <w:p>
            <w:pPr>
              <w:spacing w:after="0" w:line="196" w:lineRule="exact"/>
              <w:rPr>
                <w:rFonts w:ascii="Arial" w:cs="Arial" w:eastAsia="Arial" w:hAnsi="Arial"/>
                <w:sz w:val="18"/>
                <w:szCs w:val="18"/>
                <w:b w:val="1"/>
                <w:bCs w:val="1"/>
                <w:color w:val="0000EE"/>
              </w:rPr>
            </w:pPr>
            <w:hyperlink w:anchor="page17">
              <w:r>
                <w:rPr>
                  <w:rFonts w:ascii="Arial" w:cs="Arial" w:eastAsia="Arial" w:hAnsi="Arial"/>
                  <w:sz w:val="18"/>
                  <w:szCs w:val="18"/>
                  <w:b w:val="1"/>
                  <w:bCs w:val="1"/>
                  <w:color w:val="0000EE"/>
                </w:rPr>
                <w:t>Item 3.</w:t>
              </w:r>
            </w:hyperlink>
          </w:p>
        </w:tc>
        <w:tc>
          <w:tcPr>
            <w:tcW w:w="9140" w:type="dxa"/>
            <w:vAlign w:val="bottom"/>
            <w:gridSpan w:val="35"/>
          </w:tcPr>
          <w:p>
            <w:pPr>
              <w:spacing w:after="0" w:line="196" w:lineRule="exact"/>
              <w:rPr>
                <w:rFonts w:ascii="Arial" w:cs="Arial" w:eastAsia="Arial" w:hAnsi="Arial"/>
                <w:sz w:val="18"/>
                <w:szCs w:val="18"/>
                <w:color w:val="0000EE"/>
              </w:rPr>
            </w:pPr>
            <w:hyperlink w:anchor="page17">
              <w:r>
                <w:rPr>
                  <w:rFonts w:ascii="Arial" w:cs="Arial" w:eastAsia="Arial" w:hAnsi="Arial"/>
                  <w:sz w:val="18"/>
                  <w:szCs w:val="18"/>
                  <w:color w:val="0000EE"/>
                </w:rPr>
                <w:t>Legal Proceedings</w:t>
              </w:r>
            </w:hyperlink>
          </w:p>
        </w:tc>
        <w:tc>
          <w:tcPr>
            <w:tcW w:w="140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Borders>
              <w:bottom w:val="single" w:sz="8" w:color="0000EE"/>
              <w:right w:val="single" w:sz="8" w:color="0000EE"/>
            </w:tcBorders>
            <w:gridSpan w:val="2"/>
            <w:shd w:val="clear" w:color="auto" w:fill="0000EE"/>
          </w:tcPr>
          <w:p>
            <w:pPr>
              <w:spacing w:after="0" w:line="20" w:lineRule="exact"/>
              <w:rPr>
                <w:sz w:val="1"/>
                <w:szCs w:val="1"/>
                <w:color w:val="auto"/>
              </w:rPr>
            </w:pPr>
          </w:p>
        </w:tc>
        <w:tc>
          <w:tcPr>
            <w:tcW w:w="20" w:type="dxa"/>
            <w:vAlign w:val="bottom"/>
            <w:tcBorders>
              <w:bottom w:val="single" w:sz="8" w:color="0000EE"/>
            </w:tcBorders>
            <w:shd w:val="clear" w:color="auto" w:fill="0000EE"/>
          </w:tcPr>
          <w:p>
            <w:pPr>
              <w:spacing w:after="0" w:line="20" w:lineRule="exact"/>
              <w:rPr>
                <w:sz w:val="1"/>
                <w:szCs w:val="1"/>
                <w:color w:val="auto"/>
              </w:rPr>
            </w:pPr>
          </w:p>
        </w:tc>
        <w:tc>
          <w:tcPr>
            <w:tcW w:w="560" w:type="dxa"/>
            <w:vAlign w:val="bottom"/>
            <w:tcBorders>
              <w:bottom w:val="single" w:sz="8" w:color="0000EE"/>
              <w:right w:val="single" w:sz="8" w:color="0000EE"/>
            </w:tcBorders>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920" w:type="dxa"/>
            <w:vAlign w:val="bottom"/>
            <w:gridSpan w:val="3"/>
          </w:tcPr>
          <w:p>
            <w:pPr>
              <w:spacing w:after="0" w:line="176" w:lineRule="exact"/>
              <w:rPr>
                <w:rFonts w:ascii="Arial" w:cs="Arial" w:eastAsia="Arial" w:hAnsi="Arial"/>
                <w:sz w:val="18"/>
                <w:szCs w:val="18"/>
                <w:b w:val="1"/>
                <w:bCs w:val="1"/>
                <w:color w:val="0000EE"/>
              </w:rPr>
            </w:pPr>
            <w:hyperlink w:anchor="page17">
              <w:r>
                <w:rPr>
                  <w:rFonts w:ascii="Arial" w:cs="Arial" w:eastAsia="Arial" w:hAnsi="Arial"/>
                  <w:sz w:val="18"/>
                  <w:szCs w:val="18"/>
                  <w:b w:val="1"/>
                  <w:bCs w:val="1"/>
                  <w:color w:val="0000EE"/>
                </w:rPr>
                <w:t>Item 4.</w:t>
              </w:r>
            </w:hyperlink>
          </w:p>
        </w:tc>
        <w:tc>
          <w:tcPr>
            <w:tcW w:w="9140" w:type="dxa"/>
            <w:vAlign w:val="bottom"/>
            <w:gridSpan w:val="35"/>
          </w:tcPr>
          <w:p>
            <w:pPr>
              <w:spacing w:after="0" w:line="176" w:lineRule="exact"/>
              <w:rPr>
                <w:rFonts w:ascii="Arial" w:cs="Arial" w:eastAsia="Arial" w:hAnsi="Arial"/>
                <w:sz w:val="18"/>
                <w:szCs w:val="18"/>
                <w:color w:val="0000EE"/>
              </w:rPr>
            </w:pPr>
            <w:hyperlink w:anchor="page17">
              <w:r>
                <w:rPr>
                  <w:rFonts w:ascii="Arial" w:cs="Arial" w:eastAsia="Arial" w:hAnsi="Arial"/>
                  <w:sz w:val="18"/>
                  <w:szCs w:val="18"/>
                  <w:color w:val="0000EE"/>
                </w:rPr>
                <w:t>Reserved</w:t>
              </w:r>
            </w:hyperlink>
          </w:p>
        </w:tc>
        <w:tc>
          <w:tcPr>
            <w:tcW w:w="1400" w:type="dxa"/>
            <w:vAlign w:val="bottom"/>
          </w:tcPr>
          <w:p>
            <w:pPr>
              <w:jc w:val="right"/>
              <w:spacing w:after="0" w:line="176" w:lineRule="exact"/>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345"/>
        </w:trPr>
        <w:tc>
          <w:tcPr>
            <w:tcW w:w="56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Borders>
              <w:bottom w:val="single" w:sz="8" w:color="0000EE"/>
            </w:tcBorders>
            <w:gridSpan w:val="3"/>
          </w:tcPr>
          <w:p>
            <w:pPr>
              <w:jc w:val="center"/>
              <w:spacing w:after="0"/>
              <w:rPr>
                <w:rFonts w:ascii="Arial" w:cs="Arial" w:eastAsia="Arial" w:hAnsi="Arial"/>
                <w:sz w:val="18"/>
                <w:szCs w:val="18"/>
                <w:b w:val="1"/>
                <w:bCs w:val="1"/>
                <w:color w:val="0000EE"/>
              </w:rPr>
            </w:pPr>
            <w:hyperlink w:anchor="page18">
              <w:r>
                <w:rPr>
                  <w:rFonts w:ascii="Arial" w:cs="Arial" w:eastAsia="Arial" w:hAnsi="Arial"/>
                  <w:sz w:val="18"/>
                  <w:szCs w:val="18"/>
                  <w:b w:val="1"/>
                  <w:bCs w:val="1"/>
                  <w:color w:val="0000EE"/>
                </w:rPr>
                <w:t>Part II</w:t>
              </w:r>
            </w:hyperlink>
          </w:p>
        </w:tc>
        <w:tc>
          <w:tcPr>
            <w:tcW w:w="3960" w:type="dxa"/>
            <w:vAlign w:val="bottom"/>
            <w:gridSpan w:val="9"/>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920" w:type="dxa"/>
            <w:vAlign w:val="bottom"/>
            <w:gridSpan w:val="3"/>
          </w:tcPr>
          <w:p>
            <w:pPr>
              <w:spacing w:after="0"/>
              <w:rPr>
                <w:rFonts w:ascii="Arial" w:cs="Arial" w:eastAsia="Arial" w:hAnsi="Arial"/>
                <w:sz w:val="18"/>
                <w:szCs w:val="18"/>
                <w:b w:val="1"/>
                <w:bCs w:val="1"/>
                <w:color w:val="0000EE"/>
              </w:rPr>
            </w:pPr>
            <w:hyperlink w:anchor="page18">
              <w:r>
                <w:rPr>
                  <w:rFonts w:ascii="Arial" w:cs="Arial" w:eastAsia="Arial" w:hAnsi="Arial"/>
                  <w:sz w:val="18"/>
                  <w:szCs w:val="18"/>
                  <w:b w:val="1"/>
                  <w:bCs w:val="1"/>
                  <w:color w:val="0000EE"/>
                </w:rPr>
                <w:t>Item 5.</w:t>
              </w:r>
            </w:hyperlink>
          </w:p>
        </w:tc>
        <w:tc>
          <w:tcPr>
            <w:tcW w:w="9140" w:type="dxa"/>
            <w:vAlign w:val="bottom"/>
            <w:gridSpan w:val="35"/>
          </w:tcPr>
          <w:p>
            <w:pPr>
              <w:spacing w:after="0"/>
              <w:rPr>
                <w:rFonts w:ascii="Arial" w:cs="Arial" w:eastAsia="Arial" w:hAnsi="Arial"/>
                <w:sz w:val="18"/>
                <w:szCs w:val="18"/>
                <w:color w:val="0000EE"/>
                <w:w w:val="99"/>
              </w:rPr>
            </w:pPr>
            <w:hyperlink w:anchor="page18">
              <w:r>
                <w:rPr>
                  <w:rFonts w:ascii="Arial" w:cs="Arial" w:eastAsia="Arial" w:hAnsi="Arial"/>
                  <w:sz w:val="18"/>
                  <w:szCs w:val="18"/>
                  <w:color w:val="0000EE"/>
                  <w:w w:val="99"/>
                </w:rPr>
                <w:t>Market for the Registrant’s Common Equity, Related Stockholder Matters and Issuer Purchases of Equity Securities</w:t>
              </w:r>
            </w:hyperlink>
          </w:p>
        </w:tc>
        <w:tc>
          <w:tcPr>
            <w:tcW w:w="140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560" w:type="dxa"/>
            <w:vAlign w:val="bottom"/>
            <w:tcBorders>
              <w:righ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6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gridSpan w:val="3"/>
          </w:tcPr>
          <w:p>
            <w:pPr>
              <w:spacing w:after="0" w:line="196" w:lineRule="exact"/>
              <w:rPr>
                <w:rFonts w:ascii="Arial" w:cs="Arial" w:eastAsia="Arial" w:hAnsi="Arial"/>
                <w:sz w:val="18"/>
                <w:szCs w:val="18"/>
                <w:b w:val="1"/>
                <w:bCs w:val="1"/>
                <w:color w:val="0000EE"/>
              </w:rPr>
            </w:pPr>
            <w:hyperlink w:anchor="page20">
              <w:r>
                <w:rPr>
                  <w:rFonts w:ascii="Arial" w:cs="Arial" w:eastAsia="Arial" w:hAnsi="Arial"/>
                  <w:sz w:val="18"/>
                  <w:szCs w:val="18"/>
                  <w:b w:val="1"/>
                  <w:bCs w:val="1"/>
                  <w:color w:val="0000EE"/>
                </w:rPr>
                <w:t>Item 6.</w:t>
              </w:r>
            </w:hyperlink>
          </w:p>
        </w:tc>
        <w:tc>
          <w:tcPr>
            <w:tcW w:w="9140" w:type="dxa"/>
            <w:vAlign w:val="bottom"/>
            <w:gridSpan w:val="35"/>
          </w:tcPr>
          <w:p>
            <w:pPr>
              <w:spacing w:after="0" w:line="196" w:lineRule="exact"/>
              <w:rPr>
                <w:rFonts w:ascii="Arial" w:cs="Arial" w:eastAsia="Arial" w:hAnsi="Arial"/>
                <w:sz w:val="18"/>
                <w:szCs w:val="18"/>
                <w:color w:val="0000EE"/>
              </w:rPr>
            </w:pPr>
            <w:hyperlink w:anchor="page20">
              <w:r>
                <w:rPr>
                  <w:rFonts w:ascii="Arial" w:cs="Arial" w:eastAsia="Arial" w:hAnsi="Arial"/>
                  <w:sz w:val="18"/>
                  <w:szCs w:val="18"/>
                  <w:color w:val="0000EE"/>
                </w:rPr>
                <w:t>Selected Financial Data</w:t>
              </w:r>
            </w:hyperlink>
          </w:p>
        </w:tc>
        <w:tc>
          <w:tcPr>
            <w:tcW w:w="140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560" w:type="dxa"/>
            <w:vAlign w:val="bottom"/>
            <w:tcBorders>
              <w:righ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gridSpan w:val="3"/>
          </w:tcPr>
          <w:p>
            <w:pPr>
              <w:spacing w:after="0" w:line="196" w:lineRule="exact"/>
              <w:rPr>
                <w:rFonts w:ascii="Arial" w:cs="Arial" w:eastAsia="Arial" w:hAnsi="Arial"/>
                <w:sz w:val="18"/>
                <w:szCs w:val="18"/>
                <w:b w:val="1"/>
                <w:bCs w:val="1"/>
                <w:color w:val="0000EE"/>
              </w:rPr>
            </w:pPr>
            <w:hyperlink w:anchor="page21">
              <w:r>
                <w:rPr>
                  <w:rFonts w:ascii="Arial" w:cs="Arial" w:eastAsia="Arial" w:hAnsi="Arial"/>
                  <w:sz w:val="18"/>
                  <w:szCs w:val="18"/>
                  <w:b w:val="1"/>
                  <w:bCs w:val="1"/>
                  <w:color w:val="0000EE"/>
                </w:rPr>
                <w:t>Item 7.</w:t>
              </w:r>
            </w:hyperlink>
          </w:p>
        </w:tc>
        <w:tc>
          <w:tcPr>
            <w:tcW w:w="9140" w:type="dxa"/>
            <w:vAlign w:val="bottom"/>
            <w:gridSpan w:val="35"/>
          </w:tcPr>
          <w:p>
            <w:pPr>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Management’s Discussion and Analysis of Financial Condition and Results of Operations</w:t>
              </w:r>
            </w:hyperlink>
          </w:p>
        </w:tc>
        <w:tc>
          <w:tcPr>
            <w:tcW w:w="140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560" w:type="dxa"/>
            <w:vAlign w:val="bottom"/>
            <w:tcBorders>
              <w:righ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6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0" w:type="dxa"/>
            <w:vAlign w:val="bottom"/>
            <w:gridSpan w:val="2"/>
          </w:tcPr>
          <w:p>
            <w:pPr>
              <w:spacing w:after="0" w:line="196" w:lineRule="exact"/>
              <w:rPr>
                <w:rFonts w:ascii="Arial" w:cs="Arial" w:eastAsia="Arial" w:hAnsi="Arial"/>
                <w:sz w:val="18"/>
                <w:szCs w:val="18"/>
                <w:b w:val="1"/>
                <w:bCs w:val="1"/>
                <w:color w:val="0000EE"/>
                <w:w w:val="88"/>
              </w:rPr>
            </w:pPr>
            <w:hyperlink w:anchor="page36">
              <w:r>
                <w:rPr>
                  <w:rFonts w:ascii="Arial" w:cs="Arial" w:eastAsia="Arial" w:hAnsi="Arial"/>
                  <w:sz w:val="18"/>
                  <w:szCs w:val="18"/>
                  <w:b w:val="1"/>
                  <w:bCs w:val="1"/>
                  <w:color w:val="0000EE"/>
                  <w:w w:val="88"/>
                </w:rPr>
                <w:t>Item 7A.</w:t>
              </w:r>
            </w:hyperlink>
          </w:p>
        </w:tc>
        <w:tc>
          <w:tcPr>
            <w:tcW w:w="260" w:type="dxa"/>
            <w:vAlign w:val="bottom"/>
          </w:tcPr>
          <w:p>
            <w:pPr>
              <w:spacing w:after="0"/>
              <w:rPr>
                <w:sz w:val="17"/>
                <w:szCs w:val="17"/>
                <w:color w:val="auto"/>
              </w:rPr>
            </w:pPr>
          </w:p>
        </w:tc>
        <w:tc>
          <w:tcPr>
            <w:tcW w:w="9140" w:type="dxa"/>
            <w:vAlign w:val="bottom"/>
            <w:gridSpan w:val="35"/>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Quantitative and Qualitative Disclosures about Market Risk</w:t>
              </w:r>
            </w:hyperlink>
          </w:p>
        </w:tc>
        <w:tc>
          <w:tcPr>
            <w:tcW w:w="140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
        </w:trPr>
        <w:tc>
          <w:tcPr>
            <w:tcW w:w="660" w:type="dxa"/>
            <w:vAlign w:val="bottom"/>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560" w:type="dxa"/>
            <w:vAlign w:val="bottom"/>
            <w:tcBorders>
              <w:righ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0" w:type="dxa"/>
            <w:vAlign w:val="bottom"/>
            <w:gridSpan w:val="2"/>
          </w:tcPr>
          <w:p>
            <w:pPr>
              <w:spacing w:after="0" w:line="196" w:lineRule="exact"/>
              <w:rPr>
                <w:rFonts w:ascii="Arial" w:cs="Arial" w:eastAsia="Arial" w:hAnsi="Arial"/>
                <w:sz w:val="18"/>
                <w:szCs w:val="18"/>
                <w:b w:val="1"/>
                <w:bCs w:val="1"/>
                <w:color w:val="0000EE"/>
              </w:rPr>
            </w:pPr>
            <w:hyperlink w:anchor="page37">
              <w:r>
                <w:rPr>
                  <w:rFonts w:ascii="Arial" w:cs="Arial" w:eastAsia="Arial" w:hAnsi="Arial"/>
                  <w:sz w:val="18"/>
                  <w:szCs w:val="18"/>
                  <w:b w:val="1"/>
                  <w:bCs w:val="1"/>
                  <w:color w:val="0000EE"/>
                </w:rPr>
                <w:t>Item 8.</w:t>
              </w:r>
            </w:hyperlink>
          </w:p>
        </w:tc>
        <w:tc>
          <w:tcPr>
            <w:tcW w:w="260" w:type="dxa"/>
            <w:vAlign w:val="bottom"/>
          </w:tcPr>
          <w:p>
            <w:pPr>
              <w:spacing w:after="0"/>
              <w:rPr>
                <w:sz w:val="17"/>
                <w:szCs w:val="17"/>
                <w:color w:val="auto"/>
              </w:rPr>
            </w:pPr>
          </w:p>
        </w:tc>
        <w:tc>
          <w:tcPr>
            <w:tcW w:w="9140" w:type="dxa"/>
            <w:vAlign w:val="bottom"/>
            <w:gridSpan w:val="35"/>
          </w:tcPr>
          <w:p>
            <w:pPr>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Consolidated Financial Statements and Supplementary Data</w:t>
              </w:r>
            </w:hyperlink>
          </w:p>
        </w:tc>
        <w:tc>
          <w:tcPr>
            <w:tcW w:w="140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196"/>
        </w:trPr>
        <w:tc>
          <w:tcPr>
            <w:tcW w:w="56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76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87"/>
              </w:rPr>
            </w:pPr>
            <w:hyperlink w:anchor="page38">
              <w:r>
                <w:rPr>
                  <w:rFonts w:ascii="Arial" w:cs="Arial" w:eastAsia="Arial" w:hAnsi="Arial"/>
                  <w:sz w:val="18"/>
                  <w:szCs w:val="18"/>
                  <w:color w:val="0000EE"/>
                  <w:w w:val="87"/>
                </w:rPr>
                <w:t>Consolidated Statements of Operations</w:t>
              </w:r>
            </w:hyperlink>
          </w:p>
        </w:tc>
        <w:tc>
          <w:tcPr>
            <w:tcW w:w="1460" w:type="dxa"/>
            <w:vAlign w:val="bottom"/>
            <w:tcBorders>
              <w:top w:val="single" w:sz="8" w:color="0000EE"/>
            </w:tcBorders>
            <w:gridSpan w:val="6"/>
          </w:tcPr>
          <w:p>
            <w:pPr>
              <w:spacing w:after="0"/>
              <w:rPr>
                <w:sz w:val="17"/>
                <w:szCs w:val="17"/>
                <w:color w:val="auto"/>
              </w:rPr>
            </w:pPr>
          </w:p>
        </w:tc>
        <w:tc>
          <w:tcPr>
            <w:tcW w:w="4920" w:type="dxa"/>
            <w:vAlign w:val="bottom"/>
            <w:gridSpan w:val="16"/>
          </w:tcPr>
          <w:p>
            <w:pPr>
              <w:spacing w:after="0"/>
              <w:rPr>
                <w:sz w:val="17"/>
                <w:szCs w:val="17"/>
                <w:color w:val="auto"/>
              </w:rPr>
            </w:pPr>
          </w:p>
        </w:tc>
        <w:tc>
          <w:tcPr>
            <w:tcW w:w="1400" w:type="dxa"/>
            <w:vAlign w:val="bottom"/>
          </w:tcPr>
          <w:p>
            <w:pPr>
              <w:jc w:val="right"/>
              <w:spacing w:after="0" w:line="196"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196"/>
        </w:trPr>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140" w:type="dxa"/>
            <w:vAlign w:val="bottom"/>
            <w:gridSpan w:val="35"/>
          </w:tcPr>
          <w:p>
            <w:pPr>
              <w:spacing w:after="0" w:line="196" w:lineRule="exact"/>
              <w:rPr>
                <w:rFonts w:ascii="Arial" w:cs="Arial" w:eastAsia="Arial" w:hAnsi="Arial"/>
                <w:sz w:val="18"/>
                <w:szCs w:val="18"/>
                <w:color w:val="0000EE"/>
              </w:rPr>
            </w:pPr>
            <w:hyperlink w:anchor="page39">
              <w:r>
                <w:rPr>
                  <w:rFonts w:ascii="Arial" w:cs="Arial" w:eastAsia="Arial" w:hAnsi="Arial"/>
                  <w:sz w:val="18"/>
                  <w:szCs w:val="18"/>
                  <w:color w:val="0000EE"/>
                </w:rPr>
                <w:t>Consolidated Balance Sheets</w:t>
              </w:r>
            </w:hyperlink>
          </w:p>
        </w:tc>
        <w:tc>
          <w:tcPr>
            <w:tcW w:w="1400" w:type="dxa"/>
            <w:vAlign w:val="bottom"/>
          </w:tcPr>
          <w:p>
            <w:pPr>
              <w:jc w:val="right"/>
              <w:spacing w:after="0" w:line="196"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560" w:type="dxa"/>
            <w:vAlign w:val="bottom"/>
            <w:tcBorders>
              <w:righ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140" w:type="dxa"/>
            <w:vAlign w:val="bottom"/>
            <w:gridSpan w:val="35"/>
          </w:tcPr>
          <w:p>
            <w:pPr>
              <w:spacing w:after="0" w:line="196" w:lineRule="exact"/>
              <w:rPr>
                <w:rFonts w:ascii="Arial" w:cs="Arial" w:eastAsia="Arial" w:hAnsi="Arial"/>
                <w:sz w:val="18"/>
                <w:szCs w:val="18"/>
                <w:color w:val="0000EE"/>
              </w:rPr>
            </w:pPr>
            <w:hyperlink w:anchor="page41">
              <w:r>
                <w:rPr>
                  <w:rFonts w:ascii="Arial" w:cs="Arial" w:eastAsia="Arial" w:hAnsi="Arial"/>
                  <w:sz w:val="18"/>
                  <w:szCs w:val="18"/>
                  <w:color w:val="0000EE"/>
                </w:rPr>
                <w:t>Consolidated Statements of Changes in Stockholders’ Equity and Comprehensive Income (Loss)</w:t>
              </w:r>
            </w:hyperlink>
          </w:p>
        </w:tc>
        <w:tc>
          <w:tcPr>
            <w:tcW w:w="1400" w:type="dxa"/>
            <w:vAlign w:val="bottom"/>
          </w:tcPr>
          <w:p>
            <w:pPr>
              <w:jc w:val="right"/>
              <w:spacing w:after="0" w:line="196"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196"/>
        </w:trPr>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0" w:type="dxa"/>
            <w:vAlign w:val="bottom"/>
            <w:tcBorders>
              <w:top w:val="single" w:sz="8" w:color="0000EE"/>
            </w:tcBorders>
            <w:gridSpan w:val="32"/>
          </w:tcPr>
          <w:p>
            <w:pPr>
              <w:spacing w:after="0" w:line="196" w:lineRule="exact"/>
              <w:rPr>
                <w:rFonts w:ascii="Arial" w:cs="Arial" w:eastAsia="Arial" w:hAnsi="Arial"/>
                <w:sz w:val="18"/>
                <w:szCs w:val="18"/>
                <w:color w:val="0000EE"/>
              </w:rPr>
            </w:pPr>
            <w:hyperlink w:anchor="page43">
              <w:r>
                <w:rPr>
                  <w:rFonts w:ascii="Arial" w:cs="Arial" w:eastAsia="Arial" w:hAnsi="Arial"/>
                  <w:sz w:val="18"/>
                  <w:szCs w:val="18"/>
                  <w:color w:val="0000EE"/>
                </w:rPr>
                <w:t>Consolidated Statements of Cash Flows</w:t>
              </w:r>
            </w:hyperlink>
          </w:p>
        </w:tc>
        <w:tc>
          <w:tcPr>
            <w:tcW w:w="2340" w:type="dxa"/>
            <w:vAlign w:val="bottom"/>
            <w:gridSpan w:val="3"/>
          </w:tcPr>
          <w:p>
            <w:pPr>
              <w:spacing w:after="0"/>
              <w:rPr>
                <w:sz w:val="17"/>
                <w:szCs w:val="17"/>
                <w:color w:val="auto"/>
              </w:rPr>
            </w:pPr>
          </w:p>
        </w:tc>
        <w:tc>
          <w:tcPr>
            <w:tcW w:w="1400" w:type="dxa"/>
            <w:vAlign w:val="bottom"/>
          </w:tcPr>
          <w:p>
            <w:pPr>
              <w:jc w:val="right"/>
              <w:spacing w:after="0" w:line="196" w:lineRule="exact"/>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560" w:type="dxa"/>
            <w:vAlign w:val="bottom"/>
            <w:tcBorders>
              <w:righ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80" w:type="dxa"/>
            <w:vAlign w:val="bottom"/>
            <w:gridSpan w:val="3"/>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80" w:type="dxa"/>
            <w:vAlign w:val="bottom"/>
            <w:tcBorders>
              <w:bottom w:val="single" w:sz="8" w:color="0000EE"/>
            </w:tcBorders>
            <w:gridSpan w:val="16"/>
          </w:tcPr>
          <w:p>
            <w:pPr>
              <w:spacing w:after="0" w:line="196" w:lineRule="exact"/>
              <w:rPr>
                <w:rFonts w:ascii="Arial" w:cs="Arial" w:eastAsia="Arial" w:hAnsi="Arial"/>
                <w:sz w:val="18"/>
                <w:szCs w:val="18"/>
                <w:color w:val="0000EE"/>
                <w:w w:val="87"/>
              </w:rPr>
            </w:pPr>
            <w:hyperlink w:anchor="page46">
              <w:r>
                <w:rPr>
                  <w:rFonts w:ascii="Arial" w:cs="Arial" w:eastAsia="Arial" w:hAnsi="Arial"/>
                  <w:sz w:val="18"/>
                  <w:szCs w:val="18"/>
                  <w:color w:val="0000EE"/>
                  <w:w w:val="87"/>
                </w:rPr>
                <w:t>Notes to Consolidated Financial Statements</w:t>
              </w:r>
            </w:hyperlink>
          </w:p>
        </w:tc>
        <w:tc>
          <w:tcPr>
            <w:tcW w:w="6060" w:type="dxa"/>
            <w:vAlign w:val="bottom"/>
            <w:gridSpan w:val="19"/>
          </w:tcPr>
          <w:p>
            <w:pPr>
              <w:spacing w:after="0"/>
              <w:rPr>
                <w:sz w:val="17"/>
                <w:szCs w:val="17"/>
                <w:color w:val="auto"/>
              </w:rPr>
            </w:pPr>
          </w:p>
        </w:tc>
        <w:tc>
          <w:tcPr>
            <w:tcW w:w="1400" w:type="dxa"/>
            <w:vAlign w:val="bottom"/>
          </w:tcPr>
          <w:p>
            <w:pPr>
              <w:jc w:val="right"/>
              <w:spacing w:after="0" w:line="196"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196"/>
        </w:trPr>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140" w:type="dxa"/>
            <w:vAlign w:val="bottom"/>
            <w:gridSpan w:val="35"/>
          </w:tcPr>
          <w:p>
            <w:pPr>
              <w:spacing w:after="0" w:line="196" w:lineRule="exact"/>
              <w:rPr>
                <w:rFonts w:ascii="Arial" w:cs="Arial" w:eastAsia="Arial" w:hAnsi="Arial"/>
                <w:sz w:val="18"/>
                <w:szCs w:val="18"/>
                <w:color w:val="0000EE"/>
              </w:rPr>
            </w:pPr>
            <w:hyperlink w:anchor="page81">
              <w:r>
                <w:rPr>
                  <w:rFonts w:ascii="Arial" w:cs="Arial" w:eastAsia="Arial" w:hAnsi="Arial"/>
                  <w:sz w:val="18"/>
                  <w:szCs w:val="18"/>
                  <w:color w:val="0000EE"/>
                </w:rPr>
                <w:t>Reports of Independent Registered Public Accounting Firm</w:t>
              </w:r>
            </w:hyperlink>
          </w:p>
        </w:tc>
        <w:tc>
          <w:tcPr>
            <w:tcW w:w="1400" w:type="dxa"/>
            <w:vAlign w:val="bottom"/>
          </w:tcPr>
          <w:p>
            <w:pPr>
              <w:jc w:val="right"/>
              <w:spacing w:after="0" w:line="196" w:lineRule="exact"/>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196"/>
        </w:trPr>
        <w:tc>
          <w:tcPr>
            <w:tcW w:w="920" w:type="dxa"/>
            <w:vAlign w:val="bottom"/>
            <w:gridSpan w:val="3"/>
            <w:vMerge w:val="restart"/>
          </w:tcPr>
          <w:p>
            <w:pPr>
              <w:spacing w:after="0"/>
              <w:rPr>
                <w:rFonts w:ascii="Arial" w:cs="Arial" w:eastAsia="Arial" w:hAnsi="Arial"/>
                <w:sz w:val="18"/>
                <w:szCs w:val="18"/>
                <w:b w:val="1"/>
                <w:bCs w:val="1"/>
                <w:color w:val="0000EE"/>
              </w:rPr>
            </w:pPr>
            <w:hyperlink w:anchor="page84">
              <w:r>
                <w:rPr>
                  <w:rFonts w:ascii="Arial" w:cs="Arial" w:eastAsia="Arial" w:hAnsi="Arial"/>
                  <w:sz w:val="18"/>
                  <w:szCs w:val="18"/>
                  <w:b w:val="1"/>
                  <w:bCs w:val="1"/>
                  <w:color w:val="0000EE"/>
                </w:rPr>
                <w:t>Item 9.</w:t>
              </w:r>
            </w:hyperlink>
          </w:p>
        </w:tc>
        <w:tc>
          <w:tcPr>
            <w:tcW w:w="420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w:anchor="page83">
              <w:r>
                <w:rPr>
                  <w:rFonts w:ascii="Arial" w:cs="Arial" w:eastAsia="Arial" w:hAnsi="Arial"/>
                  <w:sz w:val="18"/>
                  <w:szCs w:val="18"/>
                  <w:color w:val="0000EE"/>
                </w:rPr>
                <w:t>Supplementary Financial Information</w:t>
              </w:r>
            </w:hyperlink>
          </w:p>
        </w:tc>
        <w:tc>
          <w:tcPr>
            <w:tcW w:w="4940" w:type="dxa"/>
            <w:vAlign w:val="bottom"/>
            <w:gridSpan w:val="17"/>
          </w:tcPr>
          <w:p>
            <w:pPr>
              <w:spacing w:after="0"/>
              <w:rPr>
                <w:sz w:val="17"/>
                <w:szCs w:val="17"/>
                <w:color w:val="auto"/>
              </w:rPr>
            </w:pPr>
          </w:p>
        </w:tc>
        <w:tc>
          <w:tcPr>
            <w:tcW w:w="1400" w:type="dxa"/>
            <w:vAlign w:val="bottom"/>
          </w:tcPr>
          <w:p>
            <w:pPr>
              <w:jc w:val="right"/>
              <w:spacing w:after="0" w:line="196" w:lineRule="exact"/>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0"/>
        </w:trPr>
        <w:tc>
          <w:tcPr>
            <w:tcW w:w="920" w:type="dxa"/>
            <w:vAlign w:val="bottom"/>
            <w:gridSpan w:val="3"/>
            <w:vMerge w:val="continue"/>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560" w:type="dxa"/>
            <w:vAlign w:val="bottom"/>
            <w:tcBorders>
              <w:righ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80" w:type="dxa"/>
            <w:vAlign w:val="bottom"/>
            <w:gridSpan w:val="3"/>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gridSpan w:val="3"/>
            <w:vMerge w:val="continue"/>
          </w:tcPr>
          <w:p>
            <w:pPr>
              <w:spacing w:after="0"/>
              <w:rPr>
                <w:sz w:val="17"/>
                <w:szCs w:val="17"/>
                <w:color w:val="auto"/>
              </w:rPr>
            </w:pPr>
          </w:p>
        </w:tc>
        <w:tc>
          <w:tcPr>
            <w:tcW w:w="9140" w:type="dxa"/>
            <w:vAlign w:val="bottom"/>
            <w:gridSpan w:val="35"/>
          </w:tcPr>
          <w:p>
            <w:pPr>
              <w:spacing w:after="0" w:line="196" w:lineRule="exact"/>
              <w:rPr>
                <w:rFonts w:ascii="Arial" w:cs="Arial" w:eastAsia="Arial" w:hAnsi="Arial"/>
                <w:sz w:val="18"/>
                <w:szCs w:val="18"/>
                <w:color w:val="0000EE"/>
              </w:rPr>
            </w:pPr>
            <w:hyperlink w:anchor="page84">
              <w:r>
                <w:rPr>
                  <w:rFonts w:ascii="Arial" w:cs="Arial" w:eastAsia="Arial" w:hAnsi="Arial"/>
                  <w:sz w:val="18"/>
                  <w:szCs w:val="18"/>
                  <w:color w:val="0000EE"/>
                </w:rPr>
                <w:t>Changes in and Disagreements with Accountants on Accounting and Financial Disclosure</w:t>
              </w:r>
            </w:hyperlink>
          </w:p>
        </w:tc>
        <w:tc>
          <w:tcPr>
            <w:tcW w:w="1400" w:type="dxa"/>
            <w:vAlign w:val="bottom"/>
          </w:tcPr>
          <w:p>
            <w:pPr>
              <w:jc w:val="right"/>
              <w:spacing w:after="0" w:line="196" w:lineRule="exact"/>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Borders>
              <w:bottom w:val="single" w:sz="8" w:color="0000EE"/>
            </w:tcBorders>
            <w:gridSpan w:val="3"/>
            <w:shd w:val="clear" w:color="auto" w:fill="0000EE"/>
          </w:tcPr>
          <w:p>
            <w:pPr>
              <w:spacing w:after="0" w:line="20" w:lineRule="exact"/>
              <w:rPr>
                <w:sz w:val="1"/>
                <w:szCs w:val="1"/>
                <w:color w:val="auto"/>
              </w:rPr>
            </w:pPr>
          </w:p>
        </w:tc>
        <w:tc>
          <w:tcPr>
            <w:tcW w:w="560" w:type="dxa"/>
            <w:vAlign w:val="bottom"/>
            <w:tcBorders>
              <w:bottom w:val="single" w:sz="8" w:color="0000EE"/>
              <w:right w:val="single" w:sz="8" w:color="0000EE"/>
            </w:tcBorders>
            <w:gridSpan w:val="2"/>
            <w:shd w:val="clear" w:color="auto" w:fill="0000EE"/>
          </w:tcPr>
          <w:p>
            <w:pPr>
              <w:spacing w:after="0" w:line="20" w:lineRule="exact"/>
              <w:rPr>
                <w:sz w:val="1"/>
                <w:szCs w:val="1"/>
                <w:color w:val="auto"/>
              </w:rPr>
            </w:pPr>
          </w:p>
        </w:tc>
        <w:tc>
          <w:tcPr>
            <w:tcW w:w="20" w:type="dxa"/>
            <w:vAlign w:val="bottom"/>
            <w:tcBorders>
              <w:bottom w:val="single" w:sz="8" w:color="0000EE"/>
            </w:tcBorders>
            <w:shd w:val="clear" w:color="auto" w:fill="0000EE"/>
          </w:tcPr>
          <w:p>
            <w:pPr>
              <w:spacing w:after="0" w:line="20" w:lineRule="exact"/>
              <w:rPr>
                <w:sz w:val="1"/>
                <w:szCs w:val="1"/>
                <w:color w:val="auto"/>
              </w:rPr>
            </w:pPr>
          </w:p>
        </w:tc>
        <w:tc>
          <w:tcPr>
            <w:tcW w:w="420" w:type="dxa"/>
            <w:vAlign w:val="bottom"/>
            <w:tcBorders>
              <w:bottom w:val="single" w:sz="8" w:color="0000EE"/>
            </w:tcBorders>
            <w:gridSpan w:val="2"/>
            <w:shd w:val="clear" w:color="auto" w:fill="0000EE"/>
          </w:tcPr>
          <w:p>
            <w:pPr>
              <w:spacing w:after="0" w:line="20" w:lineRule="exact"/>
              <w:rPr>
                <w:sz w:val="1"/>
                <w:szCs w:val="1"/>
                <w:color w:val="auto"/>
              </w:rPr>
            </w:pPr>
          </w:p>
        </w:tc>
        <w:tc>
          <w:tcPr>
            <w:tcW w:w="20" w:type="dxa"/>
            <w:vAlign w:val="bottom"/>
            <w:tcBorders>
              <w:bottom w:val="single" w:sz="8" w:color="0000EE"/>
            </w:tcBorders>
            <w:shd w:val="clear" w:color="auto" w:fill="0000EE"/>
          </w:tcPr>
          <w:p>
            <w:pPr>
              <w:spacing w:after="0" w:line="20" w:lineRule="exact"/>
              <w:rPr>
                <w:sz w:val="1"/>
                <w:szCs w:val="1"/>
                <w:color w:val="auto"/>
              </w:rPr>
            </w:pPr>
          </w:p>
        </w:tc>
        <w:tc>
          <w:tcPr>
            <w:tcW w:w="1040" w:type="dxa"/>
            <w:vAlign w:val="bottom"/>
            <w:tcBorders>
              <w:bottom w:val="single" w:sz="8" w:color="0000EE"/>
            </w:tcBorders>
            <w:gridSpan w:val="5"/>
            <w:shd w:val="clear" w:color="auto" w:fill="0000EE"/>
          </w:tcPr>
          <w:p>
            <w:pPr>
              <w:spacing w:after="0" w:line="20" w:lineRule="exact"/>
              <w:rPr>
                <w:sz w:val="1"/>
                <w:szCs w:val="1"/>
                <w:color w:val="auto"/>
              </w:rPr>
            </w:pPr>
          </w:p>
        </w:tc>
        <w:tc>
          <w:tcPr>
            <w:tcW w:w="40" w:type="dxa"/>
            <w:vAlign w:val="bottom"/>
            <w:tcBorders>
              <w:bottom w:val="single" w:sz="8" w:color="0000EE"/>
            </w:tcBorders>
            <w:shd w:val="clear" w:color="auto" w:fill="0000EE"/>
          </w:tcPr>
          <w:p>
            <w:pPr>
              <w:spacing w:after="0" w:line="20" w:lineRule="exact"/>
              <w:rPr>
                <w:sz w:val="1"/>
                <w:szCs w:val="1"/>
                <w:color w:val="auto"/>
              </w:rPr>
            </w:pPr>
          </w:p>
        </w:tc>
        <w:tc>
          <w:tcPr>
            <w:tcW w:w="1160" w:type="dxa"/>
            <w:vAlign w:val="bottom"/>
            <w:tcBorders>
              <w:bottom w:val="single" w:sz="8" w:color="0000EE"/>
            </w:tcBorders>
            <w:gridSpan w:val="2"/>
            <w:shd w:val="clear" w:color="auto" w:fill="0000EE"/>
          </w:tcPr>
          <w:p>
            <w:pPr>
              <w:spacing w:after="0" w:line="20" w:lineRule="exact"/>
              <w:rPr>
                <w:sz w:val="1"/>
                <w:szCs w:val="1"/>
                <w:color w:val="auto"/>
              </w:rPr>
            </w:pPr>
          </w:p>
        </w:tc>
        <w:tc>
          <w:tcPr>
            <w:tcW w:w="360" w:type="dxa"/>
            <w:vAlign w:val="bottom"/>
            <w:tcBorders>
              <w:bottom w:val="single" w:sz="8" w:color="0000EE"/>
            </w:tcBorders>
            <w:gridSpan w:val="3"/>
            <w:shd w:val="clear" w:color="auto" w:fill="0000EE"/>
          </w:tcPr>
          <w:p>
            <w:pPr>
              <w:spacing w:after="0" w:line="20" w:lineRule="exact"/>
              <w:rPr>
                <w:sz w:val="1"/>
                <w:szCs w:val="1"/>
                <w:color w:val="auto"/>
              </w:rPr>
            </w:pPr>
          </w:p>
        </w:tc>
        <w:tc>
          <w:tcPr>
            <w:tcW w:w="260" w:type="dxa"/>
            <w:vAlign w:val="bottom"/>
            <w:tcBorders>
              <w:bottom w:val="single" w:sz="8" w:color="0000EE"/>
            </w:tcBorders>
            <w:shd w:val="clear" w:color="auto" w:fill="0000EE"/>
          </w:tcPr>
          <w:p>
            <w:pPr>
              <w:spacing w:after="0" w:line="20" w:lineRule="exact"/>
              <w:rPr>
                <w:sz w:val="1"/>
                <w:szCs w:val="1"/>
                <w:color w:val="auto"/>
              </w:rPr>
            </w:pPr>
          </w:p>
        </w:tc>
        <w:tc>
          <w:tcPr>
            <w:tcW w:w="20" w:type="dxa"/>
            <w:vAlign w:val="bottom"/>
            <w:tcBorders>
              <w:bottom w:val="single" w:sz="8" w:color="0000EE"/>
            </w:tcBorders>
            <w:shd w:val="clear" w:color="auto" w:fill="0000EE"/>
          </w:tcPr>
          <w:p>
            <w:pPr>
              <w:spacing w:after="0" w:line="20" w:lineRule="exact"/>
              <w:rPr>
                <w:sz w:val="1"/>
                <w:szCs w:val="1"/>
                <w:color w:val="auto"/>
              </w:rPr>
            </w:pPr>
          </w:p>
        </w:tc>
        <w:tc>
          <w:tcPr>
            <w:tcW w:w="560" w:type="dxa"/>
            <w:vAlign w:val="bottom"/>
            <w:tcBorders>
              <w:bottom w:val="single" w:sz="8" w:color="0000EE"/>
            </w:tcBorders>
            <w:gridSpan w:val="5"/>
            <w:shd w:val="clear" w:color="auto" w:fill="0000EE"/>
          </w:tcPr>
          <w:p>
            <w:pPr>
              <w:spacing w:after="0" w:line="20" w:lineRule="exact"/>
              <w:rPr>
                <w:sz w:val="1"/>
                <w:szCs w:val="1"/>
                <w:color w:val="auto"/>
              </w:rPr>
            </w:pPr>
          </w:p>
        </w:tc>
        <w:tc>
          <w:tcPr>
            <w:tcW w:w="20" w:type="dxa"/>
            <w:vAlign w:val="bottom"/>
            <w:tcBorders>
              <w:bottom w:val="single" w:sz="8" w:color="0000EE"/>
            </w:tcBorders>
            <w:shd w:val="clear" w:color="auto" w:fill="0000EE"/>
          </w:tcPr>
          <w:p>
            <w:pPr>
              <w:spacing w:after="0" w:line="20" w:lineRule="exact"/>
              <w:rPr>
                <w:sz w:val="1"/>
                <w:szCs w:val="1"/>
                <w:color w:val="auto"/>
              </w:rPr>
            </w:pPr>
          </w:p>
        </w:tc>
        <w:tc>
          <w:tcPr>
            <w:tcW w:w="100" w:type="dxa"/>
            <w:vAlign w:val="bottom"/>
            <w:tcBorders>
              <w:bottom w:val="single" w:sz="8" w:color="0000EE"/>
            </w:tcBorders>
            <w:shd w:val="clear" w:color="auto" w:fill="0000EE"/>
          </w:tcPr>
          <w:p>
            <w:pPr>
              <w:spacing w:after="0" w:line="20" w:lineRule="exact"/>
              <w:rPr>
                <w:sz w:val="1"/>
                <w:szCs w:val="1"/>
                <w:color w:val="auto"/>
              </w:rPr>
            </w:pPr>
          </w:p>
        </w:tc>
        <w:tc>
          <w:tcPr>
            <w:tcW w:w="1000" w:type="dxa"/>
            <w:vAlign w:val="bottom"/>
            <w:tcBorders>
              <w:bottom w:val="single" w:sz="8" w:color="0000EE"/>
            </w:tcBorders>
            <w:gridSpan w:val="2"/>
            <w:shd w:val="clear" w:color="auto" w:fill="0000EE"/>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660" w:type="dxa"/>
            <w:vAlign w:val="bottom"/>
            <w:tcBorders>
              <w:bottom w:val="single" w:sz="8" w:color="0000EE"/>
            </w:tcBorders>
            <w:gridSpan w:val="2"/>
          </w:tcPr>
          <w:p>
            <w:pPr>
              <w:spacing w:after="0" w:line="176" w:lineRule="exact"/>
              <w:rPr>
                <w:rFonts w:ascii="Arial" w:cs="Arial" w:eastAsia="Arial" w:hAnsi="Arial"/>
                <w:sz w:val="18"/>
                <w:szCs w:val="18"/>
                <w:b w:val="1"/>
                <w:bCs w:val="1"/>
                <w:color w:val="0000EE"/>
                <w:w w:val="88"/>
              </w:rPr>
            </w:pPr>
            <w:hyperlink w:anchor="page84">
              <w:r>
                <w:rPr>
                  <w:rFonts w:ascii="Arial" w:cs="Arial" w:eastAsia="Arial" w:hAnsi="Arial"/>
                  <w:sz w:val="18"/>
                  <w:szCs w:val="18"/>
                  <w:b w:val="1"/>
                  <w:bCs w:val="1"/>
                  <w:color w:val="0000EE"/>
                  <w:w w:val="88"/>
                </w:rPr>
                <w:t>Item 9A.</w:t>
              </w:r>
            </w:hyperlink>
          </w:p>
        </w:tc>
        <w:tc>
          <w:tcPr>
            <w:tcW w:w="260" w:type="dxa"/>
            <w:vAlign w:val="bottom"/>
          </w:tcPr>
          <w:p>
            <w:pPr>
              <w:spacing w:after="0"/>
              <w:rPr>
                <w:sz w:val="15"/>
                <w:szCs w:val="15"/>
                <w:color w:val="auto"/>
              </w:rPr>
            </w:pPr>
          </w:p>
        </w:tc>
        <w:tc>
          <w:tcPr>
            <w:tcW w:w="1740" w:type="dxa"/>
            <w:vAlign w:val="bottom"/>
            <w:tcBorders>
              <w:bottom w:val="single" w:sz="8" w:color="0000EE"/>
            </w:tcBorders>
            <w:gridSpan w:val="8"/>
          </w:tcPr>
          <w:p>
            <w:pPr>
              <w:spacing w:after="0" w:line="176" w:lineRule="exact"/>
              <w:rPr>
                <w:rFonts w:ascii="Arial" w:cs="Arial" w:eastAsia="Arial" w:hAnsi="Arial"/>
                <w:sz w:val="18"/>
                <w:szCs w:val="18"/>
                <w:color w:val="0000EE"/>
                <w:w w:val="86"/>
              </w:rPr>
            </w:pPr>
            <w:hyperlink w:anchor="page84">
              <w:r>
                <w:rPr>
                  <w:rFonts w:ascii="Arial" w:cs="Arial" w:eastAsia="Arial" w:hAnsi="Arial"/>
                  <w:sz w:val="18"/>
                  <w:szCs w:val="18"/>
                  <w:color w:val="0000EE"/>
                  <w:w w:val="86"/>
                </w:rPr>
                <w:t>Controls and Procedures</w:t>
              </w:r>
            </w:hyperlink>
          </w:p>
        </w:tc>
        <w:tc>
          <w:tcPr>
            <w:tcW w:w="7400" w:type="dxa"/>
            <w:vAlign w:val="bottom"/>
            <w:gridSpan w:val="27"/>
          </w:tcPr>
          <w:p>
            <w:pPr>
              <w:spacing w:after="0"/>
              <w:rPr>
                <w:sz w:val="15"/>
                <w:szCs w:val="15"/>
                <w:color w:val="auto"/>
              </w:rPr>
            </w:pPr>
          </w:p>
        </w:tc>
        <w:tc>
          <w:tcPr>
            <w:tcW w:w="1400" w:type="dxa"/>
            <w:vAlign w:val="bottom"/>
          </w:tcPr>
          <w:p>
            <w:pPr>
              <w:jc w:val="right"/>
              <w:spacing w:after="0" w:line="176" w:lineRule="exact"/>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196"/>
        </w:trPr>
        <w:tc>
          <w:tcPr>
            <w:tcW w:w="920" w:type="dxa"/>
            <w:vAlign w:val="bottom"/>
            <w:gridSpan w:val="3"/>
          </w:tcPr>
          <w:p>
            <w:pPr>
              <w:spacing w:after="0" w:line="196" w:lineRule="exact"/>
              <w:rPr>
                <w:rFonts w:ascii="Arial" w:cs="Arial" w:eastAsia="Arial" w:hAnsi="Arial"/>
                <w:sz w:val="18"/>
                <w:szCs w:val="18"/>
                <w:b w:val="1"/>
                <w:bCs w:val="1"/>
                <w:color w:val="0000EE"/>
              </w:rPr>
            </w:pPr>
            <w:hyperlink w:anchor="page84">
              <w:r>
                <w:rPr>
                  <w:rFonts w:ascii="Arial" w:cs="Arial" w:eastAsia="Arial" w:hAnsi="Arial"/>
                  <w:sz w:val="18"/>
                  <w:szCs w:val="18"/>
                  <w:b w:val="1"/>
                  <w:bCs w:val="1"/>
                  <w:color w:val="0000EE"/>
                </w:rPr>
                <w:t>Item 9B.</w:t>
              </w:r>
            </w:hyperlink>
          </w:p>
        </w:tc>
        <w:tc>
          <w:tcPr>
            <w:tcW w:w="9140" w:type="dxa"/>
            <w:vAlign w:val="bottom"/>
            <w:gridSpan w:val="35"/>
          </w:tcPr>
          <w:p>
            <w:pPr>
              <w:spacing w:after="0" w:line="196" w:lineRule="exact"/>
              <w:rPr>
                <w:rFonts w:ascii="Arial" w:cs="Arial" w:eastAsia="Arial" w:hAnsi="Arial"/>
                <w:sz w:val="18"/>
                <w:szCs w:val="18"/>
                <w:color w:val="0000EE"/>
              </w:rPr>
            </w:pPr>
            <w:hyperlink w:anchor="page84">
              <w:r>
                <w:rPr>
                  <w:rFonts w:ascii="Arial" w:cs="Arial" w:eastAsia="Arial" w:hAnsi="Arial"/>
                  <w:sz w:val="18"/>
                  <w:szCs w:val="18"/>
                  <w:color w:val="0000EE"/>
                </w:rPr>
                <w:t>Other Information</w:t>
              </w:r>
            </w:hyperlink>
          </w:p>
        </w:tc>
        <w:tc>
          <w:tcPr>
            <w:tcW w:w="1400" w:type="dxa"/>
            <w:vAlign w:val="bottom"/>
          </w:tcPr>
          <w:p>
            <w:pPr>
              <w:jc w:val="right"/>
              <w:spacing w:after="0" w:line="196" w:lineRule="exact"/>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345"/>
        </w:trPr>
        <w:tc>
          <w:tcPr>
            <w:tcW w:w="5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Borders>
              <w:bottom w:val="single" w:sz="8" w:color="0000EE"/>
            </w:tcBorders>
            <w:gridSpan w:val="7"/>
          </w:tcPr>
          <w:p>
            <w:pPr>
              <w:jc w:val="center"/>
              <w:ind w:right="20"/>
              <w:spacing w:after="0"/>
              <w:rPr>
                <w:rFonts w:ascii="Arial" w:cs="Arial" w:eastAsia="Arial" w:hAnsi="Arial"/>
                <w:sz w:val="18"/>
                <w:szCs w:val="18"/>
                <w:b w:val="1"/>
                <w:bCs w:val="1"/>
                <w:color w:val="0000EE"/>
              </w:rPr>
            </w:pPr>
            <w:hyperlink w:anchor="page85">
              <w:r>
                <w:rPr>
                  <w:rFonts w:ascii="Arial" w:cs="Arial" w:eastAsia="Arial" w:hAnsi="Arial"/>
                  <w:sz w:val="18"/>
                  <w:szCs w:val="18"/>
                  <w:b w:val="1"/>
                  <w:bCs w:val="1"/>
                  <w:color w:val="0000EE"/>
                </w:rPr>
                <w:t>Part III</w:t>
              </w:r>
            </w:hyperlink>
          </w:p>
        </w:tc>
        <w:tc>
          <w:tcPr>
            <w:tcW w:w="3920" w:type="dxa"/>
            <w:vAlign w:val="bottom"/>
            <w:gridSpan w:val="7"/>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920" w:type="dxa"/>
            <w:vAlign w:val="bottom"/>
            <w:gridSpan w:val="3"/>
          </w:tcPr>
          <w:p>
            <w:pPr>
              <w:spacing w:after="0"/>
              <w:rPr>
                <w:rFonts w:ascii="Arial" w:cs="Arial" w:eastAsia="Arial" w:hAnsi="Arial"/>
                <w:sz w:val="18"/>
                <w:szCs w:val="18"/>
                <w:b w:val="1"/>
                <w:bCs w:val="1"/>
                <w:color w:val="0000EE"/>
              </w:rPr>
            </w:pPr>
            <w:hyperlink w:anchor="page85">
              <w:r>
                <w:rPr>
                  <w:rFonts w:ascii="Arial" w:cs="Arial" w:eastAsia="Arial" w:hAnsi="Arial"/>
                  <w:sz w:val="18"/>
                  <w:szCs w:val="18"/>
                  <w:b w:val="1"/>
                  <w:bCs w:val="1"/>
                  <w:color w:val="0000EE"/>
                </w:rPr>
                <w:t>Item 10.</w:t>
              </w:r>
            </w:hyperlink>
          </w:p>
        </w:tc>
        <w:tc>
          <w:tcPr>
            <w:tcW w:w="9140" w:type="dxa"/>
            <w:vAlign w:val="bottom"/>
            <w:gridSpan w:val="35"/>
          </w:tcPr>
          <w:p>
            <w:pPr>
              <w:spacing w:after="0"/>
              <w:rPr>
                <w:rFonts w:ascii="Arial" w:cs="Arial" w:eastAsia="Arial" w:hAnsi="Arial"/>
                <w:sz w:val="18"/>
                <w:szCs w:val="18"/>
                <w:color w:val="0000EE"/>
              </w:rPr>
            </w:pPr>
            <w:hyperlink w:anchor="page85">
              <w:r>
                <w:rPr>
                  <w:rFonts w:ascii="Arial" w:cs="Arial" w:eastAsia="Arial" w:hAnsi="Arial"/>
                  <w:sz w:val="18"/>
                  <w:szCs w:val="18"/>
                  <w:color w:val="0000EE"/>
                </w:rPr>
                <w:t>Directors, Executive Officers and Corporate Governance</w:t>
              </w:r>
            </w:hyperlink>
          </w:p>
        </w:tc>
        <w:tc>
          <w:tcPr>
            <w:tcW w:w="1400" w:type="dxa"/>
            <w:vAlign w:val="bottom"/>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0"/>
        </w:trPr>
        <w:tc>
          <w:tcPr>
            <w:tcW w:w="660" w:type="dxa"/>
            <w:vAlign w:val="bottom"/>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Borders>
              <w:bottom w:val="single" w:sz="8" w:color="0000EE"/>
            </w:tcBorders>
            <w:gridSpan w:val="3"/>
            <w:shd w:val="clear" w:color="auto" w:fill="0000EE"/>
          </w:tcPr>
          <w:p>
            <w:pPr>
              <w:spacing w:after="0" w:line="20" w:lineRule="exact"/>
              <w:rPr>
                <w:sz w:val="1"/>
                <w:szCs w:val="1"/>
                <w:color w:val="auto"/>
              </w:rPr>
            </w:pPr>
          </w:p>
        </w:tc>
        <w:tc>
          <w:tcPr>
            <w:tcW w:w="580" w:type="dxa"/>
            <w:vAlign w:val="bottom"/>
            <w:tcBorders>
              <w:bottom w:val="single" w:sz="8" w:color="0000EE"/>
            </w:tcBorders>
            <w:gridSpan w:val="3"/>
            <w:shd w:val="clear" w:color="auto" w:fill="0000EE"/>
          </w:tcPr>
          <w:p>
            <w:pPr>
              <w:spacing w:after="0" w:line="20" w:lineRule="exact"/>
              <w:rPr>
                <w:sz w:val="1"/>
                <w:szCs w:val="1"/>
                <w:color w:val="auto"/>
              </w:rPr>
            </w:pPr>
          </w:p>
        </w:tc>
        <w:tc>
          <w:tcPr>
            <w:tcW w:w="440" w:type="dxa"/>
            <w:vAlign w:val="bottom"/>
            <w:tcBorders>
              <w:bottom w:val="single" w:sz="8" w:color="0000EE"/>
            </w:tcBorders>
            <w:gridSpan w:val="3"/>
            <w:shd w:val="clear" w:color="auto" w:fill="0000EE"/>
          </w:tcPr>
          <w:p>
            <w:pPr>
              <w:spacing w:after="0" w:line="20" w:lineRule="exact"/>
              <w:rPr>
                <w:sz w:val="1"/>
                <w:szCs w:val="1"/>
                <w:color w:val="auto"/>
              </w:rPr>
            </w:pPr>
          </w:p>
        </w:tc>
        <w:tc>
          <w:tcPr>
            <w:tcW w:w="1040" w:type="dxa"/>
            <w:vAlign w:val="bottom"/>
            <w:tcBorders>
              <w:bottom w:val="single" w:sz="8" w:color="0000EE"/>
            </w:tcBorders>
            <w:gridSpan w:val="5"/>
            <w:shd w:val="clear" w:color="auto" w:fill="0000EE"/>
          </w:tcPr>
          <w:p>
            <w:pPr>
              <w:spacing w:after="0" w:line="20" w:lineRule="exact"/>
              <w:rPr>
                <w:sz w:val="1"/>
                <w:szCs w:val="1"/>
                <w:color w:val="auto"/>
              </w:rPr>
            </w:pPr>
          </w:p>
        </w:tc>
        <w:tc>
          <w:tcPr>
            <w:tcW w:w="40" w:type="dxa"/>
            <w:vAlign w:val="bottom"/>
            <w:tcBorders>
              <w:bottom w:val="single" w:sz="8" w:color="0000EE"/>
            </w:tcBorders>
            <w:shd w:val="clear" w:color="auto" w:fill="0000EE"/>
          </w:tcPr>
          <w:p>
            <w:pPr>
              <w:spacing w:after="0" w:line="20" w:lineRule="exact"/>
              <w:rPr>
                <w:sz w:val="1"/>
                <w:szCs w:val="1"/>
                <w:color w:val="auto"/>
              </w:rPr>
            </w:pPr>
          </w:p>
        </w:tc>
        <w:tc>
          <w:tcPr>
            <w:tcW w:w="1160" w:type="dxa"/>
            <w:vAlign w:val="bottom"/>
            <w:tcBorders>
              <w:bottom w:val="single" w:sz="8" w:color="0000EE"/>
            </w:tcBorders>
            <w:gridSpan w:val="2"/>
            <w:shd w:val="clear" w:color="auto" w:fill="0000EE"/>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60" w:type="dxa"/>
            <w:vAlign w:val="bottom"/>
            <w:gridSpan w:val="5"/>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00" w:type="dxa"/>
            <w:vAlign w:val="bottom"/>
            <w:gridSpan w:val="4"/>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920" w:type="dxa"/>
            <w:vAlign w:val="bottom"/>
            <w:gridSpan w:val="3"/>
          </w:tcPr>
          <w:p>
            <w:pPr>
              <w:spacing w:after="0" w:line="176" w:lineRule="exact"/>
              <w:rPr>
                <w:rFonts w:ascii="Arial" w:cs="Arial" w:eastAsia="Arial" w:hAnsi="Arial"/>
                <w:sz w:val="18"/>
                <w:szCs w:val="18"/>
                <w:b w:val="1"/>
                <w:bCs w:val="1"/>
                <w:color w:val="0000EE"/>
              </w:rPr>
            </w:pPr>
            <w:hyperlink w:anchor="page85">
              <w:r>
                <w:rPr>
                  <w:rFonts w:ascii="Arial" w:cs="Arial" w:eastAsia="Arial" w:hAnsi="Arial"/>
                  <w:sz w:val="18"/>
                  <w:szCs w:val="18"/>
                  <w:b w:val="1"/>
                  <w:bCs w:val="1"/>
                  <w:color w:val="0000EE"/>
                </w:rPr>
                <w:t>Item 11.</w:t>
              </w:r>
            </w:hyperlink>
          </w:p>
        </w:tc>
        <w:tc>
          <w:tcPr>
            <w:tcW w:w="9140" w:type="dxa"/>
            <w:vAlign w:val="bottom"/>
            <w:gridSpan w:val="35"/>
          </w:tcPr>
          <w:p>
            <w:pPr>
              <w:spacing w:after="0" w:line="176" w:lineRule="exact"/>
              <w:rPr>
                <w:rFonts w:ascii="Arial" w:cs="Arial" w:eastAsia="Arial" w:hAnsi="Arial"/>
                <w:sz w:val="18"/>
                <w:szCs w:val="18"/>
                <w:color w:val="0000EE"/>
              </w:rPr>
            </w:pPr>
            <w:hyperlink w:anchor="page85">
              <w:r>
                <w:rPr>
                  <w:rFonts w:ascii="Arial" w:cs="Arial" w:eastAsia="Arial" w:hAnsi="Arial"/>
                  <w:sz w:val="18"/>
                  <w:szCs w:val="18"/>
                  <w:color w:val="0000EE"/>
                </w:rPr>
                <w:t>Executive Compensation</w:t>
              </w:r>
            </w:hyperlink>
          </w:p>
        </w:tc>
        <w:tc>
          <w:tcPr>
            <w:tcW w:w="1400" w:type="dxa"/>
            <w:vAlign w:val="bottom"/>
          </w:tcPr>
          <w:p>
            <w:pPr>
              <w:jc w:val="right"/>
              <w:spacing w:after="0" w:line="176" w:lineRule="exact"/>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0"/>
        </w:trPr>
        <w:tc>
          <w:tcPr>
            <w:tcW w:w="660" w:type="dxa"/>
            <w:vAlign w:val="bottom"/>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104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20" w:type="dxa"/>
            <w:vAlign w:val="bottom"/>
            <w:gridSpan w:val="5"/>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60" w:type="dxa"/>
            <w:vAlign w:val="bottom"/>
            <w:gridSpan w:val="5"/>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00" w:type="dxa"/>
            <w:vAlign w:val="bottom"/>
            <w:gridSpan w:val="4"/>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gridSpan w:val="3"/>
          </w:tcPr>
          <w:p>
            <w:pPr>
              <w:spacing w:after="0" w:line="196" w:lineRule="exact"/>
              <w:rPr>
                <w:rFonts w:ascii="Arial" w:cs="Arial" w:eastAsia="Arial" w:hAnsi="Arial"/>
                <w:sz w:val="18"/>
                <w:szCs w:val="18"/>
                <w:b w:val="1"/>
                <w:bCs w:val="1"/>
                <w:color w:val="0000EE"/>
              </w:rPr>
            </w:pPr>
            <w:hyperlink w:anchor="page85">
              <w:r>
                <w:rPr>
                  <w:rFonts w:ascii="Arial" w:cs="Arial" w:eastAsia="Arial" w:hAnsi="Arial"/>
                  <w:sz w:val="18"/>
                  <w:szCs w:val="18"/>
                  <w:b w:val="1"/>
                  <w:bCs w:val="1"/>
                  <w:color w:val="0000EE"/>
                </w:rPr>
                <w:t>Item 12.</w:t>
              </w:r>
            </w:hyperlink>
          </w:p>
        </w:tc>
        <w:tc>
          <w:tcPr>
            <w:tcW w:w="9140" w:type="dxa"/>
            <w:vAlign w:val="bottom"/>
            <w:gridSpan w:val="35"/>
          </w:tcPr>
          <w:p>
            <w:pPr>
              <w:spacing w:after="0" w:line="196" w:lineRule="exact"/>
              <w:rPr>
                <w:rFonts w:ascii="Arial" w:cs="Arial" w:eastAsia="Arial" w:hAnsi="Arial"/>
                <w:sz w:val="18"/>
                <w:szCs w:val="18"/>
                <w:color w:val="0000EE"/>
              </w:rPr>
            </w:pPr>
            <w:hyperlink w:anchor="page85">
              <w:r>
                <w:rPr>
                  <w:rFonts w:ascii="Arial" w:cs="Arial" w:eastAsia="Arial" w:hAnsi="Arial"/>
                  <w:sz w:val="18"/>
                  <w:szCs w:val="18"/>
                  <w:color w:val="0000EE"/>
                </w:rPr>
                <w:t>Security Ownership of Certain Beneficial Owners and Management and Related Stockholder Matters</w:t>
              </w:r>
            </w:hyperlink>
          </w:p>
        </w:tc>
        <w:tc>
          <w:tcPr>
            <w:tcW w:w="1400" w:type="dxa"/>
            <w:vAlign w:val="bottom"/>
          </w:tcPr>
          <w:p>
            <w:pPr>
              <w:jc w:val="right"/>
              <w:spacing w:after="0" w:line="196" w:lineRule="exact"/>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0"/>
        </w:trPr>
        <w:tc>
          <w:tcPr>
            <w:tcW w:w="660" w:type="dxa"/>
            <w:vAlign w:val="bottom"/>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Borders>
              <w:bottom w:val="single" w:sz="8" w:color="0000EE"/>
            </w:tcBorders>
            <w:gridSpan w:val="3"/>
            <w:shd w:val="clear" w:color="auto" w:fill="0000EE"/>
          </w:tcPr>
          <w:p>
            <w:pPr>
              <w:spacing w:after="0" w:line="20" w:lineRule="exact"/>
              <w:rPr>
                <w:sz w:val="1"/>
                <w:szCs w:val="1"/>
                <w:color w:val="auto"/>
              </w:rPr>
            </w:pPr>
          </w:p>
        </w:tc>
        <w:tc>
          <w:tcPr>
            <w:tcW w:w="580" w:type="dxa"/>
            <w:vAlign w:val="bottom"/>
            <w:tcBorders>
              <w:bottom w:val="single" w:sz="8" w:color="0000EE"/>
            </w:tcBorders>
            <w:gridSpan w:val="3"/>
            <w:shd w:val="clear" w:color="auto" w:fill="0000EE"/>
          </w:tcPr>
          <w:p>
            <w:pPr>
              <w:spacing w:after="0" w:line="20" w:lineRule="exact"/>
              <w:rPr>
                <w:sz w:val="1"/>
                <w:szCs w:val="1"/>
                <w:color w:val="auto"/>
              </w:rPr>
            </w:pPr>
          </w:p>
        </w:tc>
        <w:tc>
          <w:tcPr>
            <w:tcW w:w="1480" w:type="dxa"/>
            <w:vAlign w:val="bottom"/>
            <w:tcBorders>
              <w:bottom w:val="single" w:sz="8" w:color="0000EE"/>
            </w:tcBorders>
            <w:gridSpan w:val="8"/>
            <w:shd w:val="clear" w:color="auto" w:fill="0000EE"/>
          </w:tcPr>
          <w:p>
            <w:pPr>
              <w:spacing w:after="0" w:line="20" w:lineRule="exact"/>
              <w:rPr>
                <w:sz w:val="1"/>
                <w:szCs w:val="1"/>
                <w:color w:val="auto"/>
              </w:rPr>
            </w:pPr>
          </w:p>
        </w:tc>
        <w:tc>
          <w:tcPr>
            <w:tcW w:w="40" w:type="dxa"/>
            <w:vAlign w:val="bottom"/>
            <w:tcBorders>
              <w:bottom w:val="single" w:sz="8" w:color="0000EE"/>
            </w:tcBorders>
            <w:shd w:val="clear" w:color="auto" w:fill="0000EE"/>
          </w:tcPr>
          <w:p>
            <w:pPr>
              <w:spacing w:after="0" w:line="20" w:lineRule="exact"/>
              <w:rPr>
                <w:sz w:val="1"/>
                <w:szCs w:val="1"/>
                <w:color w:val="auto"/>
              </w:rPr>
            </w:pPr>
          </w:p>
        </w:tc>
        <w:tc>
          <w:tcPr>
            <w:tcW w:w="1520" w:type="dxa"/>
            <w:vAlign w:val="bottom"/>
            <w:tcBorders>
              <w:bottom w:val="single" w:sz="8" w:color="0000EE"/>
            </w:tcBorders>
            <w:gridSpan w:val="5"/>
            <w:shd w:val="clear" w:color="auto" w:fill="0000EE"/>
          </w:tcPr>
          <w:p>
            <w:pPr>
              <w:spacing w:after="0" w:line="20" w:lineRule="exact"/>
              <w:rPr>
                <w:sz w:val="1"/>
                <w:szCs w:val="1"/>
                <w:color w:val="auto"/>
              </w:rPr>
            </w:pPr>
          </w:p>
        </w:tc>
        <w:tc>
          <w:tcPr>
            <w:tcW w:w="280" w:type="dxa"/>
            <w:vAlign w:val="bottom"/>
            <w:tcBorders>
              <w:bottom w:val="single" w:sz="8" w:color="0000EE"/>
            </w:tcBorders>
            <w:gridSpan w:val="2"/>
            <w:shd w:val="clear" w:color="auto" w:fill="0000EE"/>
          </w:tcPr>
          <w:p>
            <w:pPr>
              <w:spacing w:after="0" w:line="20" w:lineRule="exact"/>
              <w:rPr>
                <w:sz w:val="1"/>
                <w:szCs w:val="1"/>
                <w:color w:val="auto"/>
              </w:rPr>
            </w:pPr>
          </w:p>
        </w:tc>
        <w:tc>
          <w:tcPr>
            <w:tcW w:w="560" w:type="dxa"/>
            <w:vAlign w:val="bottom"/>
            <w:tcBorders>
              <w:bottom w:val="single" w:sz="8" w:color="0000EE"/>
            </w:tcBorders>
            <w:gridSpan w:val="5"/>
            <w:shd w:val="clear" w:color="auto" w:fill="0000EE"/>
          </w:tcPr>
          <w:p>
            <w:pPr>
              <w:spacing w:after="0" w:line="20" w:lineRule="exact"/>
              <w:rPr>
                <w:sz w:val="1"/>
                <w:szCs w:val="1"/>
                <w:color w:val="auto"/>
              </w:rPr>
            </w:pPr>
          </w:p>
        </w:tc>
        <w:tc>
          <w:tcPr>
            <w:tcW w:w="120" w:type="dxa"/>
            <w:vAlign w:val="bottom"/>
            <w:tcBorders>
              <w:bottom w:val="single" w:sz="8" w:color="0000EE"/>
            </w:tcBorders>
            <w:gridSpan w:val="2"/>
            <w:shd w:val="clear" w:color="auto" w:fill="0000EE"/>
          </w:tcPr>
          <w:p>
            <w:pPr>
              <w:spacing w:after="0" w:line="20" w:lineRule="exact"/>
              <w:rPr>
                <w:sz w:val="1"/>
                <w:szCs w:val="1"/>
                <w:color w:val="auto"/>
              </w:rPr>
            </w:pPr>
          </w:p>
        </w:tc>
        <w:tc>
          <w:tcPr>
            <w:tcW w:w="1800" w:type="dxa"/>
            <w:vAlign w:val="bottom"/>
            <w:tcBorders>
              <w:bottom w:val="single" w:sz="8" w:color="0000EE"/>
            </w:tcBorders>
            <w:gridSpan w:val="4"/>
            <w:shd w:val="clear" w:color="auto" w:fill="0000EE"/>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920" w:type="dxa"/>
            <w:vAlign w:val="bottom"/>
            <w:gridSpan w:val="3"/>
          </w:tcPr>
          <w:p>
            <w:pPr>
              <w:spacing w:after="0" w:line="176" w:lineRule="exact"/>
              <w:rPr>
                <w:rFonts w:ascii="Arial" w:cs="Arial" w:eastAsia="Arial" w:hAnsi="Arial"/>
                <w:sz w:val="18"/>
                <w:szCs w:val="18"/>
                <w:b w:val="1"/>
                <w:bCs w:val="1"/>
                <w:color w:val="0000EE"/>
              </w:rPr>
            </w:pPr>
            <w:hyperlink w:anchor="page85">
              <w:r>
                <w:rPr>
                  <w:rFonts w:ascii="Arial" w:cs="Arial" w:eastAsia="Arial" w:hAnsi="Arial"/>
                  <w:sz w:val="18"/>
                  <w:szCs w:val="18"/>
                  <w:b w:val="1"/>
                  <w:bCs w:val="1"/>
                  <w:color w:val="0000EE"/>
                </w:rPr>
                <w:t>Item 13.</w:t>
              </w:r>
            </w:hyperlink>
          </w:p>
        </w:tc>
        <w:tc>
          <w:tcPr>
            <w:tcW w:w="9140" w:type="dxa"/>
            <w:vAlign w:val="bottom"/>
            <w:gridSpan w:val="35"/>
          </w:tcPr>
          <w:p>
            <w:pPr>
              <w:spacing w:after="0" w:line="176" w:lineRule="exact"/>
              <w:rPr>
                <w:rFonts w:ascii="Arial" w:cs="Arial" w:eastAsia="Arial" w:hAnsi="Arial"/>
                <w:sz w:val="18"/>
                <w:szCs w:val="18"/>
                <w:color w:val="0000EE"/>
              </w:rPr>
            </w:pPr>
            <w:hyperlink w:anchor="page85">
              <w:r>
                <w:rPr>
                  <w:rFonts w:ascii="Arial" w:cs="Arial" w:eastAsia="Arial" w:hAnsi="Arial"/>
                  <w:sz w:val="18"/>
                  <w:szCs w:val="18"/>
                  <w:color w:val="0000EE"/>
                </w:rPr>
                <w:t>Certain Relationships and Related Transactions, and Director Independence</w:t>
              </w:r>
            </w:hyperlink>
          </w:p>
        </w:tc>
        <w:tc>
          <w:tcPr>
            <w:tcW w:w="1400" w:type="dxa"/>
            <w:vAlign w:val="bottom"/>
          </w:tcPr>
          <w:p>
            <w:pPr>
              <w:jc w:val="right"/>
              <w:spacing w:after="0" w:line="176" w:lineRule="exact"/>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0"/>
        </w:trPr>
        <w:tc>
          <w:tcPr>
            <w:tcW w:w="660" w:type="dxa"/>
            <w:vAlign w:val="bottom"/>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Borders>
              <w:bottom w:val="single" w:sz="8" w:color="0000EE"/>
            </w:tcBorders>
            <w:gridSpan w:val="3"/>
            <w:shd w:val="clear" w:color="auto" w:fill="0000EE"/>
          </w:tcPr>
          <w:p>
            <w:pPr>
              <w:spacing w:after="0" w:line="20" w:lineRule="exact"/>
              <w:rPr>
                <w:sz w:val="1"/>
                <w:szCs w:val="1"/>
                <w:color w:val="auto"/>
              </w:rPr>
            </w:pPr>
          </w:p>
        </w:tc>
        <w:tc>
          <w:tcPr>
            <w:tcW w:w="580" w:type="dxa"/>
            <w:vAlign w:val="bottom"/>
            <w:tcBorders>
              <w:bottom w:val="single" w:sz="8" w:color="0000EE"/>
            </w:tcBorders>
            <w:gridSpan w:val="3"/>
            <w:shd w:val="clear" w:color="auto" w:fill="0000EE"/>
          </w:tcPr>
          <w:p>
            <w:pPr>
              <w:spacing w:after="0" w:line="20" w:lineRule="exact"/>
              <w:rPr>
                <w:sz w:val="1"/>
                <w:szCs w:val="1"/>
                <w:color w:val="auto"/>
              </w:rPr>
            </w:pPr>
          </w:p>
        </w:tc>
        <w:tc>
          <w:tcPr>
            <w:tcW w:w="1480" w:type="dxa"/>
            <w:vAlign w:val="bottom"/>
            <w:tcBorders>
              <w:bottom w:val="single" w:sz="8" w:color="0000EE"/>
            </w:tcBorders>
            <w:gridSpan w:val="8"/>
            <w:shd w:val="clear" w:color="auto" w:fill="0000EE"/>
          </w:tcPr>
          <w:p>
            <w:pPr>
              <w:spacing w:after="0" w:line="20" w:lineRule="exact"/>
              <w:rPr>
                <w:sz w:val="1"/>
                <w:szCs w:val="1"/>
                <w:color w:val="auto"/>
              </w:rPr>
            </w:pPr>
          </w:p>
        </w:tc>
        <w:tc>
          <w:tcPr>
            <w:tcW w:w="40" w:type="dxa"/>
            <w:vAlign w:val="bottom"/>
            <w:tcBorders>
              <w:bottom w:val="single" w:sz="8" w:color="0000EE"/>
            </w:tcBorders>
            <w:shd w:val="clear" w:color="auto" w:fill="0000EE"/>
          </w:tcPr>
          <w:p>
            <w:pPr>
              <w:spacing w:after="0" w:line="20" w:lineRule="exact"/>
              <w:rPr>
                <w:sz w:val="1"/>
                <w:szCs w:val="1"/>
                <w:color w:val="auto"/>
              </w:rPr>
            </w:pPr>
          </w:p>
        </w:tc>
        <w:tc>
          <w:tcPr>
            <w:tcW w:w="1520" w:type="dxa"/>
            <w:vAlign w:val="bottom"/>
            <w:tcBorders>
              <w:bottom w:val="single" w:sz="8" w:color="0000EE"/>
            </w:tcBorders>
            <w:gridSpan w:val="5"/>
            <w:shd w:val="clear" w:color="auto" w:fill="0000EE"/>
          </w:tcPr>
          <w:p>
            <w:pPr>
              <w:spacing w:after="0" w:line="20" w:lineRule="exact"/>
              <w:rPr>
                <w:sz w:val="1"/>
                <w:szCs w:val="1"/>
                <w:color w:val="auto"/>
              </w:rPr>
            </w:pPr>
          </w:p>
        </w:tc>
        <w:tc>
          <w:tcPr>
            <w:tcW w:w="280" w:type="dxa"/>
            <w:vAlign w:val="bottom"/>
            <w:tcBorders>
              <w:bottom w:val="single" w:sz="8" w:color="0000EE"/>
            </w:tcBorders>
            <w:gridSpan w:val="2"/>
            <w:shd w:val="clear" w:color="auto" w:fill="0000EE"/>
          </w:tcPr>
          <w:p>
            <w:pPr>
              <w:spacing w:after="0" w:line="20" w:lineRule="exact"/>
              <w:rPr>
                <w:sz w:val="1"/>
                <w:szCs w:val="1"/>
                <w:color w:val="auto"/>
              </w:rPr>
            </w:pPr>
          </w:p>
        </w:tc>
        <w:tc>
          <w:tcPr>
            <w:tcW w:w="560" w:type="dxa"/>
            <w:vAlign w:val="bottom"/>
            <w:tcBorders>
              <w:bottom w:val="single" w:sz="8" w:color="0000EE"/>
            </w:tcBorders>
            <w:gridSpan w:val="5"/>
            <w:shd w:val="clear" w:color="auto" w:fill="0000EE"/>
          </w:tcPr>
          <w:p>
            <w:pPr>
              <w:spacing w:after="0" w:line="20" w:lineRule="exact"/>
              <w:rPr>
                <w:sz w:val="1"/>
                <w:szCs w:val="1"/>
                <w:color w:val="auto"/>
              </w:rPr>
            </w:pPr>
          </w:p>
        </w:tc>
        <w:tc>
          <w:tcPr>
            <w:tcW w:w="120" w:type="dxa"/>
            <w:vAlign w:val="bottom"/>
            <w:tcBorders>
              <w:bottom w:val="single" w:sz="8" w:color="0000EE"/>
            </w:tcBorders>
            <w:gridSpan w:val="2"/>
            <w:shd w:val="clear" w:color="auto" w:fill="0000EE"/>
          </w:tcPr>
          <w:p>
            <w:pPr>
              <w:spacing w:after="0" w:line="20" w:lineRule="exact"/>
              <w:rPr>
                <w:sz w:val="1"/>
                <w:szCs w:val="1"/>
                <w:color w:val="auto"/>
              </w:rPr>
            </w:pPr>
          </w:p>
        </w:tc>
        <w:tc>
          <w:tcPr>
            <w:tcW w:w="3820" w:type="dxa"/>
            <w:vAlign w:val="bottom"/>
            <w:gridSpan w:val="6"/>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920" w:type="dxa"/>
            <w:vAlign w:val="bottom"/>
            <w:gridSpan w:val="3"/>
          </w:tcPr>
          <w:p>
            <w:pPr>
              <w:spacing w:after="0" w:line="176" w:lineRule="exact"/>
              <w:rPr>
                <w:rFonts w:ascii="Arial" w:cs="Arial" w:eastAsia="Arial" w:hAnsi="Arial"/>
                <w:sz w:val="18"/>
                <w:szCs w:val="18"/>
                <w:b w:val="1"/>
                <w:bCs w:val="1"/>
                <w:color w:val="0000EE"/>
              </w:rPr>
            </w:pPr>
            <w:hyperlink w:anchor="page85">
              <w:r>
                <w:rPr>
                  <w:rFonts w:ascii="Arial" w:cs="Arial" w:eastAsia="Arial" w:hAnsi="Arial"/>
                  <w:sz w:val="18"/>
                  <w:szCs w:val="18"/>
                  <w:b w:val="1"/>
                  <w:bCs w:val="1"/>
                  <w:color w:val="0000EE"/>
                </w:rPr>
                <w:t>Item 14.</w:t>
              </w:r>
            </w:hyperlink>
          </w:p>
        </w:tc>
        <w:tc>
          <w:tcPr>
            <w:tcW w:w="9140" w:type="dxa"/>
            <w:vAlign w:val="bottom"/>
            <w:gridSpan w:val="35"/>
          </w:tcPr>
          <w:p>
            <w:pPr>
              <w:spacing w:after="0" w:line="176" w:lineRule="exact"/>
              <w:rPr>
                <w:rFonts w:ascii="Arial" w:cs="Arial" w:eastAsia="Arial" w:hAnsi="Arial"/>
                <w:sz w:val="18"/>
                <w:szCs w:val="18"/>
                <w:color w:val="0000EE"/>
              </w:rPr>
            </w:pPr>
            <w:hyperlink w:anchor="page85">
              <w:r>
                <w:rPr>
                  <w:rFonts w:ascii="Arial" w:cs="Arial" w:eastAsia="Arial" w:hAnsi="Arial"/>
                  <w:sz w:val="18"/>
                  <w:szCs w:val="18"/>
                  <w:color w:val="0000EE"/>
                </w:rPr>
                <w:t>Principal Accounting Fees and Services</w:t>
              </w:r>
            </w:hyperlink>
          </w:p>
        </w:tc>
        <w:tc>
          <w:tcPr>
            <w:tcW w:w="1400" w:type="dxa"/>
            <w:vAlign w:val="bottom"/>
          </w:tcPr>
          <w:p>
            <w:pPr>
              <w:jc w:val="right"/>
              <w:spacing w:after="0" w:line="176" w:lineRule="exact"/>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345"/>
        </w:trPr>
        <w:tc>
          <w:tcPr>
            <w:tcW w:w="5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520" w:type="dxa"/>
            <w:vAlign w:val="bottom"/>
            <w:gridSpan w:val="14"/>
          </w:tcPr>
          <w:p>
            <w:pPr>
              <w:jc w:val="center"/>
              <w:ind w:right="3920"/>
              <w:spacing w:after="0"/>
              <w:rPr>
                <w:rFonts w:ascii="Arial" w:cs="Arial" w:eastAsia="Arial" w:hAnsi="Arial"/>
                <w:sz w:val="18"/>
                <w:szCs w:val="18"/>
                <w:b w:val="1"/>
                <w:bCs w:val="1"/>
                <w:color w:val="0000EE"/>
                <w:w w:val="98"/>
              </w:rPr>
            </w:pPr>
            <w:hyperlink w:anchor="page86">
              <w:r>
                <w:rPr>
                  <w:rFonts w:ascii="Arial" w:cs="Arial" w:eastAsia="Arial" w:hAnsi="Arial"/>
                  <w:sz w:val="18"/>
                  <w:szCs w:val="18"/>
                  <w:b w:val="1"/>
                  <w:bCs w:val="1"/>
                  <w:color w:val="0000EE"/>
                  <w:w w:val="98"/>
                </w:rPr>
                <w:t>Part IV</w:t>
              </w:r>
            </w:hyperlink>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920" w:type="dxa"/>
            <w:vAlign w:val="bottom"/>
            <w:gridSpan w:val="3"/>
          </w:tcPr>
          <w:p>
            <w:pPr>
              <w:spacing w:after="0"/>
              <w:rPr>
                <w:rFonts w:ascii="Arial" w:cs="Arial" w:eastAsia="Arial" w:hAnsi="Arial"/>
                <w:sz w:val="18"/>
                <w:szCs w:val="18"/>
                <w:b w:val="1"/>
                <w:bCs w:val="1"/>
                <w:color w:val="0000EE"/>
              </w:rPr>
            </w:pPr>
            <w:hyperlink w:anchor="page86">
              <w:r>
                <w:rPr>
                  <w:rFonts w:ascii="Arial" w:cs="Arial" w:eastAsia="Arial" w:hAnsi="Arial"/>
                  <w:sz w:val="18"/>
                  <w:szCs w:val="18"/>
                  <w:b w:val="1"/>
                  <w:bCs w:val="1"/>
                  <w:color w:val="0000EE"/>
                </w:rPr>
                <w:t>Item 15.</w:t>
              </w:r>
            </w:hyperlink>
          </w:p>
        </w:tc>
        <w:tc>
          <w:tcPr>
            <w:tcW w:w="4640" w:type="dxa"/>
            <w:vAlign w:val="bottom"/>
            <w:gridSpan w:val="22"/>
          </w:tcPr>
          <w:p>
            <w:pPr>
              <w:spacing w:after="0"/>
              <w:rPr>
                <w:rFonts w:ascii="Arial" w:cs="Arial" w:eastAsia="Arial" w:hAnsi="Arial"/>
                <w:sz w:val="18"/>
                <w:szCs w:val="18"/>
                <w:color w:val="0000EE"/>
              </w:rPr>
            </w:pPr>
            <w:hyperlink w:anchor="page86">
              <w:r>
                <w:rPr>
                  <w:rFonts w:ascii="Arial" w:cs="Arial" w:eastAsia="Arial" w:hAnsi="Arial"/>
                  <w:sz w:val="18"/>
                  <w:szCs w:val="18"/>
                  <w:color w:val="0000EE"/>
                </w:rPr>
                <w:t>Exhibits, Financial Statement Schedules</w:t>
              </w:r>
            </w:hyperlink>
          </w:p>
        </w:tc>
        <w:tc>
          <w:tcPr>
            <w:tcW w:w="560" w:type="dxa"/>
            <w:vAlign w:val="bottom"/>
            <w:tcBorders>
              <w:top w:val="single" w:sz="8" w:color="0000EE"/>
            </w:tcBorders>
            <w:gridSpan w:val="5"/>
          </w:tcPr>
          <w:p>
            <w:pPr>
              <w:spacing w:after="0"/>
              <w:rPr>
                <w:sz w:val="24"/>
                <w:szCs w:val="24"/>
                <w:color w:val="auto"/>
              </w:rPr>
            </w:pPr>
          </w:p>
        </w:tc>
        <w:tc>
          <w:tcPr>
            <w:tcW w:w="3940" w:type="dxa"/>
            <w:vAlign w:val="bottom"/>
            <w:gridSpan w:val="8"/>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196"/>
        </w:trPr>
        <w:tc>
          <w:tcPr>
            <w:tcW w:w="5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60" w:type="dxa"/>
            <w:vAlign w:val="bottom"/>
          </w:tcPr>
          <w:p>
            <w:pPr>
              <w:spacing w:after="0"/>
              <w:rPr>
                <w:sz w:val="17"/>
                <w:szCs w:val="17"/>
                <w:color w:val="auto"/>
              </w:rPr>
            </w:pPr>
          </w:p>
        </w:tc>
        <w:tc>
          <w:tcPr>
            <w:tcW w:w="284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w:anchor="page89">
              <w:r>
                <w:rPr>
                  <w:rFonts w:ascii="Arial" w:cs="Arial" w:eastAsia="Arial" w:hAnsi="Arial"/>
                  <w:sz w:val="18"/>
                  <w:szCs w:val="18"/>
                  <w:color w:val="0000EE"/>
                </w:rPr>
                <w:t>Signatures</w:t>
              </w:r>
            </w:hyperlink>
          </w:p>
        </w:tc>
        <w:tc>
          <w:tcPr>
            <w:tcW w:w="6300" w:type="dxa"/>
            <w:vAlign w:val="bottom"/>
            <w:gridSpan w:val="20"/>
          </w:tcPr>
          <w:p>
            <w:pPr>
              <w:spacing w:after="0"/>
              <w:rPr>
                <w:sz w:val="17"/>
                <w:szCs w:val="17"/>
                <w:color w:val="auto"/>
              </w:rPr>
            </w:pPr>
          </w:p>
        </w:tc>
        <w:tc>
          <w:tcPr>
            <w:tcW w:w="1400" w:type="dxa"/>
            <w:vAlign w:val="bottom"/>
          </w:tcPr>
          <w:p>
            <w:pPr>
              <w:jc w:val="right"/>
              <w:spacing w:after="0" w:line="196" w:lineRule="exact"/>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3040" w:type="dxa"/>
            <w:vAlign w:val="bottom"/>
            <w:gridSpan w:val="14"/>
          </w:tcPr>
          <w:p>
            <w:pPr>
              <w:spacing w:after="0" w:line="20" w:lineRule="exact"/>
              <w:rPr>
                <w:sz w:val="1"/>
                <w:szCs w:val="1"/>
                <w:color w:val="auto"/>
              </w:rPr>
            </w:pPr>
          </w:p>
        </w:tc>
        <w:tc>
          <w:tcPr>
            <w:tcW w:w="4780" w:type="dxa"/>
            <w:vAlign w:val="bottom"/>
            <w:gridSpan w:val="15"/>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Borders>
              <w:bottom w:val="single" w:sz="8" w:color="0000EE"/>
            </w:tcBorders>
            <w:gridSpan w:val="6"/>
          </w:tcPr>
          <w:p>
            <w:pPr>
              <w:spacing w:after="0" w:line="196" w:lineRule="exact"/>
              <w:rPr>
                <w:rFonts w:ascii="Arial" w:cs="Arial" w:eastAsia="Arial" w:hAnsi="Arial"/>
                <w:sz w:val="18"/>
                <w:szCs w:val="18"/>
                <w:color w:val="0000EE"/>
                <w:w w:val="90"/>
              </w:rPr>
            </w:pPr>
            <w:hyperlink w:anchor="page89">
              <w:r>
                <w:rPr>
                  <w:rFonts w:ascii="Arial" w:cs="Arial" w:eastAsia="Arial" w:hAnsi="Arial"/>
                  <w:sz w:val="18"/>
                  <w:szCs w:val="18"/>
                  <w:color w:val="0000EE"/>
                  <w:w w:val="90"/>
                </w:rPr>
                <w:t>Power of Attorney</w:t>
              </w:r>
            </w:hyperlink>
          </w:p>
        </w:tc>
        <w:tc>
          <w:tcPr>
            <w:tcW w:w="7820" w:type="dxa"/>
            <w:vAlign w:val="bottom"/>
            <w:gridSpan w:val="29"/>
          </w:tcPr>
          <w:p>
            <w:pPr>
              <w:spacing w:after="0"/>
              <w:rPr>
                <w:sz w:val="17"/>
                <w:szCs w:val="17"/>
                <w:color w:val="auto"/>
              </w:rPr>
            </w:pPr>
          </w:p>
        </w:tc>
        <w:tc>
          <w:tcPr>
            <w:tcW w:w="1400" w:type="dxa"/>
            <w:vAlign w:val="bottom"/>
          </w:tcPr>
          <w:p>
            <w:pPr>
              <w:jc w:val="right"/>
              <w:spacing w:after="0" w:line="196" w:lineRule="exact"/>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196"/>
        </w:trPr>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140" w:type="dxa"/>
            <w:vAlign w:val="bottom"/>
            <w:gridSpan w:val="35"/>
          </w:tcPr>
          <w:p>
            <w:pPr>
              <w:spacing w:after="0" w:line="196" w:lineRule="exact"/>
              <w:rPr>
                <w:rFonts w:ascii="Arial" w:cs="Arial" w:eastAsia="Arial" w:hAnsi="Arial"/>
                <w:sz w:val="18"/>
                <w:szCs w:val="18"/>
                <w:color w:val="0000EE"/>
              </w:rPr>
            </w:pPr>
            <w:hyperlink w:anchor="page92">
              <w:r>
                <w:rPr>
                  <w:rFonts w:ascii="Arial" w:cs="Arial" w:eastAsia="Arial" w:hAnsi="Arial"/>
                  <w:sz w:val="18"/>
                  <w:szCs w:val="18"/>
                  <w:color w:val="0000EE"/>
                </w:rPr>
                <w:t>Schedule II: Valuation and Qualifying Accounts and Reserves</w:t>
              </w:r>
            </w:hyperlink>
          </w:p>
        </w:tc>
        <w:tc>
          <w:tcPr>
            <w:tcW w:w="1400" w:type="dxa"/>
            <w:vAlign w:val="bottom"/>
          </w:tcPr>
          <w:p>
            <w:pPr>
              <w:jc w:val="right"/>
              <w:spacing w:after="0" w:line="196" w:lineRule="exact"/>
              <w:rPr>
                <w:sz w:val="20"/>
                <w:szCs w:val="20"/>
                <w:color w:val="auto"/>
              </w:rPr>
            </w:pPr>
            <w:r>
              <w:rPr>
                <w:rFonts w:ascii="Arial" w:cs="Arial" w:eastAsia="Arial" w:hAnsi="Arial"/>
                <w:sz w:val="18"/>
                <w:szCs w:val="18"/>
                <w:color w:val="auto"/>
              </w:rPr>
              <w:t>S-2</w:t>
            </w:r>
          </w:p>
        </w:tc>
        <w:tc>
          <w:tcPr>
            <w:tcW w:w="0" w:type="dxa"/>
            <w:vAlign w:val="bottom"/>
          </w:tcPr>
          <w:p>
            <w:pPr>
              <w:spacing w:after="0"/>
              <w:rPr>
                <w:sz w:val="1"/>
                <w:szCs w:val="1"/>
                <w:color w:val="auto"/>
              </w:rPr>
            </w:pPr>
          </w:p>
        </w:tc>
      </w:tr>
      <w:tr>
        <w:trPr>
          <w:trHeight w:val="814"/>
        </w:trPr>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9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56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260" w:type="dxa"/>
            <w:vAlign w:val="bottom"/>
            <w:tcBorders>
              <w:left w:val="single" w:sz="8" w:color="808080"/>
            </w:tcBorders>
            <w:shd w:val="clear" w:color="auto" w:fill="808080"/>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80" w:type="dxa"/>
            <w:vAlign w:val="bottom"/>
            <w:tcBorders>
              <w:right w:val="single" w:sz="8" w:color="808080"/>
            </w:tcBorders>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420" w:type="dxa"/>
            <w:vAlign w:val="bottom"/>
            <w:tcBorders>
              <w:right w:val="single" w:sz="8" w:color="808080"/>
            </w:tcBorders>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6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60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920" w:type="dxa"/>
            <w:vAlign w:val="bottom"/>
            <w:shd w:val="clear" w:color="auto" w:fill="808080"/>
          </w:tcPr>
          <w:p>
            <w:pPr>
              <w:spacing w:after="0"/>
              <w:rPr>
                <w:sz w:val="5"/>
                <w:szCs w:val="5"/>
                <w:color w:val="auto"/>
              </w:rPr>
            </w:pPr>
          </w:p>
        </w:tc>
        <w:tc>
          <w:tcPr>
            <w:tcW w:w="200" w:type="dxa"/>
            <w:vAlign w:val="bottom"/>
            <w:tcBorders>
              <w:right w:val="single" w:sz="8" w:color="808080"/>
            </w:tcBorders>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44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98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1020" w:type="dxa"/>
            <w:vAlign w:val="bottom"/>
            <w:shd w:val="clear" w:color="auto" w:fill="808080"/>
          </w:tcPr>
          <w:p>
            <w:pPr>
              <w:spacing w:after="0"/>
              <w:rPr>
                <w:sz w:val="5"/>
                <w:szCs w:val="5"/>
                <w:color w:val="auto"/>
              </w:rPr>
            </w:pPr>
          </w:p>
        </w:tc>
        <w:tc>
          <w:tcPr>
            <w:tcW w:w="1000" w:type="dxa"/>
            <w:vAlign w:val="bottom"/>
            <w:shd w:val="clear" w:color="auto" w:fill="808080"/>
          </w:tcPr>
          <w:p>
            <w:pPr>
              <w:spacing w:after="0"/>
              <w:rPr>
                <w:sz w:val="5"/>
                <w:szCs w:val="5"/>
                <w:color w:val="auto"/>
              </w:rPr>
            </w:pPr>
          </w:p>
        </w:tc>
        <w:tc>
          <w:tcPr>
            <w:tcW w:w="140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2663825</wp:posOffset>
            </wp:positionH>
            <wp:positionV relativeFrom="paragraph">
              <wp:posOffset>-404495</wp:posOffset>
            </wp:positionV>
            <wp:extent cx="1929765" cy="2317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929765" cy="231775"/>
                    </a:xfrm>
                    <a:prstGeom prst="rect">
                      <a:avLst/>
                    </a:prstGeom>
                    <a:noFill/>
                  </pic:spPr>
                </pic:pic>
              </a:graphicData>
            </a:graphic>
          </wp:anchor>
        </w:drawing>
      </w:r>
    </w:p>
    <w:p>
      <w:pPr>
        <w:sectPr>
          <w:pgSz w:w="11900" w:h="16838" w:orient="portrait"/>
          <w:cols w:equalWidth="0" w:num="1">
            <w:col w:w="11460"/>
          </w:cols>
          <w:pgMar w:left="240" w:top="814" w:right="199" w:bottom="1440" w:gutter="0" w:footer="0" w:header="0"/>
        </w:sectPr>
      </w:pPr>
    </w:p>
    <w:bookmarkStart w:id="3" w:name="page4"/>
    <w:bookmarkEnd w:id="3"/>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3765" cy="8890"/>
                    </a:xfrm>
                    <a:prstGeom prst="rect">
                      <a:avLst/>
                    </a:prstGeom>
                    <a:noFill/>
                  </pic:spPr>
                </pic:pic>
              </a:graphicData>
            </a:graphic>
          </wp:anchor>
        </w:drawing>
        <w:t>Part I</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 Business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Scholastic Corporation (the “Corporation” and together with its subsidiaries, “Scholastic” or the “Company”) is a global children’s publishing, education and media company. Since its founding in 1920, Scholastic has emphasized quality products and a dedication to reading and learning. The Company is the world’s largest publisher and distributor of children’s books and a leading provider of educational technology products and related services. Scholastic also creates quality educational and entertainment materials and products for use in school and at home, including magazines, children’s reference and non-fiction materials, teacher materials, television programming, film, videos and toys. The Company is a leading operator of school-based book clubs and book fairs in the United States. It distributes its products and services through these proprietary channels, as well as directly to schools and libraries, through retail stores and through the internet. The Company’s website, scholastic.com, is a leading site for teachers, classrooms and parents and an award-winning destination for children. In addition to its operations in the United States, Scholastic has long-established operations in Canada, the United Kingdom, Australia, New Zealand and parts of Asia, with newer operations in China, India and Ireland, and, through its export business, sells products in over 140 countries.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The Company currently employs approximately 6,900 people in the United States and approximately 2,000 people outside the United States.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Segments – Continuing Operations</w:t>
      </w:r>
    </w:p>
    <w:p>
      <w:pPr>
        <w:spacing w:after="0" w:line="231"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color w:val="auto"/>
        </w:rPr>
        <w:t xml:space="preserve">The Company categorizes its businesses into four reportable segments: </w:t>
      </w:r>
      <w:r>
        <w:rPr>
          <w:rFonts w:ascii="Arial" w:cs="Arial" w:eastAsia="Arial" w:hAnsi="Arial"/>
          <w:sz w:val="16"/>
          <w:szCs w:val="16"/>
          <w:i w:val="1"/>
          <w:iCs w:val="1"/>
          <w:color w:val="auto"/>
        </w:rPr>
        <w:t>Children’s Book Publishing and Distribution; Educational Publishing; Media, Licensing</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and Advertising </w:t>
      </w:r>
      <w:r>
        <w:rPr>
          <w:rFonts w:ascii="Arial" w:cs="Arial" w:eastAsia="Arial" w:hAnsi="Arial"/>
          <w:sz w:val="16"/>
          <w:szCs w:val="16"/>
          <w:color w:val="auto"/>
        </w:rPr>
        <w:t>(which collectively represent the Company’s domestic operations); and</w:t>
      </w:r>
      <w:r>
        <w:rPr>
          <w:rFonts w:ascii="Arial" w:cs="Arial" w:eastAsia="Arial" w:hAnsi="Arial"/>
          <w:sz w:val="16"/>
          <w:szCs w:val="16"/>
          <w:i w:val="1"/>
          <w:iCs w:val="1"/>
          <w:color w:val="auto"/>
        </w:rPr>
        <w:t xml:space="preserve"> International</w:t>
      </w:r>
      <w:r>
        <w:rPr>
          <w:rFonts w:ascii="Arial" w:cs="Arial" w:eastAsia="Arial" w:hAnsi="Arial"/>
          <w:sz w:val="16"/>
          <w:szCs w:val="16"/>
          <w:color w:val="auto"/>
        </w:rPr>
        <w:t>. This classification reflects the nature of products and</w:t>
      </w:r>
      <w:r>
        <w:rPr>
          <w:rFonts w:ascii="Arial" w:cs="Arial" w:eastAsia="Arial" w:hAnsi="Arial"/>
          <w:sz w:val="16"/>
          <w:szCs w:val="16"/>
          <w:i w:val="1"/>
          <w:iCs w:val="1"/>
          <w:color w:val="auto"/>
        </w:rPr>
        <w:t xml:space="preserve"> </w:t>
      </w:r>
      <w:r>
        <w:rPr>
          <w:rFonts w:ascii="Arial" w:cs="Arial" w:eastAsia="Arial" w:hAnsi="Arial"/>
          <w:sz w:val="16"/>
          <w:szCs w:val="16"/>
          <w:color w:val="auto"/>
        </w:rPr>
        <w:t>services consistent with the method by which the Company’s chief operating decision-maker assesses operating performance and allocates resources.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revenues by operating segment for the three fiscal years ended May 31:</w:t>
      </w:r>
    </w:p>
    <w:p>
      <w:pPr>
        <w:spacing w:after="0" w:line="246" w:lineRule="exact"/>
        <w:rPr>
          <w:sz w:val="20"/>
          <w:szCs w:val="20"/>
          <w:color w:val="auto"/>
        </w:rPr>
      </w:pPr>
    </w:p>
    <w:p>
      <w:pPr>
        <w:ind w:left="10040"/>
        <w:spacing w:after="0"/>
        <w:rPr>
          <w:sz w:val="20"/>
          <w:szCs w:val="20"/>
          <w:color w:val="auto"/>
        </w:rPr>
      </w:pPr>
      <w:r>
        <w:rPr>
          <w:rFonts w:ascii="Arial" w:cs="Arial" w:eastAsia="Arial" w:hAnsi="Arial"/>
          <w:sz w:val="14"/>
          <w:szCs w:val="14"/>
          <w:color w:val="auto"/>
        </w:rPr>
        <w:t>(Amounts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718629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86295" cy="8890"/>
                    </a:xfrm>
                    <a:prstGeom prst="rect">
                      <a:avLst/>
                    </a:prstGeom>
                    <a:noFill/>
                  </pic:spPr>
                </pic:pic>
              </a:graphicData>
            </a:graphic>
          </wp:anchor>
        </w:drawing>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78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2010</w:t>
            </w:r>
          </w:p>
        </w:tc>
        <w:tc>
          <w:tcPr>
            <w:tcW w:w="430" w:type="dxa"/>
            <w:vAlign w:val="bottom"/>
          </w:tcPr>
          <w:p>
            <w:pPr>
              <w:spacing w:after="0"/>
              <w:rPr>
                <w:sz w:val="15"/>
                <w:szCs w:val="15"/>
                <w:color w:val="auto"/>
              </w:rPr>
            </w:pPr>
          </w:p>
        </w:tc>
        <w:tc>
          <w:tcPr>
            <w:tcW w:w="850" w:type="dxa"/>
            <w:vAlign w:val="bottom"/>
          </w:tcPr>
          <w:p>
            <w:pPr>
              <w:jc w:val="right"/>
              <w:ind w:right="76"/>
              <w:spacing w:after="0"/>
              <w:rPr>
                <w:sz w:val="20"/>
                <w:szCs w:val="20"/>
                <w:color w:val="auto"/>
              </w:rPr>
            </w:pPr>
            <w:r>
              <w:rPr>
                <w:rFonts w:ascii="Arial" w:cs="Arial" w:eastAsia="Arial" w:hAnsi="Arial"/>
                <w:sz w:val="14"/>
                <w:szCs w:val="14"/>
                <w:b w:val="1"/>
                <w:bCs w:val="1"/>
                <w:color w:val="auto"/>
              </w:rPr>
              <w:t>2009</w:t>
            </w:r>
          </w:p>
        </w:tc>
        <w:tc>
          <w:tcPr>
            <w:tcW w:w="3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780" w:type="dxa"/>
            <w:vAlign w:val="bottom"/>
            <w:tcBorders>
              <w:bottom w:val="single" w:sz="8" w:color="auto"/>
            </w:tcBorders>
          </w:tcPr>
          <w:p>
            <w:pPr>
              <w:spacing w:after="0"/>
              <w:rPr>
                <w:sz w:val="8"/>
                <w:szCs w:val="8"/>
                <w:color w:val="auto"/>
              </w:rPr>
            </w:pPr>
          </w:p>
        </w:tc>
        <w:tc>
          <w:tcPr>
            <w:tcW w:w="258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430" w:type="dxa"/>
            <w:vAlign w:val="bottom"/>
            <w:tcBorders>
              <w:bottom w:val="single" w:sz="8" w:color="auto"/>
            </w:tcBorders>
          </w:tcPr>
          <w:p>
            <w:pPr>
              <w:spacing w:after="0"/>
              <w:rPr>
                <w:sz w:val="8"/>
                <w:szCs w:val="8"/>
                <w:color w:val="auto"/>
              </w:rPr>
            </w:pPr>
          </w:p>
        </w:tc>
        <w:tc>
          <w:tcPr>
            <w:tcW w:w="85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800" w:type="dxa"/>
            <w:vAlign w:val="bottom"/>
            <w:gridSpan w:val="2"/>
          </w:tcPr>
          <w:p>
            <w:pPr>
              <w:spacing w:after="0"/>
              <w:rPr>
                <w:sz w:val="8"/>
                <w:szCs w:val="8"/>
                <w:color w:val="auto"/>
              </w:rPr>
            </w:pPr>
          </w:p>
        </w:tc>
        <w:tc>
          <w:tcPr>
            <w:tcW w:w="2580" w:type="dxa"/>
            <w:vAlign w:val="bottom"/>
          </w:tcPr>
          <w:p>
            <w:pPr>
              <w:spacing w:after="0"/>
              <w:rPr>
                <w:sz w:val="8"/>
                <w:szCs w:val="8"/>
                <w:color w:val="auto"/>
              </w:rPr>
            </w:pPr>
          </w:p>
        </w:tc>
        <w:tc>
          <w:tcPr>
            <w:tcW w:w="660" w:type="dxa"/>
            <w:vAlign w:val="bottom"/>
          </w:tcPr>
          <w:p>
            <w:pPr>
              <w:spacing w:after="0"/>
              <w:rPr>
                <w:sz w:val="8"/>
                <w:szCs w:val="8"/>
                <w:color w:val="auto"/>
              </w:rPr>
            </w:pPr>
          </w:p>
        </w:tc>
        <w:tc>
          <w:tcPr>
            <w:tcW w:w="430" w:type="dxa"/>
            <w:vAlign w:val="bottom"/>
          </w:tcPr>
          <w:p>
            <w:pPr>
              <w:spacing w:after="0"/>
              <w:rPr>
                <w:sz w:val="8"/>
                <w:szCs w:val="8"/>
                <w:color w:val="auto"/>
              </w:rPr>
            </w:pPr>
          </w:p>
        </w:tc>
        <w:tc>
          <w:tcPr>
            <w:tcW w:w="850" w:type="dxa"/>
            <w:vAlign w:val="bottom"/>
          </w:tcPr>
          <w:p>
            <w:pPr>
              <w:spacing w:after="0"/>
              <w:rPr>
                <w:sz w:val="8"/>
                <w:szCs w:val="8"/>
                <w:color w:val="auto"/>
              </w:rPr>
            </w:pPr>
          </w:p>
        </w:tc>
        <w:tc>
          <w:tcPr>
            <w:tcW w:w="3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8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Children’s Book Publishing and Distribution</w:t>
            </w:r>
          </w:p>
        </w:tc>
        <w:tc>
          <w:tcPr>
            <w:tcW w:w="258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w:t>
            </w:r>
          </w:p>
        </w:tc>
        <w:tc>
          <w:tcPr>
            <w:tcW w:w="66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910.6</w:t>
            </w:r>
          </w:p>
        </w:tc>
        <w:tc>
          <w:tcPr>
            <w:tcW w:w="43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w:t>
            </w:r>
          </w:p>
        </w:tc>
        <w:tc>
          <w:tcPr>
            <w:tcW w:w="850" w:type="dxa"/>
            <w:vAlign w:val="bottom"/>
            <w:shd w:val="clear" w:color="auto" w:fill="E6E6E6"/>
          </w:tcPr>
          <w:p>
            <w:pPr>
              <w:jc w:val="right"/>
              <w:ind w:right="76"/>
              <w:spacing w:after="0" w:line="202" w:lineRule="exact"/>
              <w:rPr>
                <w:sz w:val="20"/>
                <w:szCs w:val="20"/>
                <w:color w:val="auto"/>
              </w:rPr>
            </w:pPr>
            <w:r>
              <w:rPr>
                <w:rFonts w:ascii="Arial" w:cs="Arial" w:eastAsia="Arial" w:hAnsi="Arial"/>
                <w:sz w:val="18"/>
                <w:szCs w:val="18"/>
                <w:color w:val="auto"/>
              </w:rPr>
              <w:t>940.4</w:t>
            </w:r>
          </w:p>
        </w:tc>
        <w:tc>
          <w:tcPr>
            <w:tcW w:w="32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1,187.5</w:t>
            </w:r>
          </w:p>
        </w:tc>
        <w:tc>
          <w:tcPr>
            <w:tcW w:w="100" w:type="dxa"/>
            <w:vAlign w:val="bottom"/>
            <w:shd w:val="clear" w:color="auto" w:fill="E6E6E6"/>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0" w:type="dxa"/>
            <w:vAlign w:val="bottom"/>
            <w:gridSpan w:val="2"/>
          </w:tcPr>
          <w:p>
            <w:pPr>
              <w:spacing w:after="0" w:line="202" w:lineRule="exact"/>
              <w:rPr>
                <w:sz w:val="20"/>
                <w:szCs w:val="20"/>
                <w:color w:val="auto"/>
              </w:rPr>
            </w:pPr>
            <w:r>
              <w:rPr>
                <w:rFonts w:ascii="Arial" w:cs="Arial" w:eastAsia="Arial" w:hAnsi="Arial"/>
                <w:sz w:val="18"/>
                <w:szCs w:val="18"/>
                <w:color w:val="auto"/>
              </w:rPr>
              <w:t>Educational Publishing</w:t>
            </w:r>
          </w:p>
        </w:tc>
        <w:tc>
          <w:tcPr>
            <w:tcW w:w="258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476.5</w:t>
            </w:r>
          </w:p>
        </w:tc>
        <w:tc>
          <w:tcPr>
            <w:tcW w:w="430" w:type="dxa"/>
            <w:vAlign w:val="bottom"/>
          </w:tcPr>
          <w:p>
            <w:pPr>
              <w:spacing w:after="0"/>
              <w:rPr>
                <w:sz w:val="17"/>
                <w:szCs w:val="17"/>
                <w:color w:val="auto"/>
              </w:rPr>
            </w:pPr>
          </w:p>
        </w:tc>
        <w:tc>
          <w:tcPr>
            <w:tcW w:w="850" w:type="dxa"/>
            <w:vAlign w:val="bottom"/>
          </w:tcPr>
          <w:p>
            <w:pPr>
              <w:jc w:val="right"/>
              <w:ind w:right="76"/>
              <w:spacing w:after="0" w:line="202" w:lineRule="exact"/>
              <w:rPr>
                <w:sz w:val="20"/>
                <w:szCs w:val="20"/>
                <w:color w:val="auto"/>
              </w:rPr>
            </w:pPr>
            <w:r>
              <w:rPr>
                <w:rFonts w:ascii="Arial" w:cs="Arial" w:eastAsia="Arial" w:hAnsi="Arial"/>
                <w:sz w:val="18"/>
                <w:szCs w:val="18"/>
                <w:color w:val="auto"/>
              </w:rPr>
              <w:t>384.2</w:t>
            </w:r>
          </w:p>
        </w:tc>
        <w:tc>
          <w:tcPr>
            <w:tcW w:w="32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407.1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8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Media, Licensing and Advertising</w:t>
            </w:r>
          </w:p>
        </w:tc>
        <w:tc>
          <w:tcPr>
            <w:tcW w:w="2580" w:type="dxa"/>
            <w:vAlign w:val="bottom"/>
            <w:shd w:val="clear" w:color="auto" w:fill="E6E6E6"/>
          </w:tcPr>
          <w:p>
            <w:pPr>
              <w:spacing w:after="0"/>
              <w:rPr>
                <w:sz w:val="17"/>
                <w:szCs w:val="17"/>
                <w:color w:val="auto"/>
              </w:rPr>
            </w:pPr>
          </w:p>
        </w:tc>
        <w:tc>
          <w:tcPr>
            <w:tcW w:w="66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113.8</w:t>
            </w:r>
          </w:p>
        </w:tc>
        <w:tc>
          <w:tcPr>
            <w:tcW w:w="430" w:type="dxa"/>
            <w:vAlign w:val="bottom"/>
            <w:shd w:val="clear" w:color="auto" w:fill="E6E6E6"/>
          </w:tcPr>
          <w:p>
            <w:pPr>
              <w:spacing w:after="0"/>
              <w:rPr>
                <w:sz w:val="17"/>
                <w:szCs w:val="17"/>
                <w:color w:val="auto"/>
              </w:rPr>
            </w:pPr>
          </w:p>
        </w:tc>
        <w:tc>
          <w:tcPr>
            <w:tcW w:w="850" w:type="dxa"/>
            <w:vAlign w:val="bottom"/>
            <w:shd w:val="clear" w:color="auto" w:fill="E6E6E6"/>
          </w:tcPr>
          <w:p>
            <w:pPr>
              <w:jc w:val="right"/>
              <w:ind w:right="76"/>
              <w:spacing w:after="0" w:line="202" w:lineRule="exact"/>
              <w:rPr>
                <w:sz w:val="20"/>
                <w:szCs w:val="20"/>
                <w:color w:val="auto"/>
              </w:rPr>
            </w:pPr>
            <w:r>
              <w:rPr>
                <w:rFonts w:ascii="Arial" w:cs="Arial" w:eastAsia="Arial" w:hAnsi="Arial"/>
                <w:sz w:val="18"/>
                <w:szCs w:val="18"/>
                <w:color w:val="auto"/>
              </w:rPr>
              <w:t>125.7</w:t>
            </w:r>
          </w:p>
        </w:tc>
        <w:tc>
          <w:tcPr>
            <w:tcW w:w="320" w:type="dxa"/>
            <w:vAlign w:val="bottom"/>
            <w:shd w:val="clear" w:color="auto" w:fill="E6E6E6"/>
          </w:tcPr>
          <w:p>
            <w:pPr>
              <w:spacing w:after="0"/>
              <w:rPr>
                <w:sz w:val="17"/>
                <w:szCs w:val="17"/>
                <w:color w:val="auto"/>
              </w:rPr>
            </w:pPr>
          </w:p>
        </w:tc>
        <w:tc>
          <w:tcPr>
            <w:tcW w:w="68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114.7</w:t>
            </w:r>
          </w:p>
        </w:tc>
        <w:tc>
          <w:tcPr>
            <w:tcW w:w="100" w:type="dxa"/>
            <w:vAlign w:val="bottom"/>
            <w:shd w:val="clear" w:color="auto" w:fill="E6E6E6"/>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5800" w:type="dxa"/>
            <w:vAlign w:val="bottom"/>
            <w:gridSpan w:val="2"/>
          </w:tcPr>
          <w:p>
            <w:pPr>
              <w:spacing w:after="0"/>
              <w:rPr>
                <w:sz w:val="20"/>
                <w:szCs w:val="20"/>
                <w:color w:val="auto"/>
              </w:rPr>
            </w:pPr>
            <w:r>
              <w:rPr>
                <w:rFonts w:ascii="Arial" w:cs="Arial" w:eastAsia="Arial" w:hAnsi="Arial"/>
                <w:sz w:val="18"/>
                <w:szCs w:val="18"/>
                <w:color w:val="auto"/>
              </w:rPr>
              <w:t>International</w:t>
            </w:r>
          </w:p>
        </w:tc>
        <w:tc>
          <w:tcPr>
            <w:tcW w:w="25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412.0</w:t>
            </w:r>
          </w:p>
        </w:tc>
        <w:tc>
          <w:tcPr>
            <w:tcW w:w="430" w:type="dxa"/>
            <w:vAlign w:val="bottom"/>
          </w:tcPr>
          <w:p>
            <w:pPr>
              <w:spacing w:after="0"/>
              <w:rPr>
                <w:sz w:val="18"/>
                <w:szCs w:val="18"/>
                <w:color w:val="auto"/>
              </w:rPr>
            </w:pPr>
          </w:p>
        </w:tc>
        <w:tc>
          <w:tcPr>
            <w:tcW w:w="850" w:type="dxa"/>
            <w:vAlign w:val="bottom"/>
          </w:tcPr>
          <w:p>
            <w:pPr>
              <w:jc w:val="right"/>
              <w:ind w:right="76"/>
              <w:spacing w:after="0"/>
              <w:rPr>
                <w:sz w:val="20"/>
                <w:szCs w:val="20"/>
                <w:color w:val="auto"/>
              </w:rPr>
            </w:pPr>
            <w:r>
              <w:rPr>
                <w:rFonts w:ascii="Arial" w:cs="Arial" w:eastAsia="Arial" w:hAnsi="Arial"/>
                <w:sz w:val="18"/>
                <w:szCs w:val="18"/>
                <w:color w:val="auto"/>
              </w:rPr>
              <w:t>399.0</w:t>
            </w: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449.8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7"/>
        </w:trPr>
        <w:tc>
          <w:tcPr>
            <w:tcW w:w="5800" w:type="dxa"/>
            <w:vAlign w:val="bottom"/>
            <w:tcBorders>
              <w:bottom w:val="single" w:sz="8" w:color="808080"/>
            </w:tcBorders>
            <w:gridSpan w:val="2"/>
          </w:tcPr>
          <w:p>
            <w:pPr>
              <w:spacing w:after="0"/>
              <w:rPr>
                <w:sz w:val="8"/>
                <w:szCs w:val="8"/>
                <w:color w:val="auto"/>
              </w:rPr>
            </w:pPr>
          </w:p>
        </w:tc>
        <w:tc>
          <w:tcPr>
            <w:tcW w:w="2580" w:type="dxa"/>
            <w:vAlign w:val="bottom"/>
            <w:tcBorders>
              <w:bottom w:val="single" w:sz="8" w:color="808080"/>
            </w:tcBorders>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430" w:type="dxa"/>
            <w:vAlign w:val="bottom"/>
            <w:tcBorders>
              <w:bottom w:val="single" w:sz="8" w:color="808080"/>
            </w:tcBorders>
          </w:tcPr>
          <w:p>
            <w:pPr>
              <w:spacing w:after="0"/>
              <w:rPr>
                <w:sz w:val="8"/>
                <w:szCs w:val="8"/>
                <w:color w:val="auto"/>
              </w:rPr>
            </w:pPr>
          </w:p>
        </w:tc>
        <w:tc>
          <w:tcPr>
            <w:tcW w:w="85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vMerge w:val="restart"/>
          </w:tcPr>
          <w:p>
            <w:pPr>
              <w:spacing w:after="0"/>
              <w:rPr>
                <w:sz w:val="21"/>
                <w:szCs w:val="21"/>
                <w:color w:val="auto"/>
              </w:rPr>
            </w:pPr>
          </w:p>
        </w:tc>
        <w:tc>
          <w:tcPr>
            <w:tcW w:w="5780" w:type="dxa"/>
            <w:vAlign w:val="bottom"/>
          </w:tcPr>
          <w:p>
            <w:pPr>
              <w:spacing w:after="0"/>
              <w:rPr>
                <w:sz w:val="21"/>
                <w:szCs w:val="21"/>
                <w:color w:val="auto"/>
              </w:rPr>
            </w:pPr>
          </w:p>
        </w:tc>
        <w:tc>
          <w:tcPr>
            <w:tcW w:w="25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30" w:type="dxa"/>
            <w:vAlign w:val="bottom"/>
          </w:tcPr>
          <w:p>
            <w:pPr>
              <w:spacing w:after="0"/>
              <w:rPr>
                <w:sz w:val="21"/>
                <w:szCs w:val="21"/>
                <w:color w:val="auto"/>
              </w:rPr>
            </w:pPr>
          </w:p>
        </w:tc>
        <w:tc>
          <w:tcPr>
            <w:tcW w:w="85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780" w:type="dxa"/>
            <w:vAlign w:val="bottom"/>
            <w:shd w:val="clear" w:color="auto" w:fill="E6E6E6"/>
          </w:tcPr>
          <w:p>
            <w:pPr>
              <w:spacing w:after="0" w:line="202" w:lineRule="exact"/>
              <w:rPr>
                <w:sz w:val="20"/>
                <w:szCs w:val="20"/>
                <w:color w:val="auto"/>
              </w:rPr>
            </w:pPr>
            <w:r>
              <w:rPr>
                <w:rFonts w:ascii="Arial" w:cs="Arial" w:eastAsia="Arial" w:hAnsi="Arial"/>
                <w:sz w:val="18"/>
                <w:szCs w:val="18"/>
                <w:b w:val="1"/>
                <w:bCs w:val="1"/>
                <w:color w:val="auto"/>
              </w:rPr>
              <w:t>Total</w:t>
            </w:r>
          </w:p>
        </w:tc>
        <w:tc>
          <w:tcPr>
            <w:tcW w:w="258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66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b w:val="1"/>
                <w:bCs w:val="1"/>
                <w:color w:val="auto"/>
              </w:rPr>
              <w:t>1,912.9</w:t>
            </w:r>
          </w:p>
        </w:tc>
        <w:tc>
          <w:tcPr>
            <w:tcW w:w="43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850" w:type="dxa"/>
            <w:vAlign w:val="bottom"/>
            <w:shd w:val="clear" w:color="auto" w:fill="E6E6E6"/>
          </w:tcPr>
          <w:p>
            <w:pPr>
              <w:jc w:val="right"/>
              <w:ind w:right="76"/>
              <w:spacing w:after="0" w:line="202" w:lineRule="exact"/>
              <w:rPr>
                <w:sz w:val="20"/>
                <w:szCs w:val="20"/>
                <w:color w:val="auto"/>
              </w:rPr>
            </w:pPr>
            <w:r>
              <w:rPr>
                <w:rFonts w:ascii="Arial" w:cs="Arial" w:eastAsia="Arial" w:hAnsi="Arial"/>
                <w:sz w:val="18"/>
                <w:szCs w:val="18"/>
                <w:b w:val="1"/>
                <w:bCs w:val="1"/>
                <w:color w:val="auto"/>
              </w:rPr>
              <w:t>1,849.3</w:t>
            </w:r>
          </w:p>
        </w:tc>
        <w:tc>
          <w:tcPr>
            <w:tcW w:w="32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68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b w:val="1"/>
                <w:bCs w:val="1"/>
                <w:color w:val="auto"/>
              </w:rPr>
              <w:t>2,159.1</w:t>
            </w:r>
          </w:p>
        </w:tc>
        <w:tc>
          <w:tcPr>
            <w:tcW w:w="100" w:type="dxa"/>
            <w:vAlign w:val="bottom"/>
            <w:shd w:val="clear" w:color="auto" w:fill="E6E6E6"/>
          </w:tcPr>
          <w:p>
            <w:pPr>
              <w:spacing w:after="0"/>
              <w:rPr>
                <w:sz w:val="17"/>
                <w:szCs w:val="17"/>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5780" w:type="dxa"/>
            <w:vAlign w:val="bottom"/>
            <w:tcBorders>
              <w:bottom w:val="single" w:sz="8" w:color="808080"/>
            </w:tcBorders>
          </w:tcPr>
          <w:p>
            <w:pPr>
              <w:spacing w:after="0"/>
              <w:rPr>
                <w:sz w:val="11"/>
                <w:szCs w:val="11"/>
                <w:color w:val="auto"/>
              </w:rPr>
            </w:pPr>
          </w:p>
        </w:tc>
        <w:tc>
          <w:tcPr>
            <w:tcW w:w="2580" w:type="dxa"/>
            <w:vAlign w:val="bottom"/>
            <w:tcBorders>
              <w:bottom w:val="single" w:sz="8" w:color="808080"/>
            </w:tcBorders>
          </w:tcPr>
          <w:p>
            <w:pPr>
              <w:spacing w:after="0"/>
              <w:rPr>
                <w:sz w:val="11"/>
                <w:szCs w:val="11"/>
                <w:color w:val="auto"/>
              </w:rPr>
            </w:pPr>
          </w:p>
        </w:tc>
        <w:tc>
          <w:tcPr>
            <w:tcW w:w="660" w:type="dxa"/>
            <w:vAlign w:val="bottom"/>
            <w:tcBorders>
              <w:bottom w:val="single" w:sz="8" w:color="808080"/>
            </w:tcBorders>
          </w:tcPr>
          <w:p>
            <w:pPr>
              <w:spacing w:after="0"/>
              <w:rPr>
                <w:sz w:val="11"/>
                <w:szCs w:val="11"/>
                <w:color w:val="auto"/>
              </w:rPr>
            </w:pPr>
          </w:p>
        </w:tc>
        <w:tc>
          <w:tcPr>
            <w:tcW w:w="430" w:type="dxa"/>
            <w:vAlign w:val="bottom"/>
            <w:tcBorders>
              <w:bottom w:val="single" w:sz="8" w:color="808080"/>
            </w:tcBorders>
          </w:tcPr>
          <w:p>
            <w:pPr>
              <w:spacing w:after="0"/>
              <w:rPr>
                <w:sz w:val="11"/>
                <w:szCs w:val="11"/>
                <w:color w:val="auto"/>
              </w:rPr>
            </w:pPr>
          </w:p>
        </w:tc>
        <w:tc>
          <w:tcPr>
            <w:tcW w:w="850" w:type="dxa"/>
            <w:vAlign w:val="bottom"/>
            <w:tcBorders>
              <w:bottom w:val="single" w:sz="8" w:color="808080"/>
            </w:tcBorders>
          </w:tcPr>
          <w:p>
            <w:pPr>
              <w:spacing w:after="0"/>
              <w:rPr>
                <w:sz w:val="11"/>
                <w:szCs w:val="11"/>
                <w:color w:val="auto"/>
              </w:rPr>
            </w:pPr>
          </w:p>
        </w:tc>
        <w:tc>
          <w:tcPr>
            <w:tcW w:w="320" w:type="dxa"/>
            <w:vAlign w:val="bottom"/>
            <w:tcBorders>
              <w:bottom w:val="single" w:sz="8" w:color="808080"/>
            </w:tcBorders>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-29210</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-29210</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-29210</wp:posOffset>
            </wp:positionV>
            <wp:extent cx="1270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5723255</wp:posOffset>
            </wp:positionH>
            <wp:positionV relativeFrom="paragraph">
              <wp:posOffset>-29210</wp:posOffset>
            </wp:positionV>
            <wp:extent cx="1270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-29210</wp:posOffset>
            </wp:positionV>
            <wp:extent cx="1270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-29210</wp:posOffset>
            </wp:positionV>
            <wp:extent cx="1270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-29210</wp:posOffset>
            </wp:positionV>
            <wp:extent cx="1270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-29210</wp:posOffset>
            </wp:positionV>
            <wp:extent cx="1270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-29210</wp:posOffset>
            </wp:positionV>
            <wp:extent cx="1270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-29210</wp:posOffset>
            </wp:positionV>
            <wp:extent cx="1270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93"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Additional financial information relating to the Company’s operating segments is included in Note 3 of Notes to Consolidated Financial Statements in Item 8, “Consolidated Financial Statements and Supplementary Data,” which is included herein.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2"/>
          <w:szCs w:val="12"/>
          <w:b w:val="1"/>
          <w:bCs w:val="1"/>
          <w:color w:val="auto"/>
        </w:rPr>
        <w:t>HILDREN</w:t>
      </w:r>
      <w:r>
        <w:rPr>
          <w:rFonts w:ascii="Arial" w:cs="Arial" w:eastAsia="Arial" w:hAnsi="Arial"/>
          <w:sz w:val="18"/>
          <w:szCs w:val="18"/>
          <w:b w:val="1"/>
          <w:bCs w:val="1"/>
          <w:color w:val="auto"/>
        </w:rPr>
        <w:t>’</w:t>
      </w:r>
      <w:r>
        <w:rPr>
          <w:rFonts w:ascii="Arial" w:cs="Arial" w:eastAsia="Arial" w:hAnsi="Arial"/>
          <w:sz w:val="12"/>
          <w:szCs w:val="12"/>
          <w:b w:val="1"/>
          <w:bCs w:val="1"/>
          <w:color w:val="auto"/>
        </w:rPr>
        <w:t>S</w:t>
      </w:r>
      <w:r>
        <w:rPr>
          <w:rFonts w:ascii="Arial" w:cs="Arial" w:eastAsia="Arial" w:hAnsi="Arial"/>
          <w:sz w:val="18"/>
          <w:szCs w:val="18"/>
          <w:b w:val="1"/>
          <w:bCs w:val="1"/>
          <w:color w:val="auto"/>
        </w:rPr>
        <w:t xml:space="preserve"> B</w:t>
      </w:r>
      <w:r>
        <w:rPr>
          <w:rFonts w:ascii="Arial" w:cs="Arial" w:eastAsia="Arial" w:hAnsi="Arial"/>
          <w:sz w:val="12"/>
          <w:szCs w:val="12"/>
          <w:b w:val="1"/>
          <w:bCs w:val="1"/>
          <w:color w:val="auto"/>
        </w:rPr>
        <w:t>OOK</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UBLISHING AND</w:t>
      </w:r>
      <w:r>
        <w:rPr>
          <w:rFonts w:ascii="Arial" w:cs="Arial" w:eastAsia="Arial" w:hAnsi="Arial"/>
          <w:sz w:val="18"/>
          <w:szCs w:val="18"/>
          <w:b w:val="1"/>
          <w:bCs w:val="1"/>
          <w:color w:val="auto"/>
        </w:rPr>
        <w:t xml:space="preserve"> D</w:t>
      </w:r>
      <w:r>
        <w:rPr>
          <w:rFonts w:ascii="Arial" w:cs="Arial" w:eastAsia="Arial" w:hAnsi="Arial"/>
          <w:sz w:val="12"/>
          <w:szCs w:val="12"/>
          <w:b w:val="1"/>
          <w:bCs w:val="1"/>
          <w:color w:val="auto"/>
        </w:rPr>
        <w:t>ISTRIBUTION</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(47.6% of fiscal 2010 revenues)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2"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color w:val="auto"/>
        </w:rPr>
        <w:t xml:space="preserve">The Company’s </w:t>
      </w:r>
      <w:r>
        <w:rPr>
          <w:rFonts w:ascii="Arial" w:cs="Arial" w:eastAsia="Arial" w:hAnsi="Arial"/>
          <w:sz w:val="18"/>
          <w:szCs w:val="18"/>
          <w:i w:val="1"/>
          <w:iCs w:val="1"/>
          <w:color w:val="auto"/>
        </w:rPr>
        <w:t>Children’s Book Publishing and Distribution</w:t>
      </w:r>
      <w:r>
        <w:rPr>
          <w:rFonts w:ascii="Arial" w:cs="Arial" w:eastAsia="Arial" w:hAnsi="Arial"/>
          <w:sz w:val="18"/>
          <w:szCs w:val="18"/>
          <w:color w:val="auto"/>
        </w:rPr>
        <w:t xml:space="preserve"> segment operates as an integrated business which includes the publication and distribution of children’s books in the United States through school-based book clubs and book fairs and the trade channel.</w:t>
      </w:r>
    </w:p>
    <w:p>
      <w:pPr>
        <w:spacing w:after="0" w:line="186"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The Company is the world’s largest publisher and distributor of children’s books and is a leading operator of school-based book clubs and school-based book fairs in the United States. The Company is also a leading publisher of children’s books distributed through the trade channel. In fiscal 2010, the Company, excluding its discontinued operations, published or distributed approximately 280 million children’s books in the United States.</w:t>
      </w:r>
    </w:p>
    <w:p>
      <w:pPr>
        <w:spacing w:after="0" w:line="161"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Scholastic offers a broad range of children’s books, many of which have received awards for excellence in children’s literature, including the Caldecott and Newbery Medals.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2663825</wp:posOffset>
            </wp:positionH>
            <wp:positionV relativeFrom="paragraph">
              <wp:posOffset>123190</wp:posOffset>
            </wp:positionV>
            <wp:extent cx="1929765" cy="2317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929765" cy="231775"/>
                    </a:xfrm>
                    <a:prstGeom prst="rect">
                      <a:avLst/>
                    </a:prstGeom>
                    <a:noFill/>
                  </pic:spPr>
                </pic:pic>
              </a:graphicData>
            </a:graphic>
          </wp:anchor>
        </w:drawing>
      </w:r>
    </w:p>
    <w:p>
      <w:pPr>
        <w:sectPr>
          <w:pgSz w:w="11900" w:h="16838" w:orient="portrait"/>
          <w:cols w:equalWidth="0" w:num="1">
            <w:col w:w="11420"/>
          </w:cols>
          <w:pgMar w:left="240" w:top="81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179070</wp:posOffset>
            </wp:positionV>
            <wp:extent cx="726757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814" w:right="239" w:bottom="1440" w:gutter="0" w:footer="0" w:header="0"/>
          <w:type w:val="continuous"/>
        </w:sectPr>
      </w:pPr>
    </w:p>
    <w:bookmarkStart w:id="4" w:name="page5"/>
    <w:bookmarkEnd w:id="4"/>
    <w:p>
      <w:pPr>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3765" cy="8890"/>
                    </a:xfrm>
                    <a:prstGeom prst="rect">
                      <a:avLst/>
                    </a:prstGeom>
                    <a:noFill/>
                  </pic:spPr>
                </pic:pic>
              </a:graphicData>
            </a:graphic>
          </wp:anchor>
        </w:drawing>
        <w:t>The Company obtains titles for sale through its distribution channels from three principal sources. The first source for titles is the Company’s publication of books created under exclusive agreements with authors, illustrators, book packagers or other media companies. Scholastic generally controls the exclusive rights to sell these titles through all channels of distribution in the United States and, to a lesser extent, internationally. Scholastic’s second source of titles is licenses to publish books exclusively in specified channels of distribution, including reprints of books originally published by others for which the Company acquires rights to sell in the school market. The third source of titles is the Company’s purchase of finished books from other publishers.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School-Based Book Clubs</w:t>
      </w:r>
    </w:p>
    <w:p>
      <w:pPr>
        <w:spacing w:after="0" w:line="223" w:lineRule="exact"/>
        <w:rPr>
          <w:sz w:val="20"/>
          <w:szCs w:val="20"/>
          <w:color w:val="auto"/>
        </w:rPr>
      </w:pPr>
    </w:p>
    <w:p>
      <w:pPr>
        <w:ind w:right="160"/>
        <w:spacing w:after="0" w:line="219" w:lineRule="auto"/>
        <w:rPr>
          <w:sz w:val="20"/>
          <w:szCs w:val="20"/>
          <w:color w:val="auto"/>
        </w:rPr>
      </w:pPr>
      <w:r>
        <w:rPr>
          <w:rFonts w:ascii="Arial" w:cs="Arial" w:eastAsia="Arial" w:hAnsi="Arial"/>
          <w:sz w:val="16"/>
          <w:szCs w:val="16"/>
          <w:color w:val="auto"/>
        </w:rPr>
        <w:t>Scholastic founded its first school-based book club in 1948. The Company’s school-based book clubs consist of Honeybee</w:t>
      </w:r>
      <w:r>
        <w:rPr>
          <w:rFonts w:ascii="Arial" w:cs="Arial" w:eastAsia="Arial" w:hAnsi="Arial"/>
          <w:sz w:val="25"/>
          <w:szCs w:val="25"/>
          <w:color w:val="auto"/>
          <w:vertAlign w:val="superscript"/>
        </w:rPr>
        <w:t>®</w:t>
      </w:r>
      <w:r>
        <w:rPr>
          <w:rFonts w:ascii="Arial" w:cs="Arial" w:eastAsia="Arial" w:hAnsi="Arial"/>
          <w:sz w:val="16"/>
          <w:szCs w:val="16"/>
          <w:color w:val="auto"/>
        </w:rPr>
        <w:t>, serving children ages 1½ to 4; Firefly</w:t>
      </w:r>
      <w:r>
        <w:rPr>
          <w:rFonts w:ascii="Arial" w:cs="Arial" w:eastAsia="Arial" w:hAnsi="Arial"/>
          <w:sz w:val="25"/>
          <w:szCs w:val="25"/>
          <w:color w:val="auto"/>
          <w:vertAlign w:val="superscript"/>
        </w:rPr>
        <w:t>®</w:t>
      </w:r>
      <w:r>
        <w:rPr>
          <w:rFonts w:ascii="Arial" w:cs="Arial" w:eastAsia="Arial" w:hAnsi="Arial"/>
          <w:sz w:val="16"/>
          <w:szCs w:val="16"/>
          <w:color w:val="auto"/>
        </w:rPr>
        <w:t>, serving pre-kindergarten (“pre-K”) and kindergarten (“K”) students; SeeSaw</w:t>
      </w:r>
      <w:r>
        <w:rPr>
          <w:rFonts w:ascii="Arial" w:cs="Arial" w:eastAsia="Arial" w:hAnsi="Arial"/>
          <w:sz w:val="25"/>
          <w:szCs w:val="25"/>
          <w:color w:val="auto"/>
          <w:vertAlign w:val="superscript"/>
        </w:rPr>
        <w:t>®</w:t>
      </w:r>
      <w:r>
        <w:rPr>
          <w:rFonts w:ascii="Arial" w:cs="Arial" w:eastAsia="Arial" w:hAnsi="Arial"/>
          <w:sz w:val="16"/>
          <w:szCs w:val="16"/>
          <w:color w:val="auto"/>
        </w:rPr>
        <w:t>, serving students grades K to 1; Lucky</w:t>
      </w:r>
      <w:r>
        <w:rPr>
          <w:rFonts w:ascii="Arial" w:cs="Arial" w:eastAsia="Arial" w:hAnsi="Arial"/>
          <w:sz w:val="25"/>
          <w:szCs w:val="25"/>
          <w:color w:val="auto"/>
          <w:vertAlign w:val="superscript"/>
        </w:rPr>
        <w:t>®</w:t>
      </w:r>
      <w:r>
        <w:rPr>
          <w:rFonts w:ascii="Arial" w:cs="Arial" w:eastAsia="Arial" w:hAnsi="Arial"/>
          <w:sz w:val="16"/>
          <w:szCs w:val="16"/>
          <w:color w:val="auto"/>
        </w:rPr>
        <w:t>, serving students grades 2 to 3;</w:t>
      </w:r>
    </w:p>
    <w:p>
      <w:pPr>
        <w:spacing w:after="0" w:line="1" w:lineRule="exact"/>
        <w:rPr>
          <w:sz w:val="20"/>
          <w:szCs w:val="20"/>
          <w:color w:val="auto"/>
        </w:rPr>
      </w:pPr>
    </w:p>
    <w:p>
      <w:pPr>
        <w:ind w:right="100"/>
        <w:spacing w:after="0" w:line="231" w:lineRule="auto"/>
        <w:rPr>
          <w:sz w:val="20"/>
          <w:szCs w:val="20"/>
          <w:color w:val="auto"/>
        </w:rPr>
      </w:pPr>
      <w:r>
        <w:rPr>
          <w:rFonts w:ascii="Arial" w:cs="Arial" w:eastAsia="Arial" w:hAnsi="Arial"/>
          <w:sz w:val="16"/>
          <w:szCs w:val="16"/>
          <w:color w:val="auto"/>
        </w:rPr>
        <w:t>Arrow</w:t>
      </w:r>
      <w:r>
        <w:rPr>
          <w:rFonts w:ascii="Arial" w:cs="Arial" w:eastAsia="Arial" w:hAnsi="Arial"/>
          <w:sz w:val="26"/>
          <w:szCs w:val="26"/>
          <w:color w:val="auto"/>
          <w:vertAlign w:val="superscript"/>
        </w:rPr>
        <w:t>®</w:t>
      </w:r>
      <w:r>
        <w:rPr>
          <w:rFonts w:ascii="Arial" w:cs="Arial" w:eastAsia="Arial" w:hAnsi="Arial"/>
          <w:sz w:val="16"/>
          <w:szCs w:val="16"/>
          <w:color w:val="auto"/>
        </w:rPr>
        <w:t>, serving students grades 4 to 6; TAB</w:t>
      </w:r>
      <w:r>
        <w:rPr>
          <w:rFonts w:ascii="Arial" w:cs="Arial" w:eastAsia="Arial" w:hAnsi="Arial"/>
          <w:sz w:val="26"/>
          <w:szCs w:val="26"/>
          <w:color w:val="auto"/>
          <w:vertAlign w:val="superscript"/>
        </w:rPr>
        <w:t>®</w:t>
      </w:r>
      <w:r>
        <w:rPr>
          <w:rFonts w:ascii="Arial" w:cs="Arial" w:eastAsia="Arial" w:hAnsi="Arial"/>
          <w:sz w:val="16"/>
          <w:szCs w:val="16"/>
          <w:color w:val="auto"/>
        </w:rPr>
        <w:t>, serving students grades 7 to 12; and Club Leo</w:t>
      </w:r>
      <w:r>
        <w:rPr>
          <w:rFonts w:ascii="Arial" w:cs="Arial" w:eastAsia="Arial" w:hAnsi="Arial"/>
          <w:sz w:val="26"/>
          <w:szCs w:val="26"/>
          <w:color w:val="auto"/>
          <w:vertAlign w:val="superscript"/>
        </w:rPr>
        <w:t>TM</w:t>
      </w:r>
      <w:r>
        <w:rPr>
          <w:rFonts w:ascii="Arial" w:cs="Arial" w:eastAsia="Arial" w:hAnsi="Arial"/>
          <w:sz w:val="16"/>
          <w:szCs w:val="16"/>
          <w:color w:val="auto"/>
        </w:rPr>
        <w:t>, which provides Spanish language offers to students in pre-K to grade 8. In addition to its regular offers, the Company creates special theme-based and seasonal offers targeted to different grade levels during the year.</w:t>
      </w:r>
    </w:p>
    <w:p>
      <w:pPr>
        <w:spacing w:after="0" w:line="211"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The Company mails promotional materials containing order forms to teachers in the vast majority of the pre-K to grade 8 schools in the United States. Teachers who wish to participate in a school-based book club distribute the order forms to their students, who may choose from selections at substantial reductions from list prices. The teacher aggregates the students’ orders and forwards them to the Company by internet, phone, mail or fax. The Company estimates that over 65% of all elementary school teachers in the United States participate in the Company’s school-based book clubs. In fiscal 2010, orders through the internet accounted for 69% of total book club orders. The orders are then shipped to the classroom for distribution to the students. Schools who participate in the book clubs receive bonus points and other promotional incentives, which may be redeemed for the purchase of additional books and other resource materials for their classrooms or the school.</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School-Based Book Fairs</w:t>
      </w:r>
    </w:p>
    <w:p>
      <w:pPr>
        <w:spacing w:after="0" w:line="222"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The Company began offering school-based book fairs in 1981 to its school customers. Since that date, the Company has grown this business by expanding into new markets, including through selected acquisitions. In addition, more recently the Company has increased its business in its existing markets by (i) growing revenue on a per fair basis and (ii) increasing the number of fairs held at its existing school customers. The Company is the leading operator of school-based book fairs in the United States.</w:t>
      </w:r>
    </w:p>
    <w:p>
      <w:pPr>
        <w:spacing w:after="0" w:line="197"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Book fairs are generally week-long events conducted on school premises, operated by school librarians and/or parent-teacher organizations. Book fair events provide children with access to hundreds of titles and allow them, together with family members on their behalf, to purchase books and other select products at the school. The Company provides such products to the schools for resale, and the schools conduct the book fairs as fundraisers for a variety of purposes, such as to purchase books, supplies and equipment for the school, and to make quality books available to their students in order to stimulate interest in reading.</w:t>
      </w:r>
    </w:p>
    <w:p>
      <w:pPr>
        <w:spacing w:after="0" w:line="168" w:lineRule="exact"/>
        <w:rPr>
          <w:sz w:val="20"/>
          <w:szCs w:val="20"/>
          <w:color w:val="auto"/>
        </w:rPr>
      </w:pPr>
    </w:p>
    <w:p>
      <w:pPr>
        <w:ind w:right="40"/>
        <w:spacing w:after="0"/>
        <w:rPr>
          <w:sz w:val="20"/>
          <w:szCs w:val="20"/>
          <w:color w:val="auto"/>
        </w:rPr>
      </w:pPr>
      <w:r>
        <w:rPr>
          <w:rFonts w:ascii="Arial" w:cs="Arial" w:eastAsia="Arial" w:hAnsi="Arial"/>
          <w:sz w:val="17"/>
          <w:szCs w:val="17"/>
          <w:color w:val="auto"/>
        </w:rPr>
        <w:t>The Company operates school-based book fairs in all 50 states under the name Scholastic Book Fairs</w:t>
      </w:r>
      <w:r>
        <w:rPr>
          <w:rFonts w:ascii="Arial" w:cs="Arial" w:eastAsia="Arial" w:hAnsi="Arial"/>
          <w:sz w:val="28"/>
          <w:szCs w:val="28"/>
          <w:color w:val="auto"/>
          <w:vertAlign w:val="superscript"/>
        </w:rPr>
        <w:t>®</w:t>
      </w:r>
      <w:r>
        <w:rPr>
          <w:rFonts w:ascii="Arial" w:cs="Arial" w:eastAsia="Arial" w:hAnsi="Arial"/>
          <w:sz w:val="17"/>
          <w:szCs w:val="17"/>
          <w:color w:val="auto"/>
        </w:rPr>
        <w:t>. Books and display cases are delivered to schools from the Company’s warehouses principally by a fleet of leased vehicles. Sales and customer service functions are performed from regional sales offices and distribution facilities supported by field representatives and from the Company’s national distribution facility in Missouri. Approximately 90% of the schools that sponsored a Scholastic book fair in fiscal 2009 sponsored a Scholastic book fair again in fiscal 2010.</w:t>
      </w:r>
    </w:p>
    <w:p>
      <w:pPr>
        <w:spacing w:after="0" w:line="211"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Beginning in the fall of 2009, the Company deployed a new Point of Sale (“POS”) program in approximately 25% of its book fairs. Customer satisfaction and utilization rates were very positive and, as a result, the Company will deploy its POS technology in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2663825</wp:posOffset>
            </wp:positionH>
            <wp:positionV relativeFrom="paragraph">
              <wp:posOffset>123190</wp:posOffset>
            </wp:positionV>
            <wp:extent cx="1929765" cy="2317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929765"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833" w:right="239" w:bottom="1440" w:gutter="0" w:footer="0" w:header="0"/>
        </w:sectPr>
      </w:pPr>
    </w:p>
    <w:bookmarkStart w:id="5" w:name="page6"/>
    <w:bookmarkEnd w:id="5"/>
    <w:p>
      <w:pPr>
        <w:ind w:right="5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3765" cy="8890"/>
                    </a:xfrm>
                    <a:prstGeom prst="rect">
                      <a:avLst/>
                    </a:prstGeom>
                    <a:noFill/>
                  </pic:spPr>
                </pic:pic>
              </a:graphicData>
            </a:graphic>
          </wp:anchor>
        </w:drawing>
        <w:t>remaining 75% of its fairs beginning in the fall of 2010. POS represents a strategic capital investment designed to provide improved inventory control and utilization and enhance school-based financial reporting as well as real time product sales visibility.</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w:t>
      </w:r>
    </w:p>
    <w:p>
      <w:pPr>
        <w:spacing w:after="0" w:line="222" w:lineRule="exact"/>
        <w:rPr>
          <w:sz w:val="20"/>
          <w:szCs w:val="20"/>
          <w:color w:val="auto"/>
        </w:rPr>
      </w:pPr>
    </w:p>
    <w:p>
      <w:pPr>
        <w:ind w:right="280"/>
        <w:spacing w:after="0" w:line="227" w:lineRule="auto"/>
        <w:rPr>
          <w:sz w:val="20"/>
          <w:szCs w:val="20"/>
          <w:color w:val="auto"/>
        </w:rPr>
      </w:pPr>
      <w:r>
        <w:rPr>
          <w:rFonts w:ascii="Arial" w:cs="Arial" w:eastAsia="Arial" w:hAnsi="Arial"/>
          <w:sz w:val="16"/>
          <w:szCs w:val="16"/>
          <w:color w:val="auto"/>
        </w:rPr>
        <w:t xml:space="preserve">Scholastic is a leading publisher of children’s books sold through bookstores and mass merchandisers in the United States. The Company maintains approximately 6,000 titles for trade distribution. Scholastic’s original publications include </w:t>
      </w:r>
      <w:r>
        <w:rPr>
          <w:rFonts w:ascii="Arial" w:cs="Arial" w:eastAsia="Arial" w:hAnsi="Arial"/>
          <w:sz w:val="16"/>
          <w:szCs w:val="16"/>
          <w:i w:val="1"/>
          <w:iCs w:val="1"/>
          <w:color w:val="auto"/>
        </w:rPr>
        <w:t>Harry Potter</w:t>
      </w:r>
      <w:r>
        <w:rPr>
          <w:rFonts w:ascii="Arial" w:cs="Arial" w:eastAsia="Arial" w:hAnsi="Arial"/>
          <w:sz w:val="26"/>
          <w:szCs w:val="26"/>
          <w:color w:val="auto"/>
          <w:vertAlign w:val="superscript"/>
        </w:rPr>
        <w:t>®</w:t>
      </w:r>
      <w:r>
        <w:rPr>
          <w:rFonts w:ascii="Arial" w:cs="Arial" w:eastAsia="Arial" w:hAnsi="Arial"/>
          <w:sz w:val="16"/>
          <w:szCs w:val="16"/>
          <w:i w:val="1"/>
          <w:iCs w:val="1"/>
          <w:color w:val="auto"/>
        </w:rPr>
        <w:t>, The 39 Clues</w:t>
      </w:r>
      <w:r>
        <w:rPr>
          <w:rFonts w:ascii="Arial" w:cs="Arial" w:eastAsia="Arial" w:hAnsi="Arial"/>
          <w:sz w:val="26"/>
          <w:szCs w:val="26"/>
          <w:color w:val="auto"/>
          <w:vertAlign w:val="superscript"/>
        </w:rPr>
        <w:t>TM</w:t>
      </w:r>
      <w:r>
        <w:rPr>
          <w:rFonts w:ascii="Arial" w:cs="Arial" w:eastAsia="Arial" w:hAnsi="Arial"/>
          <w:sz w:val="16"/>
          <w:szCs w:val="16"/>
          <w:i w:val="1"/>
          <w:iCs w:val="1"/>
          <w:color w:val="auto"/>
        </w:rPr>
        <w:t>, The Magic School Bus</w:t>
      </w:r>
      <w:r>
        <w:rPr>
          <w:rFonts w:ascii="Arial" w:cs="Arial" w:eastAsia="Arial" w:hAnsi="Arial"/>
          <w:sz w:val="26"/>
          <w:szCs w:val="26"/>
          <w:color w:val="auto"/>
          <w:vertAlign w:val="superscript"/>
        </w:rPr>
        <w:t>®</w:t>
      </w:r>
      <w:r>
        <w:rPr>
          <w:rFonts w:ascii="Arial" w:cs="Arial" w:eastAsia="Arial" w:hAnsi="Arial"/>
          <w:sz w:val="16"/>
          <w:szCs w:val="16"/>
          <w:i w:val="1"/>
          <w:iCs w:val="1"/>
          <w:color w:val="auto"/>
        </w:rPr>
        <w:t>, I Spy</w:t>
      </w:r>
      <w:r>
        <w:rPr>
          <w:rFonts w:ascii="Arial" w:cs="Arial" w:eastAsia="Arial" w:hAnsi="Arial"/>
          <w:sz w:val="26"/>
          <w:szCs w:val="26"/>
          <w:color w:val="auto"/>
          <w:vertAlign w:val="superscript"/>
        </w:rPr>
        <w:t>TM</w:t>
      </w:r>
      <w:r>
        <w:rPr>
          <w:rFonts w:ascii="Arial" w:cs="Arial" w:eastAsia="Arial" w:hAnsi="Arial"/>
          <w:sz w:val="16"/>
          <w:szCs w:val="16"/>
          <w:i w:val="1"/>
          <w:iCs w:val="1"/>
          <w:color w:val="auto"/>
        </w:rPr>
        <w:t>,</w:t>
      </w:r>
      <w:r>
        <w:rPr>
          <w:rFonts w:ascii="Arial" w:cs="Arial" w:eastAsia="Arial" w:hAnsi="Arial"/>
          <w:sz w:val="16"/>
          <w:szCs w:val="16"/>
          <w:color w:val="auto"/>
        </w:rPr>
        <w:t xml:space="preserve"> </w:t>
      </w:r>
      <w:r>
        <w:rPr>
          <w:rFonts w:ascii="Arial" w:cs="Arial" w:eastAsia="Arial" w:hAnsi="Arial"/>
          <w:sz w:val="16"/>
          <w:szCs w:val="16"/>
          <w:i w:val="1"/>
          <w:iCs w:val="1"/>
          <w:color w:val="auto"/>
        </w:rPr>
        <w:t>Captain Underpants</w:t>
      </w:r>
      <w:r>
        <w:rPr>
          <w:rFonts w:ascii="Arial" w:cs="Arial" w:eastAsia="Arial" w:hAnsi="Arial"/>
          <w:sz w:val="26"/>
          <w:szCs w:val="26"/>
          <w:color w:val="auto"/>
          <w:vertAlign w:val="superscript"/>
        </w:rPr>
        <w:t>®</w:t>
      </w:r>
      <w:r>
        <w:rPr>
          <w:rFonts w:ascii="Arial" w:cs="Arial" w:eastAsia="Arial" w:hAnsi="Arial"/>
          <w:sz w:val="16"/>
          <w:szCs w:val="16"/>
          <w:i w:val="1"/>
          <w:iCs w:val="1"/>
          <w:color w:val="auto"/>
        </w:rPr>
        <w:t>, Goosebumps</w:t>
      </w:r>
      <w:r>
        <w:rPr>
          <w:rFonts w:ascii="Arial" w:cs="Arial" w:eastAsia="Arial" w:hAnsi="Arial"/>
          <w:sz w:val="26"/>
          <w:szCs w:val="26"/>
          <w:color w:val="auto"/>
          <w:vertAlign w:val="superscript"/>
        </w:rPr>
        <w:t>®</w:t>
      </w:r>
      <w:r>
        <w:rPr>
          <w:rFonts w:ascii="Arial" w:cs="Arial" w:eastAsia="Arial" w:hAnsi="Arial"/>
          <w:sz w:val="16"/>
          <w:szCs w:val="16"/>
          <w:i w:val="1"/>
          <w:iCs w:val="1"/>
          <w:color w:val="auto"/>
        </w:rPr>
        <w:t>, and Clifford The Big Red Dog</w:t>
      </w:r>
      <w:r>
        <w:rPr>
          <w:rFonts w:ascii="Arial" w:cs="Arial" w:eastAsia="Arial" w:hAnsi="Arial"/>
          <w:sz w:val="26"/>
          <w:szCs w:val="26"/>
          <w:color w:val="auto"/>
          <w:vertAlign w:val="superscript"/>
        </w:rPr>
        <w:t>®</w:t>
      </w:r>
      <w:r>
        <w:rPr>
          <w:rFonts w:ascii="Arial" w:cs="Arial" w:eastAsia="Arial" w:hAnsi="Arial"/>
          <w:sz w:val="16"/>
          <w:szCs w:val="16"/>
          <w:i w:val="1"/>
          <w:iCs w:val="1"/>
          <w:color w:val="auto"/>
        </w:rPr>
        <w:t>, and licensed properties such as Star Wars</w:t>
      </w:r>
      <w:r>
        <w:rPr>
          <w:rFonts w:ascii="Arial" w:cs="Arial" w:eastAsia="Arial" w:hAnsi="Arial"/>
          <w:sz w:val="26"/>
          <w:szCs w:val="26"/>
          <w:color w:val="auto"/>
          <w:vertAlign w:val="superscript"/>
        </w:rPr>
        <w:t>®</w:t>
      </w:r>
      <w:r>
        <w:rPr>
          <w:rFonts w:ascii="Arial" w:cs="Arial" w:eastAsia="Arial" w:hAnsi="Arial"/>
          <w:sz w:val="16"/>
          <w:szCs w:val="16"/>
          <w:i w:val="1"/>
          <w:iCs w:val="1"/>
          <w:color w:val="auto"/>
        </w:rPr>
        <w:t xml:space="preserve"> and Rainbow Magic</w:t>
      </w:r>
      <w:r>
        <w:rPr>
          <w:rFonts w:ascii="Arial" w:cs="Arial" w:eastAsia="Arial" w:hAnsi="Arial"/>
          <w:sz w:val="26"/>
          <w:szCs w:val="26"/>
          <w:color w:val="auto"/>
          <w:vertAlign w:val="superscript"/>
        </w:rPr>
        <w:t>®</w:t>
      </w:r>
      <w:r>
        <w:rPr>
          <w:rFonts w:ascii="Arial" w:cs="Arial" w:eastAsia="Arial" w:hAnsi="Arial"/>
          <w:sz w:val="16"/>
          <w:szCs w:val="16"/>
          <w:color w:val="auto"/>
        </w:rPr>
        <w:t>. In addition, the</w:t>
      </w:r>
    </w:p>
    <w:p>
      <w:pPr>
        <w:spacing w:after="0" w:line="3" w:lineRule="exact"/>
        <w:rPr>
          <w:sz w:val="20"/>
          <w:szCs w:val="20"/>
          <w:color w:val="auto"/>
        </w:rPr>
      </w:pPr>
    </w:p>
    <w:p>
      <w:pPr>
        <w:ind w:right="120"/>
        <w:spacing w:after="0" w:line="206" w:lineRule="auto"/>
        <w:rPr>
          <w:sz w:val="20"/>
          <w:szCs w:val="20"/>
          <w:color w:val="auto"/>
        </w:rPr>
      </w:pPr>
      <w:r>
        <w:rPr>
          <w:rFonts w:ascii="Arial" w:cs="Arial" w:eastAsia="Arial" w:hAnsi="Arial"/>
          <w:sz w:val="18"/>
          <w:szCs w:val="18"/>
          <w:color w:val="auto"/>
        </w:rPr>
        <w:t>Company’s Klutz</w:t>
      </w:r>
      <w:r>
        <w:rPr>
          <w:rFonts w:ascii="Arial" w:cs="Arial" w:eastAsia="Arial" w:hAnsi="Arial"/>
          <w:sz w:val="29"/>
          <w:szCs w:val="29"/>
          <w:color w:val="auto"/>
          <w:vertAlign w:val="superscript"/>
        </w:rPr>
        <w:t>®</w:t>
      </w:r>
      <w:r>
        <w:rPr>
          <w:rFonts w:ascii="Arial" w:cs="Arial" w:eastAsia="Arial" w:hAnsi="Arial"/>
          <w:sz w:val="18"/>
          <w:szCs w:val="18"/>
          <w:color w:val="auto"/>
        </w:rPr>
        <w:t xml:space="preserve"> imprint is a publisher and creator of “books plus” products for children, including titles such as </w:t>
      </w:r>
      <w:r>
        <w:rPr>
          <w:rFonts w:ascii="Arial" w:cs="Arial" w:eastAsia="Arial" w:hAnsi="Arial"/>
          <w:sz w:val="18"/>
          <w:szCs w:val="18"/>
          <w:i w:val="1"/>
          <w:iCs w:val="1"/>
          <w:color w:val="auto"/>
        </w:rPr>
        <w:t>Paper Fashions, Friendship Bracelets,</w:t>
      </w:r>
      <w:r>
        <w:rPr>
          <w:rFonts w:ascii="Arial" w:cs="Arial" w:eastAsia="Arial" w:hAnsi="Arial"/>
          <w:sz w:val="18"/>
          <w:szCs w:val="18"/>
          <w:color w:val="auto"/>
        </w:rPr>
        <w:t xml:space="preserve"> Klutz </w:t>
      </w:r>
      <w:r>
        <w:rPr>
          <w:rFonts w:ascii="Arial" w:cs="Arial" w:eastAsia="Arial" w:hAnsi="Arial"/>
          <w:sz w:val="18"/>
          <w:szCs w:val="18"/>
          <w:i w:val="1"/>
          <w:iCs w:val="1"/>
          <w:color w:val="auto"/>
        </w:rPr>
        <w:t xml:space="preserve">Encyclopedia of Immaturity II Draw Star Wars: The Clone Wars </w:t>
      </w:r>
      <w:r>
        <w:rPr>
          <w:rFonts w:ascii="Arial" w:cs="Arial" w:eastAsia="Arial" w:hAnsi="Arial"/>
          <w:sz w:val="18"/>
          <w:szCs w:val="18"/>
          <w:color w:val="auto"/>
        </w:rPr>
        <w:t>and</w:t>
      </w:r>
      <w:r>
        <w:rPr>
          <w:rFonts w:ascii="Arial" w:cs="Arial" w:eastAsia="Arial" w:hAnsi="Arial"/>
          <w:sz w:val="18"/>
          <w:szCs w:val="18"/>
          <w:i w:val="1"/>
          <w:iCs w:val="1"/>
          <w:color w:val="auto"/>
        </w:rPr>
        <w:t xml:space="preserve"> Doodle Journal</w:t>
      </w:r>
      <w:r>
        <w:rPr>
          <w:rFonts w:ascii="Arial" w:cs="Arial" w:eastAsia="Arial" w:hAnsi="Arial"/>
          <w:sz w:val="18"/>
          <w:szCs w:val="18"/>
          <w:color w:val="auto"/>
        </w:rPr>
        <w:t>.</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The Company’s trade sales organization focuses on marketing and selling Scholastic’s publishing properties to bookstores, mass merchandisers, specialty sales</w:t>
      </w:r>
    </w:p>
    <w:p>
      <w:pPr>
        <w:spacing w:after="0" w:line="38" w:lineRule="exact"/>
        <w:rPr>
          <w:sz w:val="20"/>
          <w:szCs w:val="20"/>
          <w:color w:val="auto"/>
        </w:rPr>
      </w:pPr>
    </w:p>
    <w:p>
      <w:pPr>
        <w:spacing w:after="0" w:line="273" w:lineRule="auto"/>
        <w:rPr>
          <w:sz w:val="20"/>
          <w:szCs w:val="20"/>
          <w:color w:val="auto"/>
        </w:rPr>
      </w:pPr>
      <w:r>
        <w:rPr>
          <w:rFonts w:ascii="Arial" w:cs="Arial" w:eastAsia="Arial" w:hAnsi="Arial"/>
          <w:sz w:val="15"/>
          <w:szCs w:val="15"/>
          <w:color w:val="auto"/>
        </w:rPr>
        <w:t xml:space="preserve">outlets and other book retailers. Scholastic bestsellers during fiscal 2010 included books from </w:t>
      </w:r>
      <w:r>
        <w:rPr>
          <w:rFonts w:ascii="Arial" w:cs="Arial" w:eastAsia="Arial" w:hAnsi="Arial"/>
          <w:sz w:val="15"/>
          <w:szCs w:val="15"/>
          <w:i w:val="1"/>
          <w:iCs w:val="1"/>
          <w:color w:val="auto"/>
        </w:rPr>
        <w:t>The 39 Clues</w:t>
      </w:r>
      <w:r>
        <w:rPr>
          <w:rFonts w:ascii="Arial" w:cs="Arial" w:eastAsia="Arial" w:hAnsi="Arial"/>
          <w:sz w:val="24"/>
          <w:szCs w:val="24"/>
          <w:color w:val="auto"/>
          <w:vertAlign w:val="superscript"/>
        </w:rPr>
        <w:t>®</w:t>
      </w:r>
      <w:r>
        <w:rPr>
          <w:rFonts w:ascii="Arial" w:cs="Arial" w:eastAsia="Arial" w:hAnsi="Arial"/>
          <w:sz w:val="15"/>
          <w:szCs w:val="15"/>
          <w:color w:val="auto"/>
        </w:rPr>
        <w:t xml:space="preserve"> series, the </w:t>
      </w:r>
      <w:r>
        <w:rPr>
          <w:rFonts w:ascii="Arial" w:cs="Arial" w:eastAsia="Arial" w:hAnsi="Arial"/>
          <w:sz w:val="15"/>
          <w:szCs w:val="15"/>
          <w:i w:val="1"/>
          <w:iCs w:val="1"/>
          <w:color w:val="auto"/>
        </w:rPr>
        <w:t>Harry Potter</w:t>
      </w:r>
      <w:r>
        <w:rPr>
          <w:rFonts w:ascii="Arial" w:cs="Arial" w:eastAsia="Arial" w:hAnsi="Arial"/>
          <w:sz w:val="15"/>
          <w:szCs w:val="15"/>
          <w:color w:val="auto"/>
        </w:rPr>
        <w:t xml:space="preserve"> series, Meg Cabot’s </w:t>
      </w:r>
      <w:r>
        <w:rPr>
          <w:rFonts w:ascii="Arial" w:cs="Arial" w:eastAsia="Arial" w:hAnsi="Arial"/>
          <w:sz w:val="15"/>
          <w:szCs w:val="15"/>
          <w:i w:val="1"/>
          <w:iCs w:val="1"/>
          <w:color w:val="auto"/>
        </w:rPr>
        <w:t>Allie</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Finkle’s Rules for Girls </w:t>
      </w:r>
      <w:r>
        <w:rPr>
          <w:rFonts w:ascii="Arial" w:cs="Arial" w:eastAsia="Arial" w:hAnsi="Arial"/>
          <w:sz w:val="15"/>
          <w:szCs w:val="15"/>
          <w:color w:val="auto"/>
        </w:rPr>
        <w:t>series, Patrick Carman’s</w:t>
      </w:r>
      <w:r>
        <w:rPr>
          <w:rFonts w:ascii="Arial" w:cs="Arial" w:eastAsia="Arial" w:hAnsi="Arial"/>
          <w:sz w:val="15"/>
          <w:szCs w:val="15"/>
          <w:i w:val="1"/>
          <w:iCs w:val="1"/>
          <w:color w:val="auto"/>
        </w:rPr>
        <w:t xml:space="preserve"> Skeleton Creek </w:t>
      </w:r>
      <w:r>
        <w:rPr>
          <w:rFonts w:ascii="Arial" w:cs="Arial" w:eastAsia="Arial" w:hAnsi="Arial"/>
          <w:sz w:val="15"/>
          <w:szCs w:val="15"/>
          <w:color w:val="auto"/>
        </w:rPr>
        <w:t>series and other titles, such as</w:t>
      </w:r>
      <w:r>
        <w:rPr>
          <w:rFonts w:ascii="Arial" w:cs="Arial" w:eastAsia="Arial" w:hAnsi="Arial"/>
          <w:sz w:val="15"/>
          <w:szCs w:val="15"/>
          <w:i w:val="1"/>
          <w:iCs w:val="1"/>
          <w:color w:val="auto"/>
        </w:rPr>
        <w:t xml:space="preserve"> Catching Fire </w:t>
      </w:r>
      <w:r>
        <w:rPr>
          <w:rFonts w:ascii="Arial" w:cs="Arial" w:eastAsia="Arial" w:hAnsi="Arial"/>
          <w:sz w:val="15"/>
          <w:szCs w:val="15"/>
          <w:color w:val="auto"/>
        </w:rPr>
        <w:t>by Suzanne Collins and</w:t>
      </w:r>
      <w:r>
        <w:rPr>
          <w:rFonts w:ascii="Arial" w:cs="Arial" w:eastAsia="Arial" w:hAnsi="Arial"/>
          <w:sz w:val="15"/>
          <w:szCs w:val="15"/>
          <w:i w:val="1"/>
          <w:iCs w:val="1"/>
          <w:color w:val="auto"/>
        </w:rPr>
        <w:t xml:space="preserve"> Shiver </w:t>
      </w:r>
      <w:r>
        <w:rPr>
          <w:rFonts w:ascii="Arial" w:cs="Arial" w:eastAsia="Arial" w:hAnsi="Arial"/>
          <w:sz w:val="15"/>
          <w:szCs w:val="15"/>
          <w:color w:val="auto"/>
        </w:rPr>
        <w:t>by Maggie Stiefvater.</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w:t>
      </w:r>
      <w:r>
        <w:rPr>
          <w:rFonts w:ascii="Arial" w:cs="Arial" w:eastAsia="Arial" w:hAnsi="Arial"/>
          <w:sz w:val="12"/>
          <w:szCs w:val="12"/>
          <w:b w:val="1"/>
          <w:bCs w:val="1"/>
          <w:color w:val="auto"/>
        </w:rPr>
        <w:t>DUCATIONAL</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UBLISHING</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(24.9% of fiscal 2010 revenues)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2"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 xml:space="preserve">The Company’s </w:t>
      </w:r>
      <w:r>
        <w:rPr>
          <w:rFonts w:ascii="Arial" w:cs="Arial" w:eastAsia="Arial" w:hAnsi="Arial"/>
          <w:sz w:val="18"/>
          <w:szCs w:val="18"/>
          <w:i w:val="1"/>
          <w:iCs w:val="1"/>
          <w:color w:val="auto"/>
        </w:rPr>
        <w:t>Educational Publishing</w:t>
      </w:r>
      <w:r>
        <w:rPr>
          <w:rFonts w:ascii="Arial" w:cs="Arial" w:eastAsia="Arial" w:hAnsi="Arial"/>
          <w:sz w:val="18"/>
          <w:szCs w:val="18"/>
          <w:color w:val="auto"/>
        </w:rPr>
        <w:t xml:space="preserve"> segment includes the production and/or publication and distribution to schools and libraries of educational technology products, curriculum materials, children’s books, classroom magazines and print and on-line reference and non-fiction products for grades pre-K to 12 in the United States.</w:t>
      </w:r>
    </w:p>
    <w:p>
      <w:pPr>
        <w:spacing w:after="0" w:line="194"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 xml:space="preserve">The Company is a leading provider of educational technology products and services, as well as reading materials for schools and libraries. Scholastic has been providing quality, innovative educational materials to schools and libraries since it began publishing classroom magazines in the 1920s. The Company added supplementary books and texts to its product line in the 1960s, professional books for teachers in the 1980s and early childhood products and core curriculum materials, including educational technology products, in the 1990s. In 2002, the Company acquired Tom Snyder Productions, Inc., a developer and publisher of interactive educational software. The Company markets and sells its </w:t>
      </w:r>
      <w:r>
        <w:rPr>
          <w:rFonts w:ascii="Arial" w:cs="Arial" w:eastAsia="Arial" w:hAnsi="Arial"/>
          <w:sz w:val="16"/>
          <w:szCs w:val="16"/>
          <w:i w:val="1"/>
          <w:iCs w:val="1"/>
          <w:color w:val="auto"/>
        </w:rPr>
        <w:t>Educational Publishing</w:t>
      </w:r>
      <w:r>
        <w:rPr>
          <w:rFonts w:ascii="Arial" w:cs="Arial" w:eastAsia="Arial" w:hAnsi="Arial"/>
          <w:sz w:val="16"/>
          <w:szCs w:val="16"/>
          <w:color w:val="auto"/>
        </w:rPr>
        <w:t xml:space="preserve"> products through a combination of field representatives, direct mail, telemarketing and the internet. In 2007, the Company began providing school consulting and professional development services.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Scholastic Education</w:t>
      </w:r>
    </w:p>
    <w:p>
      <w:pPr>
        <w:spacing w:after="0" w:line="222" w:lineRule="exact"/>
        <w:rPr>
          <w:sz w:val="20"/>
          <w:szCs w:val="20"/>
          <w:color w:val="auto"/>
        </w:rPr>
      </w:pPr>
    </w:p>
    <w:p>
      <w:pPr>
        <w:ind w:right="260"/>
        <w:spacing w:after="0" w:line="306" w:lineRule="auto"/>
        <w:rPr>
          <w:sz w:val="20"/>
          <w:szCs w:val="20"/>
          <w:color w:val="auto"/>
        </w:rPr>
      </w:pPr>
      <w:r>
        <w:rPr>
          <w:rFonts w:ascii="Arial" w:cs="Arial" w:eastAsia="Arial" w:hAnsi="Arial"/>
          <w:sz w:val="16"/>
          <w:szCs w:val="16"/>
          <w:color w:val="auto"/>
        </w:rPr>
        <w:t>Scholastic Education, which encompasses the Company’s core curriculum publishing operations, develops and distributes instructional materials directly to schools in the United States, primarily purchased through school and district budgets, often with the help of Federal funding sources. These operations include reading improvement programs and other educational technology products, as well as consulting and professional development services.</w:t>
      </w:r>
    </w:p>
    <w:p>
      <w:pPr>
        <w:spacing w:after="0" w:line="161" w:lineRule="exact"/>
        <w:rPr>
          <w:sz w:val="20"/>
          <w:szCs w:val="20"/>
          <w:color w:val="auto"/>
        </w:rPr>
      </w:pPr>
    </w:p>
    <w:p>
      <w:pPr>
        <w:ind w:right="400"/>
        <w:spacing w:after="0" w:line="305" w:lineRule="auto"/>
        <w:rPr>
          <w:sz w:val="20"/>
          <w:szCs w:val="20"/>
          <w:color w:val="auto"/>
        </w:rPr>
      </w:pPr>
      <w:r>
        <w:rPr>
          <w:rFonts w:ascii="Arial" w:cs="Arial" w:eastAsia="Arial" w:hAnsi="Arial"/>
          <w:sz w:val="15"/>
          <w:szCs w:val="15"/>
          <w:color w:val="auto"/>
        </w:rPr>
        <w:t>Scholastic Education’s efforts are focused on partnering with school districts to raise student achievement by providing solutions that combine content, technology and services in the areas of reading and math. Significant technology-based reading improvement programs that Scholastic offers include READ</w:t>
      </w:r>
    </w:p>
    <w:p>
      <w:pPr>
        <w:ind w:right="20"/>
        <w:spacing w:after="0" w:line="270" w:lineRule="auto"/>
        <w:rPr>
          <w:sz w:val="20"/>
          <w:szCs w:val="20"/>
          <w:color w:val="auto"/>
        </w:rPr>
      </w:pPr>
      <w:r>
        <w:rPr>
          <w:rFonts w:ascii="Arial" w:cs="Arial" w:eastAsia="Arial" w:hAnsi="Arial"/>
          <w:sz w:val="16"/>
          <w:szCs w:val="16"/>
          <w:color w:val="auto"/>
        </w:rPr>
        <w:t>180</w:t>
      </w:r>
      <w:r>
        <w:rPr>
          <w:rFonts w:ascii="Arial" w:cs="Arial" w:eastAsia="Arial" w:hAnsi="Arial"/>
          <w:sz w:val="26"/>
          <w:szCs w:val="26"/>
          <w:color w:val="auto"/>
          <w:vertAlign w:val="superscript"/>
        </w:rPr>
        <w:t>®</w:t>
      </w:r>
      <w:r>
        <w:rPr>
          <w:rFonts w:ascii="Arial" w:cs="Arial" w:eastAsia="Arial" w:hAnsi="Arial"/>
          <w:sz w:val="16"/>
          <w:szCs w:val="16"/>
          <w:color w:val="auto"/>
        </w:rPr>
        <w:t>, an intensive reading intervention program for students in grades 4 to 12 reading at least two years below grade level, System 44</w:t>
      </w:r>
      <w:r>
        <w:rPr>
          <w:rFonts w:ascii="Arial" w:cs="Arial" w:eastAsia="Arial" w:hAnsi="Arial"/>
          <w:sz w:val="26"/>
          <w:szCs w:val="26"/>
          <w:color w:val="auto"/>
          <w:vertAlign w:val="superscript"/>
        </w:rPr>
        <w:t>®</w:t>
      </w:r>
      <w:r>
        <w:rPr>
          <w:rFonts w:ascii="Arial" w:cs="Arial" w:eastAsia="Arial" w:hAnsi="Arial"/>
          <w:sz w:val="16"/>
          <w:szCs w:val="16"/>
          <w:color w:val="auto"/>
        </w:rPr>
        <w:t>, an intensive intervention program for students in grades 4 to 12 who have not yet mastered the 44 sounds and 26 letters of the English language, and Scholastic Reading Inventory, which is a research-based, computer-adaptive assessment for grades K to 12 that allows educators to assess a student’s reading comprehension. Other major programs include FASTT Math</w:t>
      </w:r>
      <w:r>
        <w:rPr>
          <w:rFonts w:ascii="Arial" w:cs="Arial" w:eastAsia="Arial" w:hAnsi="Arial"/>
          <w:sz w:val="26"/>
          <w:szCs w:val="26"/>
          <w:color w:val="auto"/>
          <w:vertAlign w:val="superscript"/>
        </w:rPr>
        <w:t>®</w:t>
      </w:r>
      <w:r>
        <w:rPr>
          <w:rFonts w:ascii="Arial" w:cs="Arial" w:eastAsia="Arial" w:hAnsi="Arial"/>
          <w:sz w:val="16"/>
          <w:szCs w:val="16"/>
          <w:color w:val="auto"/>
        </w:rPr>
        <w:t>, a technology-based program to improve math fluency, developed with the creator of READ 180,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2663825</wp:posOffset>
            </wp:positionH>
            <wp:positionV relativeFrom="paragraph">
              <wp:posOffset>48895</wp:posOffset>
            </wp:positionV>
            <wp:extent cx="1929765" cy="2317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929765"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833" w:right="259" w:bottom="1440" w:gutter="0" w:footer="0" w:header="0"/>
        </w:sectPr>
      </w:pPr>
    </w:p>
    <w:bookmarkStart w:id="6" w:name="page7"/>
    <w:bookmarkEnd w:id="6"/>
    <w:p>
      <w:pPr>
        <w:ind w:right="320"/>
        <w:spacing w:after="0" w:line="22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3765" cy="8890"/>
                    </a:xfrm>
                    <a:prstGeom prst="rect">
                      <a:avLst/>
                    </a:prstGeom>
                    <a:noFill/>
                  </pic:spPr>
                </pic:pic>
              </a:graphicData>
            </a:graphic>
          </wp:anchor>
        </w:drawing>
        <w:t>The Math</w:t>
      </w:r>
      <w:r>
        <w:rPr>
          <w:rFonts w:ascii="Arial" w:cs="Arial" w:eastAsia="Arial" w:hAnsi="Arial"/>
          <w:sz w:val="29"/>
          <w:szCs w:val="29"/>
          <w:color w:val="auto"/>
          <w:vertAlign w:val="superscript"/>
        </w:rPr>
        <w:t>®</w:t>
      </w:r>
      <w:r>
        <w:rPr>
          <w:rFonts w:ascii="Arial" w:cs="Arial" w:eastAsia="Arial" w:hAnsi="Arial"/>
          <w:sz w:val="18"/>
          <w:szCs w:val="18"/>
          <w:color w:val="auto"/>
        </w:rPr>
        <w:t>, a mathematics intervention program created by Marilyn Burns, a nationally known math educator, and Grolier Online</w:t>
      </w:r>
      <w:r>
        <w:rPr>
          <w:rFonts w:ascii="Arial" w:cs="Arial" w:eastAsia="Arial" w:hAnsi="Arial"/>
          <w:sz w:val="29"/>
          <w:szCs w:val="29"/>
          <w:color w:val="auto"/>
          <w:vertAlign w:val="superscript"/>
        </w:rPr>
        <w:t>TM</w:t>
      </w:r>
      <w:r>
        <w:rPr>
          <w:rFonts w:ascii="Arial" w:cs="Arial" w:eastAsia="Arial" w:hAnsi="Arial"/>
          <w:sz w:val="18"/>
          <w:szCs w:val="18"/>
          <w:color w:val="auto"/>
        </w:rPr>
        <w:t>, which provides subscriptions to reference databases for schools and libraries. The Company considers its educational technology products and related services to be a growth driver and continues to focus these businesses on technology and services.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Scholastic Classroom and Library Publishing</w:t>
      </w:r>
    </w:p>
    <w:p>
      <w:pPr>
        <w:spacing w:after="0" w:line="222"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 xml:space="preserve">The Company distributes paperback collections to schools and school districts for classroom and school libraries and other uses, as well as to literacy organizations. Scholastic is a leading publisher of quality children’s reference and non-fiction products sold primarily to schools and libraries in the United States. Scholastic is a leading publisher of classroom magazines. Teachers in grades pre-K to 12 use these magazines as supplementary educational materials. The Company’s 30 classroom magazines supplement formal learning programs by bringing subjects of current interest into the classroom. The magazines are designed to encourage students to read and also to cover diverse subjects, including literature, math, science, current events, social studies and foreign languages. The most well-known of the Company’s domestic magazines are </w:t>
      </w:r>
      <w:r>
        <w:rPr>
          <w:rFonts w:ascii="Arial" w:cs="Arial" w:eastAsia="Arial" w:hAnsi="Arial"/>
          <w:sz w:val="16"/>
          <w:szCs w:val="16"/>
          <w:i w:val="1"/>
          <w:iCs w:val="1"/>
          <w:color w:val="auto"/>
        </w:rPr>
        <w:t>Scholastic News</w:t>
      </w:r>
      <w:r>
        <w:rPr>
          <w:rFonts w:ascii="Arial" w:cs="Arial" w:eastAsia="Arial" w:hAnsi="Arial"/>
          <w:sz w:val="26"/>
          <w:szCs w:val="26"/>
          <w:color w:val="auto"/>
          <w:vertAlign w:val="superscript"/>
        </w:rPr>
        <w:t>®</w:t>
      </w:r>
      <w:r>
        <w:rPr>
          <w:rFonts w:ascii="Arial" w:cs="Arial" w:eastAsia="Arial" w:hAnsi="Arial"/>
          <w:sz w:val="16"/>
          <w:szCs w:val="16"/>
          <w:color w:val="auto"/>
        </w:rPr>
        <w:t xml:space="preserve"> and </w:t>
      </w:r>
      <w:r>
        <w:rPr>
          <w:rFonts w:ascii="Arial" w:cs="Arial" w:eastAsia="Arial" w:hAnsi="Arial"/>
          <w:sz w:val="16"/>
          <w:szCs w:val="16"/>
          <w:i w:val="1"/>
          <w:iCs w:val="1"/>
          <w:color w:val="auto"/>
        </w:rPr>
        <w:t>Junior Scholastic</w:t>
      </w:r>
      <w:r>
        <w:rPr>
          <w:rFonts w:ascii="Arial" w:cs="Arial" w:eastAsia="Arial" w:hAnsi="Arial"/>
          <w:sz w:val="26"/>
          <w:szCs w:val="26"/>
          <w:color w:val="auto"/>
          <w:vertAlign w:val="superscript"/>
        </w:rPr>
        <w:t>®</w:t>
      </w:r>
      <w:r>
        <w:rPr>
          <w:rFonts w:ascii="Arial" w:cs="Arial" w:eastAsia="Arial" w:hAnsi="Arial"/>
          <w:sz w:val="16"/>
          <w:szCs w:val="16"/>
          <w:color w:val="auto"/>
        </w:rPr>
        <w:t>.</w:t>
      </w:r>
    </w:p>
    <w:p>
      <w:pPr>
        <w:spacing w:after="0" w:line="50"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color w:val="auto"/>
        </w:rPr>
        <w:t>Scholastic’s classroom magazine circulation in the United States in fiscal 2010 was 7.6 million, with approximately two-thirds of the circulation in grades pre-K to 6. In fiscal 2010, teachers in approximately 60% of the schools in the United States used the Company’s classroom magazines. The various classroom magazines are distributed either on a weekly, biweekly or monthly basis during the school year and are supplemented by timely materials featured on the Company’s website, scholastic.com. The majority of magazines purchased are paid for with school or district funds, with parents and teachers paying for the balance. Circulation revenue accounted for substantially all of the classroom magazine revenues in fiscal 2010.</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Teaching Resources</w:t>
      </w:r>
    </w:p>
    <w:p>
      <w:pPr>
        <w:spacing w:after="0" w:line="222"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The Company’s Teaching Resources division publishes and sells professional books designed for and generally purchased by teachers, both directly from the Company and through teacher stores and booksellers, including the Company’s own on-line Teacher Store, which provides professional books and other educational materials to schools and teachers.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w:t>
      </w:r>
      <w:r>
        <w:rPr>
          <w:rFonts w:ascii="Arial" w:cs="Arial" w:eastAsia="Arial" w:hAnsi="Arial"/>
          <w:sz w:val="12"/>
          <w:szCs w:val="12"/>
          <w:b w:val="1"/>
          <w:bCs w:val="1"/>
          <w:color w:val="auto"/>
        </w:rPr>
        <w:t>EDIA</w:t>
      </w:r>
      <w:r>
        <w:rPr>
          <w:rFonts w:ascii="Arial" w:cs="Arial" w:eastAsia="Arial" w:hAnsi="Arial"/>
          <w:sz w:val="18"/>
          <w:szCs w:val="18"/>
          <w:b w:val="1"/>
          <w:bCs w:val="1"/>
          <w:color w:val="auto"/>
        </w:rPr>
        <w:t>, L</w:t>
      </w:r>
      <w:r>
        <w:rPr>
          <w:rFonts w:ascii="Arial" w:cs="Arial" w:eastAsia="Arial" w:hAnsi="Arial"/>
          <w:sz w:val="12"/>
          <w:szCs w:val="12"/>
          <w:b w:val="1"/>
          <w:bCs w:val="1"/>
          <w:color w:val="auto"/>
        </w:rPr>
        <w:t>ICENSING AND</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DVERTISING</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(6.0% of fiscal 2010 revenues)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2" w:lineRule="exact"/>
        <w:rPr>
          <w:sz w:val="20"/>
          <w:szCs w:val="20"/>
          <w:color w:val="auto"/>
        </w:rPr>
      </w:pPr>
    </w:p>
    <w:p>
      <w:pPr>
        <w:ind w:right="120"/>
        <w:spacing w:after="0" w:line="223" w:lineRule="auto"/>
        <w:rPr>
          <w:sz w:val="20"/>
          <w:szCs w:val="20"/>
          <w:color w:val="auto"/>
        </w:rPr>
      </w:pPr>
      <w:r>
        <w:rPr>
          <w:rFonts w:ascii="Arial" w:cs="Arial" w:eastAsia="Arial" w:hAnsi="Arial"/>
          <w:sz w:val="18"/>
          <w:szCs w:val="18"/>
          <w:color w:val="auto"/>
        </w:rPr>
        <w:t xml:space="preserve">The Company’s </w:t>
      </w:r>
      <w:r>
        <w:rPr>
          <w:rFonts w:ascii="Arial" w:cs="Arial" w:eastAsia="Arial" w:hAnsi="Arial"/>
          <w:sz w:val="18"/>
          <w:szCs w:val="18"/>
          <w:i w:val="1"/>
          <w:iCs w:val="1"/>
          <w:color w:val="auto"/>
        </w:rPr>
        <w:t>Media, Licensing and Advertising</w:t>
      </w:r>
      <w:r>
        <w:rPr>
          <w:rFonts w:ascii="Arial" w:cs="Arial" w:eastAsia="Arial" w:hAnsi="Arial"/>
          <w:sz w:val="18"/>
          <w:szCs w:val="18"/>
          <w:color w:val="auto"/>
        </w:rPr>
        <w:t xml:space="preserve"> segment includes the production and/or distribution of media, consumer promotions and merchandising and advertising revenue, including sponsorship programs. Scholastic Media consists of Scholastic Entertainment Inc., Soup2Nuts Inc., Weston Woods Studios Inc.</w:t>
      </w:r>
      <w:r>
        <w:rPr>
          <w:rFonts w:ascii="Arial" w:cs="Arial" w:eastAsia="Arial" w:hAnsi="Arial"/>
          <w:sz w:val="29"/>
          <w:szCs w:val="29"/>
          <w:color w:val="auto"/>
          <w:vertAlign w:val="superscript"/>
        </w:rPr>
        <w:t>®</w:t>
      </w:r>
      <w:r>
        <w:rPr>
          <w:rFonts w:ascii="Arial" w:cs="Arial" w:eastAsia="Arial" w:hAnsi="Arial"/>
          <w:sz w:val="18"/>
          <w:szCs w:val="18"/>
          <w:color w:val="auto"/>
        </w:rPr>
        <w:t>, and Scholastic Interactive L.L.C.</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Production and Distribution</w:t>
      </w:r>
    </w:p>
    <w:p>
      <w:pPr>
        <w:spacing w:after="0" w:line="222"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color w:val="auto"/>
        </w:rPr>
        <w:t>Through Scholastic Entertainment Inc. (“SEI”), Soup2Nuts Inc. (“S2N”) and Weston Woods Studios, Inc., the Company’s entertainment and media division creates and produces television programming, videos/DVDs, feature films, and branded websites. SEI builds consumer awareness and value for the Company’s franchises by creating family-focused media that form the basis for global branding campaigns. SEI generates revenue by exploiting these assets globally across multiple media formats and by developing and executing brand-marketing campaigns.</w:t>
      </w:r>
    </w:p>
    <w:p>
      <w:pPr>
        <w:spacing w:after="0" w:line="168" w:lineRule="exact"/>
        <w:rPr>
          <w:sz w:val="20"/>
          <w:szCs w:val="20"/>
          <w:color w:val="auto"/>
        </w:rPr>
      </w:pPr>
    </w:p>
    <w:p>
      <w:pPr>
        <w:ind w:right="60"/>
        <w:spacing w:after="0" w:line="228" w:lineRule="auto"/>
        <w:rPr>
          <w:sz w:val="20"/>
          <w:szCs w:val="20"/>
          <w:color w:val="auto"/>
        </w:rPr>
      </w:pPr>
      <w:r>
        <w:rPr>
          <w:rFonts w:ascii="Arial" w:cs="Arial" w:eastAsia="Arial" w:hAnsi="Arial"/>
          <w:sz w:val="15"/>
          <w:szCs w:val="15"/>
          <w:color w:val="auto"/>
        </w:rPr>
        <w:t xml:space="preserve">SEI has built a television library of half-hour productions, including: </w:t>
      </w:r>
      <w:r>
        <w:rPr>
          <w:rFonts w:ascii="Arial" w:cs="Arial" w:eastAsia="Arial" w:hAnsi="Arial"/>
          <w:sz w:val="15"/>
          <w:szCs w:val="15"/>
          <w:i w:val="1"/>
          <w:iCs w:val="1"/>
          <w:color w:val="auto"/>
        </w:rPr>
        <w:t>Clifford The Big Red Dog</w:t>
      </w:r>
      <w:r>
        <w:rPr>
          <w:rFonts w:ascii="Arial" w:cs="Arial" w:eastAsia="Arial" w:hAnsi="Arial"/>
          <w:sz w:val="24"/>
          <w:szCs w:val="24"/>
          <w:color w:val="auto"/>
          <w:vertAlign w:val="superscript"/>
        </w:rPr>
        <w:t>®</w:t>
      </w:r>
      <w:r>
        <w:rPr>
          <w:rFonts w:ascii="Arial" w:cs="Arial" w:eastAsia="Arial" w:hAnsi="Arial"/>
          <w:sz w:val="15"/>
          <w:szCs w:val="15"/>
          <w:i w:val="1"/>
          <w:iCs w:val="1"/>
          <w:color w:val="auto"/>
        </w:rPr>
        <w:t>, Clifford’s Puppy Days</w:t>
      </w:r>
      <w:r>
        <w:rPr>
          <w:rFonts w:ascii="Arial" w:cs="Arial" w:eastAsia="Arial" w:hAnsi="Arial"/>
          <w:sz w:val="24"/>
          <w:szCs w:val="24"/>
          <w:color w:val="auto"/>
          <w:vertAlign w:val="superscript"/>
        </w:rPr>
        <w:t>TM</w:t>
      </w:r>
      <w:r>
        <w:rPr>
          <w:rFonts w:ascii="Arial" w:cs="Arial" w:eastAsia="Arial" w:hAnsi="Arial"/>
          <w:sz w:val="15"/>
          <w:szCs w:val="15"/>
          <w:i w:val="1"/>
          <w:iCs w:val="1"/>
          <w:color w:val="auto"/>
        </w:rPr>
        <w:t>, Word Girl</w:t>
      </w:r>
      <w:r>
        <w:rPr>
          <w:rFonts w:ascii="Arial" w:cs="Arial" w:eastAsia="Arial" w:hAnsi="Arial"/>
          <w:sz w:val="24"/>
          <w:szCs w:val="24"/>
          <w:color w:val="auto"/>
          <w:vertAlign w:val="superscript"/>
        </w:rPr>
        <w:t>®</w:t>
      </w:r>
      <w:r>
        <w:rPr>
          <w:rFonts w:ascii="Arial" w:cs="Arial" w:eastAsia="Arial" w:hAnsi="Arial"/>
          <w:sz w:val="15"/>
          <w:szCs w:val="15"/>
          <w:i w:val="1"/>
          <w:iCs w:val="1"/>
          <w:color w:val="auto"/>
        </w:rPr>
        <w:t>, Maya &amp; Miguel</w:t>
      </w:r>
      <w:r>
        <w:rPr>
          <w:rFonts w:ascii="Arial" w:cs="Arial" w:eastAsia="Arial" w:hAnsi="Arial"/>
          <w:sz w:val="24"/>
          <w:szCs w:val="24"/>
          <w:color w:val="auto"/>
          <w:vertAlign w:val="superscript"/>
        </w:rPr>
        <w:t>TM</w:t>
      </w:r>
      <w:r>
        <w:rPr>
          <w:rFonts w:ascii="Arial" w:cs="Arial" w:eastAsia="Arial" w:hAnsi="Arial"/>
          <w:sz w:val="15"/>
          <w:szCs w:val="15"/>
          <w:i w:val="1"/>
          <w:iCs w:val="1"/>
          <w:color w:val="auto"/>
        </w:rPr>
        <w:t>, The</w:t>
      </w:r>
      <w:r>
        <w:rPr>
          <w:rFonts w:ascii="Arial" w:cs="Arial" w:eastAsia="Arial" w:hAnsi="Arial"/>
          <w:sz w:val="15"/>
          <w:szCs w:val="15"/>
          <w:color w:val="auto"/>
        </w:rPr>
        <w:t xml:space="preserve"> </w:t>
      </w:r>
      <w:r>
        <w:rPr>
          <w:rFonts w:ascii="Arial" w:cs="Arial" w:eastAsia="Arial" w:hAnsi="Arial"/>
          <w:sz w:val="15"/>
          <w:szCs w:val="15"/>
          <w:i w:val="1"/>
          <w:iCs w:val="1"/>
          <w:color w:val="auto"/>
        </w:rPr>
        <w:t>Magic School Bus</w:t>
      </w:r>
      <w:r>
        <w:rPr>
          <w:rFonts w:ascii="Arial" w:cs="Arial" w:eastAsia="Arial" w:hAnsi="Arial"/>
          <w:sz w:val="24"/>
          <w:szCs w:val="24"/>
          <w:color w:val="auto"/>
          <w:vertAlign w:val="superscript"/>
        </w:rPr>
        <w:t>®</w:t>
      </w:r>
      <w:r>
        <w:rPr>
          <w:rFonts w:ascii="Arial" w:cs="Arial" w:eastAsia="Arial" w:hAnsi="Arial"/>
          <w:sz w:val="15"/>
          <w:szCs w:val="15"/>
          <w:i w:val="1"/>
          <w:iCs w:val="1"/>
          <w:color w:val="auto"/>
        </w:rPr>
        <w:t>, Turbo Dogs, I Spy, Goosebumps</w:t>
      </w:r>
      <w:r>
        <w:rPr>
          <w:rFonts w:ascii="Arial" w:cs="Arial" w:eastAsia="Arial" w:hAnsi="Arial"/>
          <w:sz w:val="24"/>
          <w:szCs w:val="24"/>
          <w:color w:val="auto"/>
          <w:vertAlign w:val="superscript"/>
        </w:rPr>
        <w:t>®</w:t>
      </w:r>
      <w:r>
        <w:rPr>
          <w:rFonts w:ascii="Arial" w:cs="Arial" w:eastAsia="Arial" w:hAnsi="Arial"/>
          <w:sz w:val="15"/>
          <w:szCs w:val="15"/>
          <w:i w:val="1"/>
          <w:iCs w:val="1"/>
          <w:color w:val="auto"/>
        </w:rPr>
        <w:t>, Animorphs</w:t>
      </w:r>
      <w:r>
        <w:rPr>
          <w:rFonts w:ascii="Arial" w:cs="Arial" w:eastAsia="Arial" w:hAnsi="Arial"/>
          <w:sz w:val="24"/>
          <w:szCs w:val="24"/>
          <w:color w:val="auto"/>
          <w:vertAlign w:val="superscript"/>
        </w:rPr>
        <w:t>®</w:t>
      </w:r>
      <w:r>
        <w:rPr>
          <w:rFonts w:ascii="Arial" w:cs="Arial" w:eastAsia="Arial" w:hAnsi="Arial"/>
          <w:sz w:val="15"/>
          <w:szCs w:val="15"/>
          <w:i w:val="1"/>
          <w:iCs w:val="1"/>
          <w:color w:val="auto"/>
        </w:rPr>
        <w:t>, Dear America</w:t>
      </w:r>
      <w:r>
        <w:rPr>
          <w:rFonts w:ascii="Arial" w:cs="Arial" w:eastAsia="Arial" w:hAnsi="Arial"/>
          <w:sz w:val="24"/>
          <w:szCs w:val="24"/>
          <w:color w:val="auto"/>
          <w:vertAlign w:val="superscript"/>
        </w:rPr>
        <w:t>®</w:t>
      </w:r>
      <w:r>
        <w:rPr>
          <w:rFonts w:ascii="Arial" w:cs="Arial" w:eastAsia="Arial" w:hAnsi="Arial"/>
          <w:sz w:val="15"/>
          <w:szCs w:val="15"/>
          <w:i w:val="1"/>
          <w:iCs w:val="1"/>
          <w:color w:val="auto"/>
        </w:rPr>
        <w:t>, Horrible Histories</w:t>
      </w:r>
      <w:r>
        <w:rPr>
          <w:rFonts w:ascii="Arial" w:cs="Arial" w:eastAsia="Arial" w:hAnsi="Arial"/>
          <w:sz w:val="24"/>
          <w:szCs w:val="24"/>
          <w:color w:val="auto"/>
          <w:vertAlign w:val="superscript"/>
        </w:rPr>
        <w:t>®</w:t>
      </w:r>
      <w:r>
        <w:rPr>
          <w:rFonts w:ascii="Arial" w:cs="Arial" w:eastAsia="Arial" w:hAnsi="Arial"/>
          <w:sz w:val="15"/>
          <w:szCs w:val="15"/>
          <w:i w:val="1"/>
          <w:iCs w:val="1"/>
          <w:color w:val="auto"/>
        </w:rPr>
        <w:t>, Sammy’s Storyshop</w:t>
      </w:r>
      <w:r>
        <w:rPr>
          <w:rFonts w:ascii="Arial" w:cs="Arial" w:eastAsia="Arial" w:hAnsi="Arial"/>
          <w:sz w:val="24"/>
          <w:szCs w:val="24"/>
          <w:color w:val="auto"/>
          <w:vertAlign w:val="superscript"/>
        </w:rPr>
        <w:t>TM</w:t>
      </w:r>
      <w:r>
        <w:rPr>
          <w:rFonts w:ascii="Arial" w:cs="Arial" w:eastAsia="Arial" w:hAnsi="Arial"/>
          <w:sz w:val="15"/>
          <w:szCs w:val="15"/>
          <w:i w:val="1"/>
          <w:iCs w:val="1"/>
          <w:color w:val="auto"/>
        </w:rPr>
        <w:t>, Stellaluna, The Very Hungry</w:t>
      </w:r>
    </w:p>
    <w:p>
      <w:pPr>
        <w:spacing w:after="0" w:line="1" w:lineRule="exact"/>
        <w:rPr>
          <w:sz w:val="20"/>
          <w:szCs w:val="20"/>
          <w:color w:val="auto"/>
        </w:rPr>
      </w:pPr>
    </w:p>
    <w:p>
      <w:pPr>
        <w:ind w:right="80"/>
        <w:spacing w:after="0" w:line="218" w:lineRule="auto"/>
        <w:rPr>
          <w:sz w:val="20"/>
          <w:szCs w:val="20"/>
          <w:color w:val="auto"/>
        </w:rPr>
      </w:pPr>
      <w:r>
        <w:rPr>
          <w:rFonts w:ascii="Arial" w:cs="Arial" w:eastAsia="Arial" w:hAnsi="Arial"/>
          <w:sz w:val="18"/>
          <w:szCs w:val="18"/>
          <w:i w:val="1"/>
          <w:iCs w:val="1"/>
          <w:color w:val="auto"/>
        </w:rPr>
        <w:t xml:space="preserve">Caterpillar </w:t>
      </w:r>
      <w:r>
        <w:rPr>
          <w:rFonts w:ascii="Arial" w:cs="Arial" w:eastAsia="Arial" w:hAnsi="Arial"/>
          <w:sz w:val="18"/>
          <w:szCs w:val="18"/>
          <w:color w:val="auto"/>
        </w:rPr>
        <w:t>and</w:t>
      </w:r>
      <w:r>
        <w:rPr>
          <w:rFonts w:ascii="Arial" w:cs="Arial" w:eastAsia="Arial" w:hAnsi="Arial"/>
          <w:sz w:val="18"/>
          <w:szCs w:val="18"/>
          <w:i w:val="1"/>
          <w:iCs w:val="1"/>
          <w:color w:val="auto"/>
        </w:rPr>
        <w:t xml:space="preserve"> The Baby-sitters Club</w:t>
      </w:r>
      <w:r>
        <w:rPr>
          <w:rFonts w:ascii="Arial" w:cs="Arial" w:eastAsia="Arial" w:hAnsi="Arial"/>
          <w:sz w:val="29"/>
          <w:szCs w:val="29"/>
          <w:color w:val="auto"/>
          <w:vertAlign w:val="superscript"/>
        </w:rPr>
        <w:t>®</w:t>
      </w:r>
      <w:r>
        <w:rPr>
          <w:rFonts w:ascii="Arial" w:cs="Arial" w:eastAsia="Arial" w:hAnsi="Arial"/>
          <w:sz w:val="18"/>
          <w:szCs w:val="18"/>
          <w:color w:val="auto"/>
        </w:rPr>
        <w:t>. These series have been sold in the United States and throughout the world. These productions have garnered over 125</w:t>
      </w:r>
      <w:r>
        <w:rPr>
          <w:rFonts w:ascii="Arial" w:cs="Arial" w:eastAsia="Arial" w:hAnsi="Arial"/>
          <w:sz w:val="18"/>
          <w:szCs w:val="18"/>
          <w:i w:val="1"/>
          <w:iCs w:val="1"/>
          <w:color w:val="auto"/>
        </w:rPr>
        <w:t xml:space="preserve"> </w:t>
      </w:r>
      <w:r>
        <w:rPr>
          <w:rFonts w:ascii="Arial" w:cs="Arial" w:eastAsia="Arial" w:hAnsi="Arial"/>
          <w:sz w:val="18"/>
          <w:szCs w:val="18"/>
          <w:color w:val="auto"/>
        </w:rPr>
        <w:t>major awards including Emmy, Peabody and Academy awards. Since 2007, the Company has participated in a children’s programming venture which distributes educational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2663825</wp:posOffset>
            </wp:positionH>
            <wp:positionV relativeFrom="paragraph">
              <wp:posOffset>140335</wp:posOffset>
            </wp:positionV>
            <wp:extent cx="1929765" cy="2317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929765"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835" w:right="259" w:bottom="1440" w:gutter="0" w:footer="0" w:header="0"/>
        </w:sectPr>
      </w:pPr>
    </w:p>
    <w:bookmarkStart w:id="7" w:name="page8"/>
    <w:bookmarkEnd w:id="7"/>
    <w:p>
      <w:pPr>
        <w:ind w:right="1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3765" cy="8890"/>
                    </a:xfrm>
                    <a:prstGeom prst="rect">
                      <a:avLst/>
                    </a:prstGeom>
                    <a:noFill/>
                  </pic:spPr>
                </pic:pic>
              </a:graphicData>
            </a:graphic>
          </wp:anchor>
        </w:drawing>
        <w:t>children’s television programming under the name Qubo. Qubo features bilingual content with a mission to promote literacy and values in children’s television. Qubo provides programming on NBC and Telemundo as well as a branded 24/7 digital channel and is now in its fourth year, affording distribution for SEI’s television programming and generating awareness for the Scholastic brand.</w:t>
      </w:r>
    </w:p>
    <w:p>
      <w:pPr>
        <w:spacing w:after="0" w:line="194"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 xml:space="preserve">S2N, an award-winning producer of animated television and web programming, has produced half-hour episodes of television programming, including the animated series </w:t>
      </w:r>
      <w:r>
        <w:rPr>
          <w:rFonts w:ascii="Arial" w:cs="Arial" w:eastAsia="Arial" w:hAnsi="Arial"/>
          <w:sz w:val="18"/>
          <w:szCs w:val="18"/>
          <w:i w:val="1"/>
          <w:iCs w:val="1"/>
          <w:color w:val="auto"/>
        </w:rPr>
        <w:t>Time Warp Trio</w:t>
      </w:r>
      <w:r>
        <w:rPr>
          <w:rFonts w:ascii="Arial" w:cs="Arial" w:eastAsia="Arial" w:hAnsi="Arial"/>
          <w:sz w:val="18"/>
          <w:szCs w:val="18"/>
          <w:color w:val="auto"/>
        </w:rPr>
        <w:t xml:space="preserve"> and </w:t>
      </w:r>
      <w:r>
        <w:rPr>
          <w:rFonts w:ascii="Arial" w:cs="Arial" w:eastAsia="Arial" w:hAnsi="Arial"/>
          <w:sz w:val="18"/>
          <w:szCs w:val="18"/>
          <w:i w:val="1"/>
          <w:iCs w:val="1"/>
          <w:color w:val="auto"/>
        </w:rPr>
        <w:t>O’Grady</w:t>
      </w:r>
      <w:r>
        <w:rPr>
          <w:rFonts w:ascii="Arial" w:cs="Arial" w:eastAsia="Arial" w:hAnsi="Arial"/>
          <w:sz w:val="18"/>
          <w:szCs w:val="18"/>
          <w:color w:val="auto"/>
        </w:rPr>
        <w:t xml:space="preserve">. In fiscal 2010, S2N with SEI produced 20 additional half-hour episodes of the Emmy award-winning animated series </w:t>
      </w:r>
      <w:r>
        <w:rPr>
          <w:rFonts w:ascii="Arial" w:cs="Arial" w:eastAsia="Arial" w:hAnsi="Arial"/>
          <w:sz w:val="18"/>
          <w:szCs w:val="18"/>
          <w:i w:val="1"/>
          <w:iCs w:val="1"/>
          <w:color w:val="auto"/>
        </w:rPr>
        <w:t>WordGirl</w:t>
      </w:r>
      <w:r>
        <w:rPr>
          <w:rFonts w:ascii="Arial" w:cs="Arial" w:eastAsia="Arial" w:hAnsi="Arial"/>
          <w:sz w:val="18"/>
          <w:szCs w:val="18"/>
          <w:color w:val="auto"/>
        </w:rPr>
        <w:t>.</w:t>
      </w:r>
    </w:p>
    <w:p>
      <w:pPr>
        <w:spacing w:after="0" w:line="194" w:lineRule="exact"/>
        <w:rPr>
          <w:sz w:val="20"/>
          <w:szCs w:val="20"/>
          <w:color w:val="auto"/>
        </w:rPr>
      </w:pPr>
    </w:p>
    <w:p>
      <w:pPr>
        <w:ind w:right="60"/>
        <w:spacing w:after="0" w:line="305" w:lineRule="auto"/>
        <w:rPr>
          <w:sz w:val="20"/>
          <w:szCs w:val="20"/>
          <w:color w:val="auto"/>
        </w:rPr>
      </w:pPr>
      <w:r>
        <w:rPr>
          <w:rFonts w:ascii="Arial" w:cs="Arial" w:eastAsia="Arial" w:hAnsi="Arial"/>
          <w:sz w:val="15"/>
          <w:szCs w:val="15"/>
          <w:color w:val="auto"/>
        </w:rPr>
        <w:t xml:space="preserve">Weston Woods Studios Inc. creates audiovisual adaptations of classic children’s picture books, such as </w:t>
      </w:r>
      <w:r>
        <w:rPr>
          <w:rFonts w:ascii="Arial" w:cs="Arial" w:eastAsia="Arial" w:hAnsi="Arial"/>
          <w:sz w:val="15"/>
          <w:szCs w:val="15"/>
          <w:i w:val="1"/>
          <w:iCs w:val="1"/>
          <w:color w:val="auto"/>
        </w:rPr>
        <w:t>Where the Wild Things Are, Chrysanthemum</w:t>
      </w:r>
      <w:r>
        <w:rPr>
          <w:rFonts w:ascii="Arial" w:cs="Arial" w:eastAsia="Arial" w:hAnsi="Arial"/>
          <w:sz w:val="15"/>
          <w:szCs w:val="15"/>
          <w:color w:val="auto"/>
        </w:rPr>
        <w:t xml:space="preserve"> and </w:t>
      </w:r>
      <w:r>
        <w:rPr>
          <w:rFonts w:ascii="Arial" w:cs="Arial" w:eastAsia="Arial" w:hAnsi="Arial"/>
          <w:sz w:val="15"/>
          <w:szCs w:val="15"/>
          <w:i w:val="1"/>
          <w:iCs w:val="1"/>
          <w:color w:val="auto"/>
        </w:rPr>
        <w:t>Make</w:t>
      </w:r>
      <w:r>
        <w:rPr>
          <w:rFonts w:ascii="Arial" w:cs="Arial" w:eastAsia="Arial" w:hAnsi="Arial"/>
          <w:sz w:val="15"/>
          <w:szCs w:val="15"/>
          <w:color w:val="auto"/>
        </w:rPr>
        <w:t xml:space="preserve"> </w:t>
      </w:r>
      <w:r>
        <w:rPr>
          <w:rFonts w:ascii="Arial" w:cs="Arial" w:eastAsia="Arial" w:hAnsi="Arial"/>
          <w:sz w:val="15"/>
          <w:szCs w:val="15"/>
          <w:i w:val="1"/>
          <w:iCs w:val="1"/>
          <w:color w:val="auto"/>
        </w:rPr>
        <w:t>Way for Ducklings</w:t>
      </w:r>
      <w:r>
        <w:rPr>
          <w:rFonts w:ascii="Arial" w:cs="Arial" w:eastAsia="Arial" w:hAnsi="Arial"/>
          <w:sz w:val="15"/>
          <w:szCs w:val="15"/>
          <w:color w:val="auto"/>
        </w:rPr>
        <w:t>, which were initially produced for the school and library market as a supplemental educational resource. SEI has repackaged over 60 titles for</w:t>
      </w:r>
    </w:p>
    <w:p>
      <w:pPr>
        <w:ind w:right="140"/>
        <w:spacing w:after="0" w:line="221" w:lineRule="auto"/>
        <w:rPr>
          <w:sz w:val="20"/>
          <w:szCs w:val="20"/>
          <w:color w:val="auto"/>
        </w:rPr>
      </w:pPr>
      <w:r>
        <w:rPr>
          <w:rFonts w:ascii="Arial" w:cs="Arial" w:eastAsia="Arial" w:hAnsi="Arial"/>
          <w:sz w:val="18"/>
          <w:szCs w:val="18"/>
          <w:color w:val="auto"/>
        </w:rPr>
        <w:t xml:space="preserve">sale to the consumer market under the rebranded </w:t>
      </w:r>
      <w:r>
        <w:rPr>
          <w:rFonts w:ascii="Arial" w:cs="Arial" w:eastAsia="Arial" w:hAnsi="Arial"/>
          <w:sz w:val="18"/>
          <w:szCs w:val="18"/>
          <w:i w:val="1"/>
          <w:iCs w:val="1"/>
          <w:color w:val="auto"/>
        </w:rPr>
        <w:t>“Scholastic Storybook Treasures</w:t>
      </w:r>
      <w:r>
        <w:rPr>
          <w:rFonts w:ascii="Arial" w:cs="Arial" w:eastAsia="Arial" w:hAnsi="Arial"/>
          <w:sz w:val="29"/>
          <w:szCs w:val="29"/>
          <w:color w:val="auto"/>
          <w:vertAlign w:val="superscript"/>
        </w:rPr>
        <w:t>TM</w:t>
      </w:r>
      <w:r>
        <w:rPr>
          <w:rFonts w:ascii="Arial" w:cs="Arial" w:eastAsia="Arial" w:hAnsi="Arial"/>
          <w:sz w:val="18"/>
          <w:szCs w:val="18"/>
          <w:i w:val="1"/>
          <w:iCs w:val="1"/>
          <w:color w:val="auto"/>
        </w:rPr>
        <w:t>”</w:t>
      </w:r>
      <w:r>
        <w:rPr>
          <w:rFonts w:ascii="Arial" w:cs="Arial" w:eastAsia="Arial" w:hAnsi="Arial"/>
          <w:sz w:val="18"/>
          <w:szCs w:val="18"/>
          <w:color w:val="auto"/>
        </w:rPr>
        <w:t xml:space="preserve"> banner. Weston Woods Studios has received numerous awards, including nine Andrew Carnegie Medals for Excellence in Children’s Video and an Academy Award nomination. Scholastic Audio produces award winning young adult and children’s audio recording for the school, library and trade market.</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Brand Marketing and Consumer Products</w:t>
      </w:r>
    </w:p>
    <w:p>
      <w:pPr>
        <w:spacing w:after="0" w:line="222" w:lineRule="exact"/>
        <w:rPr>
          <w:sz w:val="20"/>
          <w:szCs w:val="20"/>
          <w:color w:val="auto"/>
        </w:rPr>
      </w:pPr>
    </w:p>
    <w:p>
      <w:pPr>
        <w:spacing w:after="0" w:line="313" w:lineRule="auto"/>
        <w:rPr>
          <w:sz w:val="20"/>
          <w:szCs w:val="20"/>
          <w:color w:val="auto"/>
        </w:rPr>
      </w:pPr>
      <w:r>
        <w:rPr>
          <w:rFonts w:ascii="Arial" w:cs="Arial" w:eastAsia="Arial" w:hAnsi="Arial"/>
          <w:sz w:val="16"/>
          <w:szCs w:val="16"/>
          <w:color w:val="auto"/>
        </w:rPr>
        <w:t xml:space="preserve">Scholastic Media creates and develops award-winning global branding campaigns for Scholastic properties in order to extend and strengthen Scholastic’s consumer connection with parents, children and teachers. Scholastic Media has designed and managed consumer product campaigns for key brands including </w:t>
      </w:r>
      <w:r>
        <w:rPr>
          <w:rFonts w:ascii="Arial" w:cs="Arial" w:eastAsia="Arial" w:hAnsi="Arial"/>
          <w:sz w:val="16"/>
          <w:szCs w:val="16"/>
          <w:i w:val="1"/>
          <w:iCs w:val="1"/>
          <w:color w:val="auto"/>
        </w:rPr>
        <w:t>The</w:t>
      </w:r>
      <w:r>
        <w:rPr>
          <w:rFonts w:ascii="Arial" w:cs="Arial" w:eastAsia="Arial" w:hAnsi="Arial"/>
          <w:sz w:val="16"/>
          <w:szCs w:val="16"/>
          <w:color w:val="auto"/>
        </w:rPr>
        <w:t xml:space="preserve"> </w:t>
      </w:r>
      <w:r>
        <w:rPr>
          <w:rFonts w:ascii="Arial" w:cs="Arial" w:eastAsia="Arial" w:hAnsi="Arial"/>
          <w:sz w:val="16"/>
          <w:szCs w:val="16"/>
          <w:i w:val="1"/>
          <w:iCs w:val="1"/>
          <w:color w:val="auto"/>
        </w:rPr>
        <w:t>39 Clues</w:t>
      </w:r>
      <w:r>
        <w:rPr>
          <w:rFonts w:ascii="Arial" w:cs="Arial" w:eastAsia="Arial" w:hAnsi="Arial"/>
          <w:sz w:val="26"/>
          <w:szCs w:val="26"/>
          <w:color w:val="auto"/>
          <w:vertAlign w:val="superscript"/>
        </w:rPr>
        <w:t>TM</w:t>
      </w:r>
      <w:r>
        <w:rPr>
          <w:rFonts w:ascii="Arial" w:cs="Arial" w:eastAsia="Arial" w:hAnsi="Arial"/>
          <w:sz w:val="16"/>
          <w:szCs w:val="16"/>
          <w:i w:val="1"/>
          <w:iCs w:val="1"/>
          <w:color w:val="auto"/>
        </w:rPr>
        <w:t>, Clifford the Big Red Dog</w:t>
      </w:r>
      <w:r>
        <w:rPr>
          <w:rFonts w:ascii="Arial" w:cs="Arial" w:eastAsia="Arial" w:hAnsi="Arial"/>
          <w:sz w:val="26"/>
          <w:szCs w:val="26"/>
          <w:color w:val="auto"/>
          <w:vertAlign w:val="superscript"/>
        </w:rPr>
        <w:t>®</w:t>
      </w:r>
      <w:r>
        <w:rPr>
          <w:rFonts w:ascii="Arial" w:cs="Arial" w:eastAsia="Arial" w:hAnsi="Arial"/>
          <w:sz w:val="16"/>
          <w:szCs w:val="16"/>
          <w:i w:val="1"/>
          <w:iCs w:val="1"/>
          <w:color w:val="auto"/>
        </w:rPr>
        <w:t>, Goosebumps</w:t>
      </w:r>
      <w:r>
        <w:rPr>
          <w:rFonts w:ascii="Arial" w:cs="Arial" w:eastAsia="Arial" w:hAnsi="Arial"/>
          <w:sz w:val="26"/>
          <w:szCs w:val="26"/>
          <w:color w:val="auto"/>
          <w:vertAlign w:val="superscript"/>
        </w:rPr>
        <w:t>TM</w:t>
      </w:r>
      <w:r>
        <w:rPr>
          <w:rFonts w:ascii="Arial" w:cs="Arial" w:eastAsia="Arial" w:hAnsi="Arial"/>
          <w:sz w:val="16"/>
          <w:szCs w:val="16"/>
          <w:i w:val="1"/>
          <w:iCs w:val="1"/>
          <w:color w:val="auto"/>
        </w:rPr>
        <w:t>, WordGirl</w:t>
      </w:r>
      <w:r>
        <w:rPr>
          <w:rFonts w:ascii="Arial" w:cs="Arial" w:eastAsia="Arial" w:hAnsi="Arial"/>
          <w:sz w:val="26"/>
          <w:szCs w:val="26"/>
          <w:color w:val="auto"/>
          <w:vertAlign w:val="superscript"/>
        </w:rPr>
        <w:t>TM</w:t>
      </w:r>
      <w:r>
        <w:rPr>
          <w:rFonts w:ascii="Arial" w:cs="Arial" w:eastAsia="Arial" w:hAnsi="Arial"/>
          <w:sz w:val="16"/>
          <w:szCs w:val="16"/>
          <w:i w:val="1"/>
          <w:iCs w:val="1"/>
          <w:color w:val="auto"/>
        </w:rPr>
        <w:t>, The Magic School Bus</w:t>
      </w:r>
      <w:r>
        <w:rPr>
          <w:rFonts w:ascii="Arial" w:cs="Arial" w:eastAsia="Arial" w:hAnsi="Arial"/>
          <w:sz w:val="26"/>
          <w:szCs w:val="26"/>
          <w:color w:val="auto"/>
          <w:vertAlign w:val="superscript"/>
        </w:rPr>
        <w:t>®</w:t>
      </w:r>
      <w:r>
        <w:rPr>
          <w:rFonts w:ascii="Arial" w:cs="Arial" w:eastAsia="Arial" w:hAnsi="Arial"/>
          <w:sz w:val="16"/>
          <w:szCs w:val="16"/>
          <w:i w:val="1"/>
          <w:iCs w:val="1"/>
          <w:color w:val="auto"/>
        </w:rPr>
        <w:t>, I Spy</w:t>
      </w:r>
      <w:r>
        <w:rPr>
          <w:rFonts w:ascii="Arial" w:cs="Arial" w:eastAsia="Arial" w:hAnsi="Arial"/>
          <w:sz w:val="26"/>
          <w:szCs w:val="26"/>
          <w:color w:val="auto"/>
          <w:vertAlign w:val="superscript"/>
        </w:rPr>
        <w:t>TM</w:t>
      </w:r>
      <w:r>
        <w:rPr>
          <w:rFonts w:ascii="Arial" w:cs="Arial" w:eastAsia="Arial" w:hAnsi="Arial"/>
          <w:sz w:val="16"/>
          <w:szCs w:val="16"/>
          <w:i w:val="1"/>
          <w:iCs w:val="1"/>
          <w:color w:val="auto"/>
        </w:rPr>
        <w:t xml:space="preserve"> </w:t>
      </w:r>
      <w:r>
        <w:rPr>
          <w:rFonts w:ascii="Arial" w:cs="Arial" w:eastAsia="Arial" w:hAnsi="Arial"/>
          <w:sz w:val="16"/>
          <w:szCs w:val="16"/>
          <w:color w:val="auto"/>
        </w:rPr>
        <w:t>and</w:t>
      </w:r>
      <w:r>
        <w:rPr>
          <w:rFonts w:ascii="Arial" w:cs="Arial" w:eastAsia="Arial" w:hAnsi="Arial"/>
          <w:sz w:val="16"/>
          <w:szCs w:val="16"/>
          <w:i w:val="1"/>
          <w:iCs w:val="1"/>
          <w:color w:val="auto"/>
        </w:rPr>
        <w:t xml:space="preserve"> Maya &amp; Miguel</w:t>
      </w:r>
      <w:r>
        <w:rPr>
          <w:rFonts w:ascii="Arial" w:cs="Arial" w:eastAsia="Arial" w:hAnsi="Arial"/>
          <w:sz w:val="26"/>
          <w:szCs w:val="26"/>
          <w:color w:val="auto"/>
          <w:vertAlign w:val="superscript"/>
        </w:rPr>
        <w:t>TM</w:t>
      </w:r>
      <w:r>
        <w:rPr>
          <w:rFonts w:ascii="Arial" w:cs="Arial" w:eastAsia="Arial" w:hAnsi="Arial"/>
          <w:sz w:val="16"/>
          <w:szCs w:val="16"/>
          <w:i w:val="1"/>
          <w:iCs w:val="1"/>
          <w:color w:val="auto"/>
        </w:rPr>
        <w:t>.</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Software and Interactive Products</w:t>
      </w:r>
    </w:p>
    <w:p>
      <w:pPr>
        <w:spacing w:after="0" w:line="222" w:lineRule="exact"/>
        <w:rPr>
          <w:sz w:val="20"/>
          <w:szCs w:val="20"/>
          <w:color w:val="auto"/>
        </w:rPr>
      </w:pPr>
    </w:p>
    <w:p>
      <w:pPr>
        <w:spacing w:after="0" w:line="299" w:lineRule="auto"/>
        <w:rPr>
          <w:sz w:val="20"/>
          <w:szCs w:val="20"/>
          <w:color w:val="auto"/>
        </w:rPr>
      </w:pPr>
      <w:r>
        <w:rPr>
          <w:rFonts w:ascii="Arial" w:cs="Arial" w:eastAsia="Arial" w:hAnsi="Arial"/>
          <w:sz w:val="16"/>
          <w:szCs w:val="16"/>
          <w:color w:val="auto"/>
        </w:rPr>
        <w:t xml:space="preserve">Scholastic Media creates original and licensed consumer software, including handheld and console products with accessories, for grades K to 8. Products are distributed through the Company’s school-based software clubs, book clubs and book fairs, as well as the library/teacher market and the trade market. In addition, the Company acquires software and interactive products for distribution in all of these channels through a combination of licensing, purchases of product from software publishers and internal development. The Company’s Nintendo DS, Nintendo Wii, Leapster, Tag and Tag Junior, CD-ROM titles include the award-winning series </w:t>
      </w:r>
      <w:r>
        <w:rPr>
          <w:rFonts w:ascii="Arial" w:cs="Arial" w:eastAsia="Arial" w:hAnsi="Arial"/>
          <w:sz w:val="16"/>
          <w:szCs w:val="16"/>
          <w:i w:val="1"/>
          <w:iCs w:val="1"/>
          <w:color w:val="auto"/>
        </w:rPr>
        <w:t>I Spy, Brain Play</w:t>
      </w:r>
      <w:r>
        <w:rPr>
          <w:rFonts w:ascii="Arial" w:cs="Arial" w:eastAsia="Arial" w:hAnsi="Arial"/>
          <w:sz w:val="26"/>
          <w:szCs w:val="26"/>
          <w:color w:val="auto"/>
          <w:vertAlign w:val="superscript"/>
        </w:rPr>
        <w:t>®</w:t>
      </w:r>
      <w:r>
        <w:rPr>
          <w:rFonts w:ascii="Arial" w:cs="Arial" w:eastAsia="Arial" w:hAnsi="Arial"/>
          <w:sz w:val="16"/>
          <w:szCs w:val="16"/>
          <w:i w:val="1"/>
          <w:iCs w:val="1"/>
          <w:color w:val="auto"/>
        </w:rPr>
        <w:t>, Clifford</w:t>
      </w:r>
      <w:r>
        <w:rPr>
          <w:rFonts w:ascii="Arial" w:cs="Arial" w:eastAsia="Arial" w:hAnsi="Arial"/>
          <w:sz w:val="26"/>
          <w:szCs w:val="26"/>
          <w:color w:val="auto"/>
          <w:vertAlign w:val="superscript"/>
        </w:rPr>
        <w:t>®</w:t>
      </w:r>
      <w:r>
        <w:rPr>
          <w:rFonts w:ascii="Arial" w:cs="Arial" w:eastAsia="Arial" w:hAnsi="Arial"/>
          <w:sz w:val="16"/>
          <w:szCs w:val="16"/>
          <w:i w:val="1"/>
          <w:iCs w:val="1"/>
          <w:color w:val="auto"/>
        </w:rPr>
        <w:t>, Goosebumps</w:t>
      </w:r>
      <w:r>
        <w:rPr>
          <w:rFonts w:ascii="Arial" w:cs="Arial" w:eastAsia="Arial" w:hAnsi="Arial"/>
          <w:sz w:val="26"/>
          <w:szCs w:val="26"/>
          <w:color w:val="auto"/>
          <w:vertAlign w:val="superscript"/>
        </w:rPr>
        <w:t>®</w:t>
      </w:r>
      <w:r>
        <w:rPr>
          <w:rFonts w:ascii="Arial" w:cs="Arial" w:eastAsia="Arial" w:hAnsi="Arial"/>
          <w:sz w:val="16"/>
          <w:szCs w:val="16"/>
          <w:i w:val="1"/>
          <w:iCs w:val="1"/>
          <w:color w:val="auto"/>
        </w:rPr>
        <w:t>, Scholastic Animal Genius</w:t>
      </w:r>
      <w:r>
        <w:rPr>
          <w:rFonts w:ascii="Arial" w:cs="Arial" w:eastAsia="Arial" w:hAnsi="Arial"/>
          <w:sz w:val="26"/>
          <w:szCs w:val="26"/>
          <w:color w:val="auto"/>
          <w:vertAlign w:val="superscript"/>
        </w:rPr>
        <w:t>®</w:t>
      </w:r>
      <w:r>
        <w:rPr>
          <w:rFonts w:ascii="Arial" w:cs="Arial" w:eastAsia="Arial" w:hAnsi="Arial"/>
          <w:sz w:val="16"/>
          <w:szCs w:val="16"/>
          <w:color w:val="auto"/>
        </w:rPr>
        <w:t xml:space="preserve"> and </w:t>
      </w:r>
      <w:r>
        <w:rPr>
          <w:rFonts w:ascii="Arial" w:cs="Arial" w:eastAsia="Arial" w:hAnsi="Arial"/>
          <w:sz w:val="16"/>
          <w:szCs w:val="16"/>
          <w:i w:val="1"/>
          <w:iCs w:val="1"/>
          <w:color w:val="auto"/>
        </w:rPr>
        <w:t>Math Missions</w:t>
      </w:r>
      <w:r>
        <w:rPr>
          <w:rFonts w:ascii="Arial" w:cs="Arial" w:eastAsia="Arial" w:hAnsi="Arial"/>
          <w:sz w:val="26"/>
          <w:szCs w:val="26"/>
          <w:color w:val="auto"/>
          <w:vertAlign w:val="superscript"/>
        </w:rPr>
        <w:t>®</w:t>
      </w:r>
      <w:r>
        <w:rPr>
          <w:rFonts w:ascii="Arial" w:cs="Arial" w:eastAsia="Arial" w:hAnsi="Arial"/>
          <w:sz w:val="16"/>
          <w:szCs w:val="16"/>
          <w:i w:val="1"/>
          <w:iCs w:val="1"/>
          <w:color w:val="auto"/>
        </w:rPr>
        <w:t>.</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Advertising</w:t>
      </w:r>
    </w:p>
    <w:p>
      <w:pPr>
        <w:spacing w:after="0" w:line="223" w:lineRule="exact"/>
        <w:rPr>
          <w:sz w:val="20"/>
          <w:szCs w:val="20"/>
          <w:color w:val="auto"/>
        </w:rPr>
      </w:pPr>
    </w:p>
    <w:p>
      <w:pPr>
        <w:ind w:right="600"/>
        <w:spacing w:after="0" w:line="255" w:lineRule="auto"/>
        <w:rPr>
          <w:sz w:val="20"/>
          <w:szCs w:val="20"/>
          <w:color w:val="auto"/>
        </w:rPr>
      </w:pPr>
      <w:r>
        <w:rPr>
          <w:rFonts w:ascii="Arial" w:cs="Arial" w:eastAsia="Arial" w:hAnsi="Arial"/>
          <w:sz w:val="15"/>
          <w:szCs w:val="15"/>
          <w:color w:val="auto"/>
        </w:rPr>
        <w:t xml:space="preserve">Certain of the Company’s magazine properties generate advertising revenues as their primary source of revenue, including </w:t>
      </w:r>
      <w:r>
        <w:rPr>
          <w:rFonts w:ascii="Arial" w:cs="Arial" w:eastAsia="Arial" w:hAnsi="Arial"/>
          <w:sz w:val="15"/>
          <w:szCs w:val="15"/>
          <w:i w:val="1"/>
          <w:iCs w:val="1"/>
          <w:color w:val="auto"/>
        </w:rPr>
        <w:t>Instructor</w:t>
      </w:r>
      <w:r>
        <w:rPr>
          <w:rFonts w:ascii="Arial" w:cs="Arial" w:eastAsia="Arial" w:hAnsi="Arial"/>
          <w:sz w:val="24"/>
          <w:szCs w:val="24"/>
          <w:color w:val="auto"/>
          <w:vertAlign w:val="superscript"/>
        </w:rPr>
        <w:t>®</w:t>
      </w:r>
      <w:r>
        <w:rPr>
          <w:rFonts w:ascii="Arial" w:cs="Arial" w:eastAsia="Arial" w:hAnsi="Arial"/>
          <w:sz w:val="15"/>
          <w:szCs w:val="15"/>
          <w:color w:val="auto"/>
        </w:rPr>
        <w:t xml:space="preserve"> and </w:t>
      </w:r>
      <w:r>
        <w:rPr>
          <w:rFonts w:ascii="Arial" w:cs="Arial" w:eastAsia="Arial" w:hAnsi="Arial"/>
          <w:sz w:val="15"/>
          <w:szCs w:val="15"/>
          <w:i w:val="1"/>
          <w:iCs w:val="1"/>
          <w:color w:val="auto"/>
        </w:rPr>
        <w:t>Scholastic</w:t>
      </w:r>
      <w:r>
        <w:rPr>
          <w:rFonts w:ascii="Arial" w:cs="Arial" w:eastAsia="Arial" w:hAnsi="Arial"/>
          <w:sz w:val="15"/>
          <w:szCs w:val="15"/>
          <w:color w:val="auto"/>
        </w:rPr>
        <w:t xml:space="preserve"> </w:t>
      </w:r>
      <w:r>
        <w:rPr>
          <w:rFonts w:ascii="Arial" w:cs="Arial" w:eastAsia="Arial" w:hAnsi="Arial"/>
          <w:sz w:val="15"/>
          <w:szCs w:val="15"/>
          <w:i w:val="1"/>
          <w:iCs w:val="1"/>
          <w:color w:val="auto"/>
        </w:rPr>
        <w:t>Administrator</w:t>
      </w:r>
      <w:r>
        <w:rPr>
          <w:rFonts w:ascii="Arial" w:cs="Arial" w:eastAsia="Arial" w:hAnsi="Arial"/>
          <w:sz w:val="15"/>
          <w:szCs w:val="15"/>
          <w:color w:val="auto"/>
        </w:rPr>
        <w:t>, which are directed to education professionals and are distributed during the academic year. Subscriptions for these magazines are solicited</w:t>
      </w:r>
    </w:p>
    <w:p>
      <w:pPr>
        <w:spacing w:after="0" w:line="1" w:lineRule="exact"/>
        <w:rPr>
          <w:sz w:val="20"/>
          <w:szCs w:val="20"/>
          <w:color w:val="auto"/>
        </w:rPr>
      </w:pPr>
    </w:p>
    <w:p>
      <w:pPr>
        <w:jc w:val="both"/>
        <w:ind w:right="60"/>
        <w:spacing w:after="0" w:line="231" w:lineRule="auto"/>
        <w:rPr>
          <w:sz w:val="20"/>
          <w:szCs w:val="20"/>
          <w:color w:val="auto"/>
        </w:rPr>
      </w:pPr>
      <w:r>
        <w:rPr>
          <w:rFonts w:ascii="Arial" w:cs="Arial" w:eastAsia="Arial" w:hAnsi="Arial"/>
          <w:sz w:val="17"/>
          <w:szCs w:val="17"/>
          <w:color w:val="auto"/>
        </w:rPr>
        <w:t xml:space="preserve">primarily by direct mail, with total circulation of approximately 250,000 in fiscal 2010. </w:t>
      </w:r>
      <w:r>
        <w:rPr>
          <w:rFonts w:ascii="Arial" w:cs="Arial" w:eastAsia="Arial" w:hAnsi="Arial"/>
          <w:sz w:val="17"/>
          <w:szCs w:val="17"/>
          <w:i w:val="1"/>
          <w:iCs w:val="1"/>
          <w:color w:val="auto"/>
        </w:rPr>
        <w:t>Scholastic Parent and Child</w:t>
      </w:r>
      <w:r>
        <w:rPr>
          <w:rFonts w:ascii="Arial" w:cs="Arial" w:eastAsia="Arial" w:hAnsi="Arial"/>
          <w:sz w:val="28"/>
          <w:szCs w:val="28"/>
          <w:color w:val="auto"/>
          <w:vertAlign w:val="superscript"/>
        </w:rPr>
        <w:t>®</w:t>
      </w:r>
      <w:r>
        <w:rPr>
          <w:rFonts w:ascii="Arial" w:cs="Arial" w:eastAsia="Arial" w:hAnsi="Arial"/>
          <w:sz w:val="17"/>
          <w:szCs w:val="17"/>
          <w:color w:val="auto"/>
        </w:rPr>
        <w:t xml:space="preserve"> magazine, which is directed at parents and distributed through schools and childcare programs, had circulation of approximately 1.3 million in fiscal 2010. These magazines carry paid advertising (both on the web and in print), advertising for Scholastic products and paid advertising for clients that sponsor customized programs.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222" w:lineRule="exact"/>
        <w:rPr>
          <w:sz w:val="20"/>
          <w:szCs w:val="20"/>
          <w:color w:val="auto"/>
        </w:rPr>
      </w:pPr>
    </w:p>
    <w:p>
      <w:pPr>
        <w:ind w:right="200"/>
        <w:spacing w:after="0" w:line="223" w:lineRule="auto"/>
        <w:rPr>
          <w:sz w:val="20"/>
          <w:szCs w:val="20"/>
          <w:color w:val="auto"/>
        </w:rPr>
      </w:pPr>
      <w:r>
        <w:rPr>
          <w:rFonts w:ascii="Arial" w:cs="Arial" w:eastAsia="Arial" w:hAnsi="Arial"/>
          <w:sz w:val="18"/>
          <w:szCs w:val="18"/>
          <w:color w:val="auto"/>
        </w:rPr>
        <w:t>Also included in this segment are: Scholastic In-School Marketing, which develops sponsored educational materials and supplementary classroom programs in partnership with corporations, government agencies and nonprofit organizations; and Back to Basics Toys</w:t>
      </w:r>
      <w:r>
        <w:rPr>
          <w:rFonts w:ascii="Arial" w:cs="Arial" w:eastAsia="Arial" w:hAnsi="Arial"/>
          <w:sz w:val="29"/>
          <w:szCs w:val="29"/>
          <w:color w:val="auto"/>
          <w:vertAlign w:val="superscript"/>
        </w:rPr>
        <w:t>®</w:t>
      </w:r>
      <w:r>
        <w:rPr>
          <w:rFonts w:ascii="Arial" w:cs="Arial" w:eastAsia="Arial" w:hAnsi="Arial"/>
          <w:sz w:val="18"/>
          <w:szCs w:val="18"/>
          <w:color w:val="auto"/>
        </w:rPr>
        <w:t>, a direct-to-home catalog business specializing in children’s toys.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2"/>
          <w:szCs w:val="12"/>
          <w:b w:val="1"/>
          <w:bCs w:val="1"/>
          <w:color w:val="auto"/>
        </w:rPr>
        <w:t>NTERNATIONAL</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(21.5% of fiscal 2010 revenues)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2"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International</w:t>
      </w:r>
      <w:r>
        <w:rPr>
          <w:rFonts w:ascii="Arial" w:cs="Arial" w:eastAsia="Arial" w:hAnsi="Arial"/>
          <w:sz w:val="18"/>
          <w:szCs w:val="18"/>
          <w:color w:val="auto"/>
        </w:rPr>
        <w:t xml:space="preserve"> segment includes the publication and distribution of products and services outside the United States by the Company’s international operations, and its export and foreign rights businesses.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2663825</wp:posOffset>
            </wp:positionH>
            <wp:positionV relativeFrom="paragraph">
              <wp:posOffset>123190</wp:posOffset>
            </wp:positionV>
            <wp:extent cx="1929765" cy="2317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929765"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80"/>
          </w:cols>
          <w:pgMar w:left="240" w:top="833" w:right="279" w:bottom="1440" w:gutter="0" w:footer="0" w:header="0"/>
        </w:sectPr>
      </w:pPr>
    </w:p>
    <w:bookmarkStart w:id="8" w:name="page9"/>
    <w:bookmarkEnd w:id="8"/>
    <w:p>
      <w:pPr>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3765" cy="8890"/>
                    </a:xfrm>
                    <a:prstGeom prst="rect">
                      <a:avLst/>
                    </a:prstGeom>
                    <a:noFill/>
                  </pic:spPr>
                </pic:pic>
              </a:graphicData>
            </a:graphic>
          </wp:anchor>
        </w:drawing>
        <w:t>Scholastic has long-established operations in Canada, the United Kingdom, Australia, New Zealand and parts of Asia, with newer operations in China, India and Ireland. Scholastic’s operations in Canada, the United Kingdom and Australia generally mirror its United States business model. The Company’s international operations have original trade and educational publishing programs; distribute children’s books, software and other materials through school-based book clubs, school-based book fairs and trade channels; distribute magazines; and offer on-line services. Many of the Company’s international operations also have their own export and foreign rights licensing programs and are book publishing licensees for major media properties. Original books published by most of these operations have received awards of excellence in children’s literature. In Asia, the Company also publishes and distributes reference products and provides services under the Grolier name, and it also operates tutorial centers that provide English language training to students.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Canada</w:t>
      </w:r>
    </w:p>
    <w:p>
      <w:pPr>
        <w:spacing w:after="0" w:line="222"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Scholastic Canada, founded in 1957, is a leading publisher and distributor of English and French language children’s books. Scholastic Canada also is the largest school-based book club and school-based book fair operator in Canada and is one of the leading suppliers of original or licensed children’s books to the Canadian trade market. Since 1965, Scholastic Canada has also produced quality Canadian-authored books and educational materials, including an early reading program sold to schools for grades K to 6.</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United Kingdom</w:t>
      </w:r>
    </w:p>
    <w:p>
      <w:pPr>
        <w:spacing w:after="0" w:line="222"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Scholastic UK, founded in 1964, is the largest school-based book club and school-based book fair operator and a leading children’s publisher in the United Kingdom. Scholastic UK also publishes magazines for teachers and supplemental educational materials, including professional books, and is one of the leading suppliers of original or licensed children’s books to the United Kingdom trade market.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Australia</w:t>
      </w:r>
    </w:p>
    <w:p>
      <w:pPr>
        <w:spacing w:after="0" w:line="222" w:lineRule="exact"/>
        <w:rPr>
          <w:sz w:val="20"/>
          <w:szCs w:val="20"/>
          <w:color w:val="auto"/>
        </w:rPr>
      </w:pPr>
    </w:p>
    <w:p>
      <w:pPr>
        <w:jc w:val="both"/>
        <w:ind w:right="280"/>
        <w:spacing w:after="0" w:line="259" w:lineRule="auto"/>
        <w:rPr>
          <w:sz w:val="20"/>
          <w:szCs w:val="20"/>
          <w:color w:val="auto"/>
        </w:rPr>
      </w:pPr>
      <w:r>
        <w:rPr>
          <w:rFonts w:ascii="Arial" w:cs="Arial" w:eastAsia="Arial" w:hAnsi="Arial"/>
          <w:sz w:val="18"/>
          <w:szCs w:val="18"/>
          <w:color w:val="auto"/>
        </w:rPr>
        <w:t>Scholastic Australia, founded in 1968, is the largest school-based book club and book fair operation in Australia, reaching approximately 90% of the country’s primary schools. Scholastic Australia publishes quality children’s books supplying the Australian trade market. Scholastic Australia also provides value-added distribution services for the design software market.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Zealand</w:t>
      </w:r>
    </w:p>
    <w:p>
      <w:pPr>
        <w:spacing w:after="0" w:line="22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Scholastic New Zealand, founded in 1962, is the largest children’s book publisher and the leading book distributor to schools in New Zealand. Through its school-based book clubs and book fairs, Scholastic New Zealand reaches approximately 90% of the country’s primary schools. In addition, Scholastic New Zealand provides value-added distribution services for the design software market.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Asia</w:t>
      </w:r>
    </w:p>
    <w:p>
      <w:pPr>
        <w:spacing w:after="0" w:line="222"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The Company’s Asia operations include the former Grolier business, involving the sale of English language reference materials and local language products through a network of over 1,600 independent door-to-door sales representatives in India, Indonesia, Malaysia, the Philippines, Singapore and Thailand, and also include the sale of educational and related materials to schools and the trade. In addition, in India the Company operates school-based book clubs and book fairs and publishes original titles in the English and Hindi languages. In the Philippines, the Company also operates school-based book fairs, and in Malaysia, the Company operates school-based book clubs. The Company operates a book club in China, and in cooperation with local companies, also operates tutorial centers that provide English language training to students.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Rights and Export</w:t>
      </w:r>
    </w:p>
    <w:p>
      <w:pPr>
        <w:spacing w:after="0" w:line="222" w:lineRule="exact"/>
        <w:rPr>
          <w:sz w:val="20"/>
          <w:szCs w:val="20"/>
          <w:color w:val="auto"/>
        </w:rPr>
      </w:pPr>
    </w:p>
    <w:p>
      <w:pPr>
        <w:ind w:right="440"/>
        <w:spacing w:after="0" w:line="370" w:lineRule="auto"/>
        <w:rPr>
          <w:sz w:val="20"/>
          <w:szCs w:val="20"/>
          <w:color w:val="auto"/>
        </w:rPr>
      </w:pPr>
      <w:r>
        <w:rPr>
          <w:rFonts w:ascii="Arial" w:cs="Arial" w:eastAsia="Arial" w:hAnsi="Arial"/>
          <w:sz w:val="15"/>
          <w:szCs w:val="15"/>
          <w:color w:val="auto"/>
        </w:rPr>
        <w:t>The Company licenses the rights to selected Scholastic titles in over 45 languages to other publishing companies around the world. The Company’s export business sells educational materials, software and children’s books to schools, libraries, bookstores and other book distributors in over 140 countries that 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2663825</wp:posOffset>
            </wp:positionH>
            <wp:positionV relativeFrom="paragraph">
              <wp:posOffset>79375</wp:posOffset>
            </wp:positionV>
            <wp:extent cx="1929765" cy="2317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929765"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833" w:right="239" w:bottom="1440" w:gutter="0" w:footer="0" w:header="0"/>
        </w:sectPr>
      </w:pPr>
    </w:p>
    <w:bookmarkStart w:id="9" w:name="page10"/>
    <w:bookmarkEnd w:id="9"/>
    <w:p>
      <w:pPr>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3765" cy="8890"/>
                    </a:xfrm>
                    <a:prstGeom prst="rect">
                      <a:avLst/>
                    </a:prstGeom>
                    <a:noFill/>
                  </pic:spPr>
                </pic:pic>
              </a:graphicData>
            </a:graphic>
          </wp:anchor>
        </w:drawing>
        <w:t>not otherwise directly serviced by Scholastic subsidiaries. The Company partners with governments and non-governmental agencies to create and distribute books to public schools in developing countries.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Discontinued Operations</w:t>
      </w:r>
    </w:p>
    <w:p>
      <w:pPr>
        <w:spacing w:after="0" w:line="222"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As previously announced, the Company determined to sell or shut down its domestic, Canadian and UK continuities businesses, and intends to sell a related warehousing and distribution facility located in Maumelle, Arkansas (the “Maumelle Facility”) and an office and distribution facility in Danbury, Connecticut (the “Danbury Facility”). During fiscal 2009, the Company also ceased its operations in Argentina and Mexico, its door-to-door selling operations in Puerto Rico as well as its continuities business in Australia and New Zealand, its corporate book fairs business and closed its Scarsdale, NY store. The Company also sold a trade magazine. Additionally, the Company sold a non-core market research business and a non-core online resource for teachers business. In fiscal 2010, the Company sold a previously discontinued non-core book distribution business. All of the above businesses are classified as discontinued operations in the Company’s financial statements.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2"/>
          <w:szCs w:val="12"/>
          <w:b w:val="1"/>
          <w:bCs w:val="1"/>
          <w:color w:val="auto"/>
        </w:rPr>
        <w:t>RODUCTION AND</w:t>
      </w:r>
      <w:r>
        <w:rPr>
          <w:rFonts w:ascii="Arial" w:cs="Arial" w:eastAsia="Arial" w:hAnsi="Arial"/>
          <w:sz w:val="18"/>
          <w:szCs w:val="18"/>
          <w:b w:val="1"/>
          <w:bCs w:val="1"/>
          <w:color w:val="auto"/>
        </w:rPr>
        <w:t xml:space="preserve"> D</w:t>
      </w:r>
      <w:r>
        <w:rPr>
          <w:rFonts w:ascii="Arial" w:cs="Arial" w:eastAsia="Arial" w:hAnsi="Arial"/>
          <w:sz w:val="12"/>
          <w:szCs w:val="12"/>
          <w:b w:val="1"/>
          <w:bCs w:val="1"/>
          <w:color w:val="auto"/>
        </w:rPr>
        <w:t>ISTRIBUTION</w:t>
      </w:r>
    </w:p>
    <w:p>
      <w:pPr>
        <w:spacing w:after="0" w:line="222"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The Company’s books, magazines, software and interactive products and other materials are manufactured by the Company with assistance of third parties under contracts entered into through arms-length negotiations or competitive bidding. As appropriate, the Company enters into multi-year agreements that guarantee specified volume in exchange for favorable pricing terms. Paper is purchased from paper mills and other third-party sources. The Company does not anticipate any difficulty in continuing to satisfy its manufacturing and paper requirements.</w:t>
      </w:r>
    </w:p>
    <w:p>
      <w:pPr>
        <w:spacing w:after="0" w:line="197"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In the United States, the Company mainly processes and fulfills orders for school-based book club, trade, curriculum publishing, reference and non-fiction products and export orders from its primary warehouse and distribution facility in Jefferson City, Missouri. Magazine orders are processed at the Jefferson City facility and are shipped directly from printers.</w:t>
      </w:r>
    </w:p>
    <w:p>
      <w:pPr>
        <w:spacing w:after="0" w:line="194"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In connection with its trade business, the Company generally outsources certain services, including invoicing, billing, returns processing and collection services, and ships product directly from printers to customers. School-based book fair orders are fulfilled through a network of warehouses across the country. The Company’s international school-based book club, school-based book fair, trade and educational operations use distribution systems similar to those employed in the U.S.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2"/>
          <w:szCs w:val="12"/>
          <w:b w:val="1"/>
          <w:bCs w:val="1"/>
          <w:color w:val="auto"/>
        </w:rPr>
        <w:t>ONTENT</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CQUISITION</w:t>
      </w:r>
    </w:p>
    <w:p>
      <w:pPr>
        <w:spacing w:after="0" w:line="222" w:lineRule="exact"/>
        <w:rPr>
          <w:sz w:val="20"/>
          <w:szCs w:val="20"/>
          <w:color w:val="auto"/>
        </w:rPr>
      </w:pPr>
    </w:p>
    <w:p>
      <w:pPr>
        <w:jc w:val="both"/>
        <w:ind w:right="180"/>
        <w:spacing w:after="0" w:line="306" w:lineRule="auto"/>
        <w:rPr>
          <w:sz w:val="20"/>
          <w:szCs w:val="20"/>
          <w:color w:val="auto"/>
        </w:rPr>
      </w:pPr>
      <w:r>
        <w:rPr>
          <w:rFonts w:ascii="Arial" w:cs="Arial" w:eastAsia="Arial" w:hAnsi="Arial"/>
          <w:sz w:val="16"/>
          <w:szCs w:val="16"/>
          <w:color w:val="auto"/>
        </w:rPr>
        <w:t>Access to intellectual property or content (“Content”) for the Company’s product offerings is critical to the success of the Company’s operations. The Company incurs significant costs for the acquisition and development of Content for its product offerings. These costs are often deferred and recognized as the Company generates revenues derived from the benefits of these costs. These costs include the following:</w:t>
      </w:r>
    </w:p>
    <w:p>
      <w:pPr>
        <w:spacing w:after="0" w:line="168" w:lineRule="exact"/>
        <w:rPr>
          <w:sz w:val="20"/>
          <w:szCs w:val="20"/>
          <w:color w:val="auto"/>
        </w:rPr>
      </w:pPr>
    </w:p>
    <w:p>
      <w:pPr>
        <w:ind w:left="920" w:right="60" w:hanging="453"/>
        <w:spacing w:after="0" w:line="255" w:lineRule="auto"/>
        <w:tabs>
          <w:tab w:leader="none" w:pos="92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 xml:space="preserve">Prepublication costs. </w:t>
      </w:r>
      <w:r>
        <w:rPr>
          <w:rFonts w:ascii="Arial" w:cs="Arial" w:eastAsia="Arial" w:hAnsi="Arial"/>
          <w:sz w:val="18"/>
          <w:szCs w:val="18"/>
          <w:color w:val="auto"/>
        </w:rPr>
        <w:t>Prepublication costs are incurred in all of the Company’s reportable segments. Prepublication costs include costs incurred to</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create and develop the art, prepress, editorial, digital conversion and other Content required for the creation of the master copy of a book or other media. While prepublication costs in the </w:t>
      </w:r>
      <w:r>
        <w:rPr>
          <w:rFonts w:ascii="Arial" w:cs="Arial" w:eastAsia="Arial" w:hAnsi="Arial"/>
          <w:sz w:val="18"/>
          <w:szCs w:val="18"/>
          <w:i w:val="1"/>
          <w:iCs w:val="1"/>
          <w:color w:val="auto"/>
        </w:rPr>
        <w:t>Children’s Book Publishing and Distribution</w:t>
      </w:r>
      <w:r>
        <w:rPr>
          <w:rFonts w:ascii="Arial" w:cs="Arial" w:eastAsia="Arial" w:hAnsi="Arial"/>
          <w:sz w:val="18"/>
          <w:szCs w:val="18"/>
          <w:color w:val="auto"/>
        </w:rPr>
        <w:t xml:space="preserve"> segment are relatively modest amounts for each individual title, there are a large number of separate titles published annually. Prepublication costs in the </w:t>
      </w:r>
      <w:r>
        <w:rPr>
          <w:rFonts w:ascii="Arial" w:cs="Arial" w:eastAsia="Arial" w:hAnsi="Arial"/>
          <w:sz w:val="18"/>
          <w:szCs w:val="18"/>
          <w:i w:val="1"/>
          <w:iCs w:val="1"/>
          <w:color w:val="auto"/>
        </w:rPr>
        <w:t>Educational Publishing</w:t>
      </w:r>
      <w:r>
        <w:rPr>
          <w:rFonts w:ascii="Arial" w:cs="Arial" w:eastAsia="Arial" w:hAnsi="Arial"/>
          <w:sz w:val="18"/>
          <w:szCs w:val="18"/>
          <w:color w:val="auto"/>
        </w:rPr>
        <w:t xml:space="preserve"> segment are often in excess of $1 million for an individual program, as the development of Content for complex intervention and educational programs requires significant resources and investment.</w:t>
      </w:r>
    </w:p>
    <w:p>
      <w:pPr>
        <w:spacing w:after="0" w:line="125" w:lineRule="exact"/>
        <w:rPr>
          <w:rFonts w:ascii="Arial" w:cs="Arial" w:eastAsia="Arial" w:hAnsi="Arial"/>
          <w:sz w:val="18"/>
          <w:szCs w:val="18"/>
          <w:color w:val="auto"/>
        </w:rPr>
      </w:pPr>
    </w:p>
    <w:p>
      <w:pPr>
        <w:ind w:left="920" w:right="560" w:hanging="453"/>
        <w:spacing w:after="0" w:line="275" w:lineRule="auto"/>
        <w:tabs>
          <w:tab w:leader="none" w:pos="92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 xml:space="preserve">Royalty advances. </w:t>
      </w:r>
      <w:r>
        <w:rPr>
          <w:rFonts w:ascii="Arial" w:cs="Arial" w:eastAsia="Arial" w:hAnsi="Arial"/>
          <w:sz w:val="18"/>
          <w:szCs w:val="18"/>
          <w:color w:val="auto"/>
        </w:rPr>
        <w:t>Royalty advances are incurred in all of the Company’s reportable segments, but are most prevalent in the</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Children’s Book</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Publishing and Distribution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2663825</wp:posOffset>
            </wp:positionH>
            <wp:positionV relativeFrom="paragraph">
              <wp:posOffset>119380</wp:posOffset>
            </wp:positionV>
            <wp:extent cx="1929765" cy="23177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929765"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833" w:right="239" w:bottom="1440" w:gutter="0" w:footer="0" w:header="0"/>
        </w:sectPr>
      </w:pPr>
    </w:p>
    <w:bookmarkStart w:id="10" w:name="page11"/>
    <w:bookmarkEnd w:id="10"/>
    <w:p>
      <w:pPr>
        <w:ind w:left="920" w:right="8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3765" cy="8890"/>
                    </a:xfrm>
                    <a:prstGeom prst="rect">
                      <a:avLst/>
                    </a:prstGeom>
                    <a:noFill/>
                  </pic:spPr>
                </pic:pic>
              </a:graphicData>
            </a:graphic>
          </wp:anchor>
        </w:drawing>
        <w:t>segment and enable the Company to obtain contractual commitments from authors to produce Content. The Company regularly provides authors with advances against expected future royalty payments, often before the books are written. Upon publication and sale of the books or other media, the authors generally will not receive further royalty payments until the contractual royalties earned from sales of such books or other media exceed such advances.</w:t>
      </w:r>
    </w:p>
    <w:p>
      <w:pPr>
        <w:spacing w:after="0" w:line="124" w:lineRule="exact"/>
        <w:rPr>
          <w:sz w:val="20"/>
          <w:szCs w:val="20"/>
          <w:color w:val="auto"/>
        </w:rPr>
      </w:pPr>
    </w:p>
    <w:p>
      <w:pPr>
        <w:ind w:left="920" w:right="20" w:hanging="453"/>
        <w:spacing w:after="0" w:line="258" w:lineRule="auto"/>
        <w:tabs>
          <w:tab w:leader="none" w:pos="92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 xml:space="preserve">Production costs. </w:t>
      </w:r>
      <w:r>
        <w:rPr>
          <w:rFonts w:ascii="Arial" w:cs="Arial" w:eastAsia="Arial" w:hAnsi="Arial"/>
          <w:sz w:val="18"/>
          <w:szCs w:val="18"/>
          <w:color w:val="auto"/>
        </w:rPr>
        <w:t>Production costs are incurred in the Media, Licensing and Advertising segment. Production costs include the costs to create films,</w:t>
      </w:r>
      <w:r>
        <w:rPr>
          <w:rFonts w:ascii="Arial" w:cs="Arial" w:eastAsia="Arial" w:hAnsi="Arial"/>
          <w:sz w:val="18"/>
          <w:szCs w:val="18"/>
          <w:b w:val="1"/>
          <w:bCs w:val="1"/>
          <w:color w:val="auto"/>
        </w:rPr>
        <w:t xml:space="preserve"> </w:t>
      </w:r>
      <w:r>
        <w:rPr>
          <w:rFonts w:ascii="Arial" w:cs="Arial" w:eastAsia="Arial" w:hAnsi="Arial"/>
          <w:sz w:val="18"/>
          <w:szCs w:val="18"/>
          <w:color w:val="auto"/>
        </w:rPr>
        <w:t>television programming, home videos and other entertainment Content. These costs include the costs of talent, artists, production crews and editors, as well as other costs incurred in connection with the production of this Content. Advertising and promotional costs are not included in production costs.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2"/>
          <w:szCs w:val="12"/>
          <w:b w:val="1"/>
          <w:bCs w:val="1"/>
          <w:color w:val="auto"/>
        </w:rPr>
        <w:t>EASONALITY</w:t>
      </w:r>
    </w:p>
    <w:p>
      <w:pPr>
        <w:spacing w:after="0" w:line="22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Company’s school-based book clubs, school-based book fairs and most of its magazines operate on a school-year basis. Therefore, the Company’s business is highly seasonal. As a result, the Company’s revenues in the first and third quarters of the fiscal year generally are lower than its revenues in the other two fiscal quarters. Typically, school-based book club and book fair revenues are greatest in the second quarter of the fiscal year, while revenues from the sale of instructional materials and educational technology products are typically highest in the first quarter. The Company historically has experienced a loss from operations in the first and third quarters of each fiscal year.</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2"/>
          <w:szCs w:val="12"/>
          <w:b w:val="1"/>
          <w:bCs w:val="1"/>
          <w:color w:val="auto"/>
        </w:rPr>
        <w:t>OMPETITION</w:t>
      </w:r>
    </w:p>
    <w:p>
      <w:pPr>
        <w:spacing w:after="0" w:line="222"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color w:val="auto"/>
        </w:rPr>
        <w:t>The markets for children’s educational, educational technology and entertainment materials are highly competitive. Competition is based on the quality and range of materials made available, price, promotion and customer service as well as the nature of the distribution channels. Competitors include numerous other book, textbook, library, reference material and supplementary text publishers, distributors and other resellers (including over the internet) of children’s books and other educational materials, national publishers of classroom and professional magazines with substantial circulation, numerous producers of television, video and film programming (many of which are substantially larger than the Company), television and cable networks, publishers of computer software and interactive products, and distributors of products and services on the internet. In the United States, competitors also include regional and local school-based book fair operators, other fundraising activities in schools, and bookstores. In its educational technology business, additional competitive factors include the demonstrated effectiveness of the products being offered, as well as available funding sources to school districts, and, although the Company believes no one offers as comprehensive an offering as its suite of reading intervention products and services, the Company faces competition from textbook publishers, distributors of other technology-based programs addressing the subject areas of the Company’s offerings, such as reading and phonics, and, with respect to its consulting services, not-for-profit organizations providing consulting covering various areas related to education. Competition may increase to the extent that other entities enter the market and to the extent that current competitors or new competitors develop and introduce new materials that compete directly with the products distributed by the Company or develop or expand competitive sales channels. The Company believes that its position as both a publisher and distributor are unique to certain of the markets in which it competes, principally in the context of its children’s book business.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2"/>
          <w:szCs w:val="12"/>
          <w:b w:val="1"/>
          <w:bCs w:val="1"/>
          <w:color w:val="auto"/>
        </w:rPr>
        <w:t>OPYRIGHT AND</w:t>
      </w:r>
      <w:r>
        <w:rPr>
          <w:rFonts w:ascii="Arial" w:cs="Arial" w:eastAsia="Arial" w:hAnsi="Arial"/>
          <w:sz w:val="18"/>
          <w:szCs w:val="18"/>
          <w:b w:val="1"/>
          <w:bCs w:val="1"/>
          <w:color w:val="auto"/>
        </w:rPr>
        <w:t xml:space="preserve"> T</w:t>
      </w:r>
      <w:r>
        <w:rPr>
          <w:rFonts w:ascii="Arial" w:cs="Arial" w:eastAsia="Arial" w:hAnsi="Arial"/>
          <w:sz w:val="12"/>
          <w:szCs w:val="12"/>
          <w:b w:val="1"/>
          <w:bCs w:val="1"/>
          <w:color w:val="auto"/>
        </w:rPr>
        <w:t>RADEMARKS</w:t>
      </w:r>
    </w:p>
    <w:p>
      <w:pPr>
        <w:spacing w:after="0" w:line="222"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As an international publisher and distributor of books, software and other media products, Scholastic aggressively utilizes the intellectual property protections of the United States and other countries in order to maintain its exclusive rights to identify and distribute many of its products. Accordingly, SCHOLASTIC is a trademark registered in the United States and in a number of countries where the Company conducts business. The Corporation’s principal operating subsidiary in the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2663825</wp:posOffset>
            </wp:positionH>
            <wp:positionV relativeFrom="paragraph">
              <wp:posOffset>130810</wp:posOffset>
            </wp:positionV>
            <wp:extent cx="1929765" cy="23177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929765"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766" w:right="259" w:bottom="1440" w:gutter="0" w:footer="0" w:header="0"/>
        </w:sectPr>
      </w:pPr>
    </w:p>
    <w:bookmarkStart w:id="11" w:name="page12"/>
    <w:bookmarkEnd w:id="11"/>
    <w:p>
      <w:pPr>
        <w:ind w:right="16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3765" cy="8890"/>
                    </a:xfrm>
                    <a:prstGeom prst="rect">
                      <a:avLst/>
                    </a:prstGeom>
                    <a:noFill/>
                  </pic:spPr>
                </pic:pic>
              </a:graphicData>
            </a:graphic>
          </wp:anchor>
        </w:drawing>
        <w:t>Scholastic Inc., and the Corporation’s international subsidiaries have registered and/or have pending applications to register in relevant territories trademarks for important services and programs. All of the Company’s publications, including books, magazines and software and interactive products, are subject to copyright protection both in the United States and internationally. The Company also obtains domain name protection for its internet domains. The Company seeks to obtain the broadest possible intellectual property rights for its products, and because inadequate legal and technological protections for intellectual property and proprietary rights could adversely affect operating results, the Company vigorously defends those rights against infringement.</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222" w:lineRule="exact"/>
        <w:rPr>
          <w:sz w:val="20"/>
          <w:szCs w:val="20"/>
          <w:color w:val="auto"/>
        </w:rPr>
      </w:pPr>
    </w:p>
    <w:p>
      <w:pPr>
        <w:ind w:right="400"/>
        <w:spacing w:after="0" w:line="332" w:lineRule="auto"/>
        <w:rPr>
          <w:sz w:val="20"/>
          <w:szCs w:val="20"/>
          <w:color w:val="auto"/>
        </w:rPr>
      </w:pPr>
      <w:r>
        <w:rPr>
          <w:rFonts w:ascii="Arial" w:cs="Arial" w:eastAsia="Arial" w:hAnsi="Arial"/>
          <w:sz w:val="16"/>
          <w:szCs w:val="16"/>
          <w:color w:val="auto"/>
        </w:rPr>
        <w:t>The following individuals have been determined by the Board of Directors to be the executive officers of the Company. Each such individual serves as an executive officer of Scholastic until such officer’s successor has been elected or appointed and qualified or until such officer’s earlier resignation or removal.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170815</wp:posOffset>
            </wp:positionV>
            <wp:extent cx="726376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60" w:type="dxa"/>
            <w:vAlign w:val="bottom"/>
          </w:tcPr>
          <w:p>
            <w:pPr>
              <w:jc w:val="center"/>
              <w:ind w:left="37"/>
              <w:spacing w:after="0"/>
              <w:rPr>
                <w:sz w:val="20"/>
                <w:szCs w:val="20"/>
                <w:color w:val="auto"/>
              </w:rPr>
            </w:pPr>
            <w:r>
              <w:rPr>
                <w:rFonts w:ascii="Arial" w:cs="Arial" w:eastAsia="Arial" w:hAnsi="Arial"/>
                <w:sz w:val="14"/>
                <w:szCs w:val="14"/>
                <w:b w:val="1"/>
                <w:bCs w:val="1"/>
                <w:color w:val="auto"/>
                <w:w w:val="87"/>
              </w:rPr>
              <w:t>Employed by</w:t>
            </w:r>
          </w:p>
        </w:tc>
        <w:tc>
          <w:tcPr>
            <w:tcW w:w="7480" w:type="dxa"/>
            <w:vAlign w:val="bottom"/>
          </w:tcPr>
          <w:p>
            <w:pPr>
              <w:spacing w:after="0"/>
              <w:rPr>
                <w:sz w:val="14"/>
                <w:szCs w:val="14"/>
                <w:color w:val="auto"/>
              </w:rPr>
            </w:pPr>
          </w:p>
        </w:tc>
      </w:tr>
      <w:tr>
        <w:trPr>
          <w:trHeight w:val="174"/>
        </w:trPr>
        <w:tc>
          <w:tcPr>
            <w:tcW w:w="182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83"/>
              </w:rPr>
              <w:t>Age</w:t>
            </w:r>
          </w:p>
        </w:tc>
        <w:tc>
          <w:tcPr>
            <w:tcW w:w="1360" w:type="dxa"/>
            <w:vAlign w:val="bottom"/>
          </w:tcPr>
          <w:p>
            <w:pPr>
              <w:jc w:val="center"/>
              <w:ind w:left="37"/>
              <w:spacing w:after="0"/>
              <w:rPr>
                <w:sz w:val="20"/>
                <w:szCs w:val="20"/>
                <w:color w:val="auto"/>
              </w:rPr>
            </w:pPr>
            <w:r>
              <w:rPr>
                <w:rFonts w:ascii="Arial" w:cs="Arial" w:eastAsia="Arial" w:hAnsi="Arial"/>
                <w:sz w:val="14"/>
                <w:szCs w:val="14"/>
                <w:b w:val="1"/>
                <w:bCs w:val="1"/>
                <w:color w:val="auto"/>
                <w:w w:val="86"/>
              </w:rPr>
              <w:t>Registrant Since</w:t>
            </w:r>
          </w:p>
        </w:tc>
        <w:tc>
          <w:tcPr>
            <w:tcW w:w="7480" w:type="dxa"/>
            <w:vAlign w:val="bottom"/>
          </w:tcPr>
          <w:p>
            <w:pPr>
              <w:ind w:left="160"/>
              <w:spacing w:after="0"/>
              <w:rPr>
                <w:sz w:val="20"/>
                <w:szCs w:val="20"/>
                <w:color w:val="auto"/>
              </w:rPr>
            </w:pPr>
            <w:r>
              <w:rPr>
                <w:rFonts w:ascii="Arial" w:cs="Arial" w:eastAsia="Arial" w:hAnsi="Arial"/>
                <w:sz w:val="14"/>
                <w:szCs w:val="14"/>
                <w:b w:val="1"/>
                <w:bCs w:val="1"/>
                <w:color w:val="auto"/>
              </w:rPr>
              <w:t>Position(s) for Past Five Years</w:t>
            </w:r>
          </w:p>
        </w:tc>
      </w:tr>
      <w:tr>
        <w:trPr>
          <w:trHeight w:val="95"/>
        </w:trPr>
        <w:tc>
          <w:tcPr>
            <w:tcW w:w="182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1360" w:type="dxa"/>
            <w:vAlign w:val="bottom"/>
            <w:tcBorders>
              <w:bottom w:val="single" w:sz="8" w:color="auto"/>
            </w:tcBorders>
          </w:tcPr>
          <w:p>
            <w:pPr>
              <w:spacing w:after="0"/>
              <w:rPr>
                <w:sz w:val="8"/>
                <w:szCs w:val="8"/>
                <w:color w:val="auto"/>
              </w:rPr>
            </w:pPr>
          </w:p>
        </w:tc>
        <w:tc>
          <w:tcPr>
            <w:tcW w:w="7480" w:type="dxa"/>
            <w:vAlign w:val="bottom"/>
            <w:tcBorders>
              <w:bottom w:val="single" w:sz="8" w:color="auto"/>
            </w:tcBorders>
          </w:tcPr>
          <w:p>
            <w:pPr>
              <w:spacing w:after="0"/>
              <w:rPr>
                <w:sz w:val="8"/>
                <w:szCs w:val="8"/>
                <w:color w:val="auto"/>
              </w:rPr>
            </w:pPr>
          </w:p>
        </w:tc>
      </w:tr>
      <w:tr>
        <w:trPr>
          <w:trHeight w:val="316"/>
        </w:trPr>
        <w:tc>
          <w:tcPr>
            <w:tcW w:w="1820" w:type="dxa"/>
            <w:vAlign w:val="bottom"/>
          </w:tcPr>
          <w:p>
            <w:pPr>
              <w:spacing w:after="0"/>
              <w:rPr>
                <w:sz w:val="20"/>
                <w:szCs w:val="20"/>
                <w:color w:val="auto"/>
              </w:rPr>
            </w:pPr>
            <w:r>
              <w:rPr>
                <w:rFonts w:ascii="Arial" w:cs="Arial" w:eastAsia="Arial" w:hAnsi="Arial"/>
                <w:sz w:val="18"/>
                <w:szCs w:val="18"/>
                <w:b w:val="1"/>
                <w:bCs w:val="1"/>
                <w:color w:val="auto"/>
              </w:rPr>
              <w:t>Richard Robinson</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73</w:t>
            </w:r>
          </w:p>
        </w:tc>
        <w:tc>
          <w:tcPr>
            <w:tcW w:w="1360" w:type="dxa"/>
            <w:vAlign w:val="bottom"/>
          </w:tcPr>
          <w:p>
            <w:pPr>
              <w:jc w:val="center"/>
              <w:ind w:left="37"/>
              <w:spacing w:after="0"/>
              <w:rPr>
                <w:sz w:val="20"/>
                <w:szCs w:val="20"/>
                <w:color w:val="auto"/>
              </w:rPr>
            </w:pPr>
            <w:r>
              <w:rPr>
                <w:rFonts w:ascii="Arial" w:cs="Arial" w:eastAsia="Arial" w:hAnsi="Arial"/>
                <w:sz w:val="18"/>
                <w:szCs w:val="18"/>
                <w:color w:val="auto"/>
                <w:w w:val="89"/>
              </w:rPr>
              <w:t>1962</w:t>
            </w:r>
          </w:p>
        </w:tc>
        <w:tc>
          <w:tcPr>
            <w:tcW w:w="7480" w:type="dxa"/>
            <w:vAlign w:val="bottom"/>
          </w:tcPr>
          <w:p>
            <w:pPr>
              <w:ind w:left="160"/>
              <w:spacing w:after="0"/>
              <w:rPr>
                <w:sz w:val="20"/>
                <w:szCs w:val="20"/>
                <w:color w:val="auto"/>
              </w:rPr>
            </w:pPr>
            <w:r>
              <w:rPr>
                <w:rFonts w:ascii="Arial" w:cs="Arial" w:eastAsia="Arial" w:hAnsi="Arial"/>
                <w:sz w:val="18"/>
                <w:szCs w:val="18"/>
                <w:color w:val="auto"/>
                <w:w w:val="90"/>
              </w:rPr>
              <w:t>Chairman of the Board (since 1982), President (since 1974) and Chief Executive Officer (since 1975).</w:t>
            </w:r>
          </w:p>
        </w:tc>
      </w:tr>
      <w:tr>
        <w:trPr>
          <w:trHeight w:val="110"/>
        </w:trPr>
        <w:tc>
          <w:tcPr>
            <w:tcW w:w="182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7480" w:type="dxa"/>
            <w:vAlign w:val="bottom"/>
            <w:tcBorders>
              <w:bottom w:val="single" w:sz="8" w:color="808080"/>
            </w:tcBorders>
          </w:tcPr>
          <w:p>
            <w:pPr>
              <w:spacing w:after="0"/>
              <w:rPr>
                <w:sz w:val="9"/>
                <w:szCs w:val="9"/>
                <w:color w:val="auto"/>
              </w:rPr>
            </w:pPr>
          </w:p>
        </w:tc>
      </w:tr>
      <w:tr>
        <w:trPr>
          <w:trHeight w:val="309"/>
        </w:trPr>
        <w:tc>
          <w:tcPr>
            <w:tcW w:w="1820" w:type="dxa"/>
            <w:vAlign w:val="bottom"/>
          </w:tcPr>
          <w:p>
            <w:pPr>
              <w:spacing w:after="0"/>
              <w:rPr>
                <w:sz w:val="20"/>
                <w:szCs w:val="20"/>
                <w:color w:val="auto"/>
              </w:rPr>
            </w:pPr>
            <w:r>
              <w:rPr>
                <w:rFonts w:ascii="Arial" w:cs="Arial" w:eastAsia="Arial" w:hAnsi="Arial"/>
                <w:sz w:val="18"/>
                <w:szCs w:val="18"/>
                <w:b w:val="1"/>
                <w:bCs w:val="1"/>
                <w:color w:val="auto"/>
              </w:rPr>
              <w:t>Maureen O’Connell</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48</w:t>
            </w:r>
          </w:p>
        </w:tc>
        <w:tc>
          <w:tcPr>
            <w:tcW w:w="1360" w:type="dxa"/>
            <w:vAlign w:val="bottom"/>
          </w:tcPr>
          <w:p>
            <w:pPr>
              <w:jc w:val="center"/>
              <w:ind w:left="37"/>
              <w:spacing w:after="0"/>
              <w:rPr>
                <w:sz w:val="20"/>
                <w:szCs w:val="20"/>
                <w:color w:val="auto"/>
              </w:rPr>
            </w:pPr>
            <w:r>
              <w:rPr>
                <w:rFonts w:ascii="Arial" w:cs="Arial" w:eastAsia="Arial" w:hAnsi="Arial"/>
                <w:sz w:val="18"/>
                <w:szCs w:val="18"/>
                <w:color w:val="auto"/>
                <w:w w:val="89"/>
              </w:rPr>
              <w:t>2007</w:t>
            </w:r>
          </w:p>
        </w:tc>
        <w:tc>
          <w:tcPr>
            <w:tcW w:w="7480" w:type="dxa"/>
            <w:vAlign w:val="bottom"/>
          </w:tcPr>
          <w:p>
            <w:pPr>
              <w:ind w:left="160"/>
              <w:spacing w:after="0"/>
              <w:rPr>
                <w:sz w:val="20"/>
                <w:szCs w:val="20"/>
                <w:color w:val="auto"/>
              </w:rPr>
            </w:pPr>
            <w:r>
              <w:rPr>
                <w:rFonts w:ascii="Arial" w:cs="Arial" w:eastAsia="Arial" w:hAnsi="Arial"/>
                <w:sz w:val="18"/>
                <w:szCs w:val="18"/>
                <w:color w:val="auto"/>
                <w:w w:val="91"/>
              </w:rPr>
              <w:t>Executive Vice President, Chief Administrative Officer and Chief Financial Officer (since 2007). Prior</w:t>
            </w:r>
          </w:p>
        </w:tc>
      </w:tr>
      <w:tr>
        <w:trPr>
          <w:trHeight w:val="216"/>
        </w:trPr>
        <w:tc>
          <w:tcPr>
            <w:tcW w:w="1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480" w:type="dxa"/>
            <w:vAlign w:val="bottom"/>
          </w:tcPr>
          <w:p>
            <w:pPr>
              <w:ind w:left="160"/>
              <w:spacing w:after="0"/>
              <w:rPr>
                <w:sz w:val="20"/>
                <w:szCs w:val="20"/>
                <w:color w:val="auto"/>
              </w:rPr>
            </w:pPr>
            <w:r>
              <w:rPr>
                <w:rFonts w:ascii="Arial" w:cs="Arial" w:eastAsia="Arial" w:hAnsi="Arial"/>
                <w:sz w:val="18"/>
                <w:szCs w:val="18"/>
                <w:color w:val="auto"/>
                <w:w w:val="91"/>
              </w:rPr>
              <w:t>to joining the Company, Executive Vice President and Chief Financial Officer of Affinion Group, Inc.,</w:t>
            </w:r>
          </w:p>
        </w:tc>
      </w:tr>
      <w:tr>
        <w:trPr>
          <w:trHeight w:val="216"/>
        </w:trPr>
        <w:tc>
          <w:tcPr>
            <w:tcW w:w="1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480" w:type="dxa"/>
            <w:vAlign w:val="bottom"/>
          </w:tcPr>
          <w:p>
            <w:pPr>
              <w:ind w:left="160"/>
              <w:spacing w:after="0"/>
              <w:rPr>
                <w:sz w:val="20"/>
                <w:szCs w:val="20"/>
                <w:color w:val="auto"/>
              </w:rPr>
            </w:pPr>
            <w:r>
              <w:rPr>
                <w:rFonts w:ascii="Arial" w:cs="Arial" w:eastAsia="Arial" w:hAnsi="Arial"/>
                <w:sz w:val="18"/>
                <w:szCs w:val="18"/>
                <w:color w:val="auto"/>
                <w:w w:val="98"/>
              </w:rPr>
              <w:t>an affinity marketing company (2006); President and Chief Operating Officer (2003-2004) and</w:t>
            </w:r>
          </w:p>
        </w:tc>
      </w:tr>
      <w:tr>
        <w:trPr>
          <w:trHeight w:val="216"/>
        </w:trPr>
        <w:tc>
          <w:tcPr>
            <w:tcW w:w="1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480" w:type="dxa"/>
            <w:vAlign w:val="bottom"/>
          </w:tcPr>
          <w:p>
            <w:pPr>
              <w:ind w:left="160"/>
              <w:spacing w:after="0"/>
              <w:rPr>
                <w:sz w:val="20"/>
                <w:szCs w:val="20"/>
                <w:color w:val="auto"/>
              </w:rPr>
            </w:pPr>
            <w:r>
              <w:rPr>
                <w:rFonts w:ascii="Arial" w:cs="Arial" w:eastAsia="Arial" w:hAnsi="Arial"/>
                <w:sz w:val="18"/>
                <w:szCs w:val="18"/>
                <w:color w:val="auto"/>
                <w:w w:val="90"/>
              </w:rPr>
              <w:t>Executive Vice President and Chief Financial and Administrative Officer (2002-2003) of Gartner, Inc.,</w:t>
            </w:r>
          </w:p>
        </w:tc>
      </w:tr>
      <w:tr>
        <w:trPr>
          <w:trHeight w:val="216"/>
        </w:trPr>
        <w:tc>
          <w:tcPr>
            <w:tcW w:w="1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480" w:type="dxa"/>
            <w:vAlign w:val="bottom"/>
          </w:tcPr>
          <w:p>
            <w:pPr>
              <w:ind w:left="160"/>
              <w:spacing w:after="0"/>
              <w:rPr>
                <w:sz w:val="20"/>
                <w:szCs w:val="20"/>
                <w:color w:val="auto"/>
              </w:rPr>
            </w:pPr>
            <w:r>
              <w:rPr>
                <w:rFonts w:ascii="Arial" w:cs="Arial" w:eastAsia="Arial" w:hAnsi="Arial"/>
                <w:sz w:val="18"/>
                <w:szCs w:val="18"/>
                <w:color w:val="auto"/>
                <w:w w:val="97"/>
              </w:rPr>
              <w:t>an information technology and research advisory firm; and Executive Vice President and Chief</w:t>
            </w:r>
          </w:p>
        </w:tc>
      </w:tr>
      <w:tr>
        <w:trPr>
          <w:trHeight w:val="222"/>
        </w:trPr>
        <w:tc>
          <w:tcPr>
            <w:tcW w:w="1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7480" w:type="dxa"/>
            <w:vAlign w:val="bottom"/>
          </w:tcPr>
          <w:p>
            <w:pPr>
              <w:ind w:left="160"/>
              <w:spacing w:after="0"/>
              <w:rPr>
                <w:sz w:val="20"/>
                <w:szCs w:val="20"/>
                <w:color w:val="auto"/>
              </w:rPr>
            </w:pPr>
            <w:r>
              <w:rPr>
                <w:rFonts w:ascii="Arial" w:cs="Arial" w:eastAsia="Arial" w:hAnsi="Arial"/>
                <w:sz w:val="18"/>
                <w:szCs w:val="18"/>
                <w:color w:val="auto"/>
              </w:rPr>
              <w:t>Financial Officer of Barnes &amp; Noble, Inc. (2000-2002).</w:t>
            </w:r>
          </w:p>
        </w:tc>
      </w:tr>
      <w:tr>
        <w:trPr>
          <w:trHeight w:val="110"/>
        </w:trPr>
        <w:tc>
          <w:tcPr>
            <w:tcW w:w="182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7480" w:type="dxa"/>
            <w:vAlign w:val="bottom"/>
            <w:tcBorders>
              <w:bottom w:val="single" w:sz="8" w:color="808080"/>
            </w:tcBorders>
          </w:tcPr>
          <w:p>
            <w:pPr>
              <w:spacing w:after="0"/>
              <w:rPr>
                <w:sz w:val="9"/>
                <w:szCs w:val="9"/>
                <w:color w:val="auto"/>
              </w:rPr>
            </w:pPr>
          </w:p>
        </w:tc>
      </w:tr>
      <w:tr>
        <w:trPr>
          <w:trHeight w:val="309"/>
        </w:trPr>
        <w:tc>
          <w:tcPr>
            <w:tcW w:w="1820" w:type="dxa"/>
            <w:vAlign w:val="bottom"/>
          </w:tcPr>
          <w:p>
            <w:pPr>
              <w:spacing w:after="0"/>
              <w:rPr>
                <w:sz w:val="20"/>
                <w:szCs w:val="20"/>
                <w:color w:val="auto"/>
              </w:rPr>
            </w:pPr>
            <w:r>
              <w:rPr>
                <w:rFonts w:ascii="Arial" w:cs="Arial" w:eastAsia="Arial" w:hAnsi="Arial"/>
                <w:sz w:val="18"/>
                <w:szCs w:val="18"/>
                <w:b w:val="1"/>
                <w:bCs w:val="1"/>
                <w:color w:val="auto"/>
              </w:rPr>
              <w:t>Margery W. Mayer</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58</w:t>
            </w:r>
          </w:p>
        </w:tc>
        <w:tc>
          <w:tcPr>
            <w:tcW w:w="1360" w:type="dxa"/>
            <w:vAlign w:val="bottom"/>
          </w:tcPr>
          <w:p>
            <w:pPr>
              <w:jc w:val="center"/>
              <w:ind w:left="37"/>
              <w:spacing w:after="0"/>
              <w:rPr>
                <w:sz w:val="20"/>
                <w:szCs w:val="20"/>
                <w:color w:val="auto"/>
              </w:rPr>
            </w:pPr>
            <w:r>
              <w:rPr>
                <w:rFonts w:ascii="Arial" w:cs="Arial" w:eastAsia="Arial" w:hAnsi="Arial"/>
                <w:sz w:val="18"/>
                <w:szCs w:val="18"/>
                <w:color w:val="auto"/>
                <w:w w:val="89"/>
              </w:rPr>
              <w:t>1990</w:t>
            </w:r>
          </w:p>
        </w:tc>
        <w:tc>
          <w:tcPr>
            <w:tcW w:w="7480" w:type="dxa"/>
            <w:vAlign w:val="bottom"/>
          </w:tcPr>
          <w:p>
            <w:pPr>
              <w:ind w:left="160"/>
              <w:spacing w:after="0"/>
              <w:rPr>
                <w:sz w:val="20"/>
                <w:szCs w:val="20"/>
                <w:color w:val="auto"/>
              </w:rPr>
            </w:pPr>
            <w:r>
              <w:rPr>
                <w:rFonts w:ascii="Arial" w:cs="Arial" w:eastAsia="Arial" w:hAnsi="Arial"/>
                <w:sz w:val="18"/>
                <w:szCs w:val="18"/>
                <w:color w:val="auto"/>
                <w:w w:val="92"/>
              </w:rPr>
              <w:t>Executive Vice President (since 1990), President, Scholastic Education (since 2002) and Executive</w:t>
            </w:r>
          </w:p>
        </w:tc>
      </w:tr>
      <w:tr>
        <w:trPr>
          <w:trHeight w:val="222"/>
        </w:trPr>
        <w:tc>
          <w:tcPr>
            <w:tcW w:w="1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7480" w:type="dxa"/>
            <w:vAlign w:val="bottom"/>
          </w:tcPr>
          <w:p>
            <w:pPr>
              <w:ind w:left="160"/>
              <w:spacing w:after="0"/>
              <w:rPr>
                <w:sz w:val="20"/>
                <w:szCs w:val="20"/>
                <w:color w:val="auto"/>
              </w:rPr>
            </w:pPr>
            <w:r>
              <w:rPr>
                <w:rFonts w:ascii="Arial" w:cs="Arial" w:eastAsia="Arial" w:hAnsi="Arial"/>
                <w:sz w:val="18"/>
                <w:szCs w:val="18"/>
                <w:color w:val="auto"/>
              </w:rPr>
              <w:t>Vice President, Learning Ventures (1998-2002).</w:t>
            </w:r>
          </w:p>
        </w:tc>
      </w:tr>
      <w:tr>
        <w:trPr>
          <w:trHeight w:val="110"/>
        </w:trPr>
        <w:tc>
          <w:tcPr>
            <w:tcW w:w="182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7480" w:type="dxa"/>
            <w:vAlign w:val="bottom"/>
            <w:tcBorders>
              <w:bottom w:val="single" w:sz="8" w:color="808080"/>
            </w:tcBorders>
          </w:tcPr>
          <w:p>
            <w:pPr>
              <w:spacing w:after="0"/>
              <w:rPr>
                <w:sz w:val="9"/>
                <w:szCs w:val="9"/>
                <w:color w:val="auto"/>
              </w:rPr>
            </w:pPr>
          </w:p>
        </w:tc>
      </w:tr>
      <w:tr>
        <w:trPr>
          <w:trHeight w:val="309"/>
        </w:trPr>
        <w:tc>
          <w:tcPr>
            <w:tcW w:w="1820" w:type="dxa"/>
            <w:vAlign w:val="bottom"/>
          </w:tcPr>
          <w:p>
            <w:pPr>
              <w:spacing w:after="0"/>
              <w:rPr>
                <w:sz w:val="20"/>
                <w:szCs w:val="20"/>
                <w:color w:val="auto"/>
              </w:rPr>
            </w:pPr>
            <w:r>
              <w:rPr>
                <w:rFonts w:ascii="Arial" w:cs="Arial" w:eastAsia="Arial" w:hAnsi="Arial"/>
                <w:sz w:val="18"/>
                <w:szCs w:val="18"/>
                <w:b w:val="1"/>
                <w:bCs w:val="1"/>
                <w:color w:val="auto"/>
              </w:rPr>
              <w:t>Judith A. Newman</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52</w:t>
            </w:r>
          </w:p>
        </w:tc>
        <w:tc>
          <w:tcPr>
            <w:tcW w:w="1360" w:type="dxa"/>
            <w:vAlign w:val="bottom"/>
          </w:tcPr>
          <w:p>
            <w:pPr>
              <w:jc w:val="center"/>
              <w:ind w:left="37"/>
              <w:spacing w:after="0"/>
              <w:rPr>
                <w:sz w:val="20"/>
                <w:szCs w:val="20"/>
                <w:color w:val="auto"/>
              </w:rPr>
            </w:pPr>
            <w:r>
              <w:rPr>
                <w:rFonts w:ascii="Arial" w:cs="Arial" w:eastAsia="Arial" w:hAnsi="Arial"/>
                <w:sz w:val="18"/>
                <w:szCs w:val="18"/>
                <w:color w:val="auto"/>
                <w:w w:val="89"/>
              </w:rPr>
              <w:t>1993</w:t>
            </w:r>
          </w:p>
        </w:tc>
        <w:tc>
          <w:tcPr>
            <w:tcW w:w="7480" w:type="dxa"/>
            <w:vAlign w:val="bottom"/>
          </w:tcPr>
          <w:p>
            <w:pPr>
              <w:ind w:left="160"/>
              <w:spacing w:after="0"/>
              <w:rPr>
                <w:sz w:val="20"/>
                <w:szCs w:val="20"/>
                <w:color w:val="auto"/>
              </w:rPr>
            </w:pPr>
            <w:r>
              <w:rPr>
                <w:rFonts w:ascii="Arial" w:cs="Arial" w:eastAsia="Arial" w:hAnsi="Arial"/>
                <w:sz w:val="18"/>
                <w:szCs w:val="18"/>
                <w:color w:val="auto"/>
                <w:w w:val="94"/>
              </w:rPr>
              <w:t>Executive Vice President and President, Book Clubs (since 2005) and Scholastic At Home (2005-</w:t>
            </w:r>
          </w:p>
        </w:tc>
      </w:tr>
      <w:tr>
        <w:trPr>
          <w:trHeight w:val="216"/>
        </w:trPr>
        <w:tc>
          <w:tcPr>
            <w:tcW w:w="1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480" w:type="dxa"/>
            <w:vAlign w:val="bottom"/>
          </w:tcPr>
          <w:p>
            <w:pPr>
              <w:ind w:left="160"/>
              <w:spacing w:after="0"/>
              <w:rPr>
                <w:sz w:val="20"/>
                <w:szCs w:val="20"/>
                <w:color w:val="auto"/>
              </w:rPr>
            </w:pPr>
            <w:r>
              <w:rPr>
                <w:rFonts w:ascii="Arial" w:cs="Arial" w:eastAsia="Arial" w:hAnsi="Arial"/>
                <w:sz w:val="18"/>
                <w:szCs w:val="18"/>
                <w:color w:val="auto"/>
                <w:w w:val="92"/>
              </w:rPr>
              <w:t>2006); Senior Vice President and President, Book Clubs and Scholastic At Home (2004-2005); and</w:t>
            </w:r>
          </w:p>
        </w:tc>
      </w:tr>
      <w:tr>
        <w:trPr>
          <w:trHeight w:val="222"/>
        </w:trPr>
        <w:tc>
          <w:tcPr>
            <w:tcW w:w="1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7480" w:type="dxa"/>
            <w:vAlign w:val="bottom"/>
          </w:tcPr>
          <w:p>
            <w:pPr>
              <w:ind w:left="160"/>
              <w:spacing w:after="0"/>
              <w:rPr>
                <w:sz w:val="20"/>
                <w:szCs w:val="20"/>
                <w:color w:val="auto"/>
              </w:rPr>
            </w:pPr>
            <w:r>
              <w:rPr>
                <w:rFonts w:ascii="Arial" w:cs="Arial" w:eastAsia="Arial" w:hAnsi="Arial"/>
                <w:sz w:val="18"/>
                <w:szCs w:val="18"/>
                <w:color w:val="auto"/>
              </w:rPr>
              <w:t>Senior Vice President, Book Clubs (1997-2004).</w:t>
            </w:r>
          </w:p>
        </w:tc>
      </w:tr>
      <w:tr>
        <w:trPr>
          <w:trHeight w:val="110"/>
        </w:trPr>
        <w:tc>
          <w:tcPr>
            <w:tcW w:w="182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7480" w:type="dxa"/>
            <w:vAlign w:val="bottom"/>
            <w:tcBorders>
              <w:bottom w:val="single" w:sz="8" w:color="808080"/>
            </w:tcBorders>
          </w:tcPr>
          <w:p>
            <w:pPr>
              <w:spacing w:after="0"/>
              <w:rPr>
                <w:sz w:val="9"/>
                <w:szCs w:val="9"/>
                <w:color w:val="auto"/>
              </w:rPr>
            </w:pPr>
          </w:p>
        </w:tc>
      </w:tr>
      <w:tr>
        <w:trPr>
          <w:trHeight w:val="309"/>
        </w:trPr>
        <w:tc>
          <w:tcPr>
            <w:tcW w:w="1820" w:type="dxa"/>
            <w:vAlign w:val="bottom"/>
          </w:tcPr>
          <w:p>
            <w:pPr>
              <w:spacing w:after="0"/>
              <w:rPr>
                <w:sz w:val="20"/>
                <w:szCs w:val="20"/>
                <w:color w:val="auto"/>
              </w:rPr>
            </w:pPr>
            <w:r>
              <w:rPr>
                <w:rFonts w:ascii="Arial" w:cs="Arial" w:eastAsia="Arial" w:hAnsi="Arial"/>
                <w:sz w:val="18"/>
                <w:szCs w:val="18"/>
                <w:b w:val="1"/>
                <w:bCs w:val="1"/>
                <w:color w:val="auto"/>
              </w:rPr>
              <w:t>Cynthia Augustine</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52</w:t>
            </w:r>
          </w:p>
        </w:tc>
        <w:tc>
          <w:tcPr>
            <w:tcW w:w="1360" w:type="dxa"/>
            <w:vAlign w:val="bottom"/>
          </w:tcPr>
          <w:p>
            <w:pPr>
              <w:jc w:val="center"/>
              <w:ind w:left="37"/>
              <w:spacing w:after="0"/>
              <w:rPr>
                <w:sz w:val="20"/>
                <w:szCs w:val="20"/>
                <w:color w:val="auto"/>
              </w:rPr>
            </w:pPr>
            <w:r>
              <w:rPr>
                <w:rFonts w:ascii="Arial" w:cs="Arial" w:eastAsia="Arial" w:hAnsi="Arial"/>
                <w:sz w:val="18"/>
                <w:szCs w:val="18"/>
                <w:color w:val="auto"/>
                <w:w w:val="89"/>
              </w:rPr>
              <w:t>2007</w:t>
            </w:r>
          </w:p>
        </w:tc>
        <w:tc>
          <w:tcPr>
            <w:tcW w:w="7480" w:type="dxa"/>
            <w:vAlign w:val="bottom"/>
          </w:tcPr>
          <w:p>
            <w:pPr>
              <w:ind w:left="160"/>
              <w:spacing w:after="0"/>
              <w:rPr>
                <w:sz w:val="20"/>
                <w:szCs w:val="20"/>
                <w:color w:val="auto"/>
              </w:rPr>
            </w:pPr>
            <w:r>
              <w:rPr>
                <w:rFonts w:ascii="Arial" w:cs="Arial" w:eastAsia="Arial" w:hAnsi="Arial"/>
                <w:sz w:val="18"/>
                <w:szCs w:val="18"/>
                <w:color w:val="auto"/>
                <w:w w:val="92"/>
              </w:rPr>
              <w:t>Senior Vice President, Human Resources and Employee Services (since 2007). Prior to joining the</w:t>
            </w:r>
          </w:p>
        </w:tc>
      </w:tr>
      <w:tr>
        <w:trPr>
          <w:trHeight w:val="216"/>
        </w:trPr>
        <w:tc>
          <w:tcPr>
            <w:tcW w:w="1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480" w:type="dxa"/>
            <w:vAlign w:val="bottom"/>
          </w:tcPr>
          <w:p>
            <w:pPr>
              <w:ind w:left="160"/>
              <w:spacing w:after="0"/>
              <w:rPr>
                <w:sz w:val="20"/>
                <w:szCs w:val="20"/>
                <w:color w:val="auto"/>
              </w:rPr>
            </w:pPr>
            <w:r>
              <w:rPr>
                <w:rFonts w:ascii="Arial" w:cs="Arial" w:eastAsia="Arial" w:hAnsi="Arial"/>
                <w:sz w:val="18"/>
                <w:szCs w:val="18"/>
                <w:color w:val="auto"/>
                <w:w w:val="95"/>
              </w:rPr>
              <w:t>Company, Senior Vice President of Talent Management for Time Warner, Inc. (2004-2005); and</w:t>
            </w:r>
          </w:p>
        </w:tc>
      </w:tr>
      <w:tr>
        <w:trPr>
          <w:trHeight w:val="216"/>
        </w:trPr>
        <w:tc>
          <w:tcPr>
            <w:tcW w:w="1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480" w:type="dxa"/>
            <w:vAlign w:val="bottom"/>
          </w:tcPr>
          <w:p>
            <w:pPr>
              <w:ind w:left="160"/>
              <w:spacing w:after="0"/>
              <w:rPr>
                <w:sz w:val="20"/>
                <w:szCs w:val="20"/>
                <w:color w:val="auto"/>
              </w:rPr>
            </w:pPr>
            <w:r>
              <w:rPr>
                <w:rFonts w:ascii="Arial" w:cs="Arial" w:eastAsia="Arial" w:hAnsi="Arial"/>
                <w:sz w:val="18"/>
                <w:szCs w:val="18"/>
                <w:color w:val="auto"/>
                <w:w w:val="99"/>
              </w:rPr>
              <w:t>various positions at The New York Times Company, including Senior Vice President, Human</w:t>
            </w:r>
          </w:p>
        </w:tc>
      </w:tr>
      <w:tr>
        <w:trPr>
          <w:trHeight w:val="222"/>
        </w:trPr>
        <w:tc>
          <w:tcPr>
            <w:tcW w:w="1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7480" w:type="dxa"/>
            <w:vAlign w:val="bottom"/>
          </w:tcPr>
          <w:p>
            <w:pPr>
              <w:ind w:left="160"/>
              <w:spacing w:after="0"/>
              <w:rPr>
                <w:sz w:val="20"/>
                <w:szCs w:val="20"/>
                <w:color w:val="auto"/>
              </w:rPr>
            </w:pPr>
            <w:r>
              <w:rPr>
                <w:rFonts w:ascii="Arial" w:cs="Arial" w:eastAsia="Arial" w:hAnsi="Arial"/>
                <w:sz w:val="18"/>
                <w:szCs w:val="18"/>
                <w:color w:val="auto"/>
              </w:rPr>
              <w:t>Resources (1998 -2004) and President, Broadcast Group (2000-2004).</w:t>
            </w:r>
          </w:p>
        </w:tc>
      </w:tr>
      <w:tr>
        <w:trPr>
          <w:trHeight w:val="110"/>
        </w:trPr>
        <w:tc>
          <w:tcPr>
            <w:tcW w:w="182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7480" w:type="dxa"/>
            <w:vAlign w:val="bottom"/>
            <w:tcBorders>
              <w:bottom w:val="single" w:sz="8" w:color="808080"/>
            </w:tcBorders>
          </w:tcPr>
          <w:p>
            <w:pPr>
              <w:spacing w:after="0"/>
              <w:rPr>
                <w:sz w:val="9"/>
                <w:szCs w:val="9"/>
                <w:color w:val="auto"/>
              </w:rPr>
            </w:pPr>
          </w:p>
        </w:tc>
      </w:tr>
      <w:tr>
        <w:trPr>
          <w:trHeight w:val="309"/>
        </w:trPr>
        <w:tc>
          <w:tcPr>
            <w:tcW w:w="1820" w:type="dxa"/>
            <w:vAlign w:val="bottom"/>
          </w:tcPr>
          <w:p>
            <w:pPr>
              <w:spacing w:after="0"/>
              <w:rPr>
                <w:sz w:val="20"/>
                <w:szCs w:val="20"/>
                <w:color w:val="auto"/>
              </w:rPr>
            </w:pPr>
            <w:r>
              <w:rPr>
                <w:rFonts w:ascii="Arial" w:cs="Arial" w:eastAsia="Arial" w:hAnsi="Arial"/>
                <w:sz w:val="18"/>
                <w:szCs w:val="18"/>
                <w:b w:val="1"/>
                <w:bCs w:val="1"/>
                <w:color w:val="auto"/>
              </w:rPr>
              <w:t>Andrew S. Hedden</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69</w:t>
            </w:r>
          </w:p>
        </w:tc>
        <w:tc>
          <w:tcPr>
            <w:tcW w:w="1360" w:type="dxa"/>
            <w:vAlign w:val="bottom"/>
          </w:tcPr>
          <w:p>
            <w:pPr>
              <w:jc w:val="center"/>
              <w:ind w:left="37"/>
              <w:spacing w:after="0"/>
              <w:rPr>
                <w:sz w:val="20"/>
                <w:szCs w:val="20"/>
                <w:color w:val="auto"/>
              </w:rPr>
            </w:pPr>
            <w:r>
              <w:rPr>
                <w:rFonts w:ascii="Arial" w:cs="Arial" w:eastAsia="Arial" w:hAnsi="Arial"/>
                <w:sz w:val="18"/>
                <w:szCs w:val="18"/>
                <w:color w:val="auto"/>
                <w:w w:val="89"/>
              </w:rPr>
              <w:t>2008</w:t>
            </w:r>
          </w:p>
        </w:tc>
        <w:tc>
          <w:tcPr>
            <w:tcW w:w="7480" w:type="dxa"/>
            <w:vAlign w:val="bottom"/>
          </w:tcPr>
          <w:p>
            <w:pPr>
              <w:ind w:left="160"/>
              <w:spacing w:after="0"/>
              <w:rPr>
                <w:sz w:val="20"/>
                <w:szCs w:val="20"/>
                <w:color w:val="auto"/>
              </w:rPr>
            </w:pPr>
            <w:r>
              <w:rPr>
                <w:rFonts w:ascii="Arial" w:cs="Arial" w:eastAsia="Arial" w:hAnsi="Arial"/>
                <w:sz w:val="18"/>
                <w:szCs w:val="18"/>
                <w:color w:val="auto"/>
                <w:w w:val="92"/>
              </w:rPr>
              <w:t>Member of the Board of Directors (since 1991) and Executive Vice President, General Counsel and</w:t>
            </w:r>
          </w:p>
        </w:tc>
      </w:tr>
      <w:tr>
        <w:trPr>
          <w:trHeight w:val="216"/>
        </w:trPr>
        <w:tc>
          <w:tcPr>
            <w:tcW w:w="1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480" w:type="dxa"/>
            <w:vAlign w:val="bottom"/>
          </w:tcPr>
          <w:p>
            <w:pPr>
              <w:ind w:left="160"/>
              <w:spacing w:after="0"/>
              <w:rPr>
                <w:sz w:val="20"/>
                <w:szCs w:val="20"/>
                <w:color w:val="auto"/>
              </w:rPr>
            </w:pPr>
            <w:r>
              <w:rPr>
                <w:rFonts w:ascii="Arial" w:cs="Arial" w:eastAsia="Arial" w:hAnsi="Arial"/>
                <w:sz w:val="18"/>
                <w:szCs w:val="18"/>
                <w:color w:val="auto"/>
                <w:w w:val="94"/>
              </w:rPr>
              <w:t>Secretary (since 2008). Prior to joining the Company, partner at the law firm of Baker &amp; McKenzie</w:t>
            </w:r>
          </w:p>
        </w:tc>
      </w:tr>
      <w:tr>
        <w:trPr>
          <w:trHeight w:val="222"/>
        </w:trPr>
        <w:tc>
          <w:tcPr>
            <w:tcW w:w="1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7480" w:type="dxa"/>
            <w:vAlign w:val="bottom"/>
          </w:tcPr>
          <w:p>
            <w:pPr>
              <w:ind w:left="160"/>
              <w:spacing w:after="0"/>
              <w:rPr>
                <w:sz w:val="20"/>
                <w:szCs w:val="20"/>
                <w:color w:val="auto"/>
              </w:rPr>
            </w:pPr>
            <w:r>
              <w:rPr>
                <w:rFonts w:ascii="Arial" w:cs="Arial" w:eastAsia="Arial" w:hAnsi="Arial"/>
                <w:sz w:val="18"/>
                <w:szCs w:val="18"/>
                <w:color w:val="auto"/>
              </w:rPr>
              <w:t>LLP (2005-2008) and the law firm of Coudert Brothers LLP (1975-2005).</w:t>
            </w:r>
          </w:p>
        </w:tc>
      </w:tr>
      <w:tr>
        <w:trPr>
          <w:trHeight w:val="110"/>
        </w:trPr>
        <w:tc>
          <w:tcPr>
            <w:tcW w:w="182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748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2663825</wp:posOffset>
            </wp:positionH>
            <wp:positionV relativeFrom="paragraph">
              <wp:posOffset>205740</wp:posOffset>
            </wp:positionV>
            <wp:extent cx="1929765" cy="23177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929765"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40"/>
          </w:cols>
          <w:pgMar w:left="240" w:top="833" w:right="21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3765" cy="8890"/>
                    </a:xfrm>
                    <a:prstGeom prst="rect">
                      <a:avLst/>
                    </a:prstGeom>
                    <a:noFill/>
                  </pic:spPr>
                </pic:pic>
              </a:graphicData>
            </a:graphic>
          </wp:anchor>
        </w:drawing>
        <w:t>Available Information</w:t>
      </w:r>
    </w:p>
    <w:p>
      <w:pPr>
        <w:spacing w:after="0" w:line="23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Corporation’s annual reports on Form 10-K, quarterly reports on Form 10-Q, current reports on Form 8-K and any amendments to those reports are accessible at the Investor Relations portion of its website, www.scholastic.com, by clicking on the “SEC Filings” tab and are available, without charge, as soon as reasonably practicable after such reports are electronically filed or furnished to the Securities and Exchange Commission (“SEC”). The Company also posts the dates of its upcoming scheduled financial press releases, telephonic investor calls and investor presentations on the “Calendar and Presentations” portion of its website at least five days prior to the event. The Company’s investor calls are open to the public and remain available through the Company’s website for at least one year thereafter.</w:t>
      </w:r>
    </w:p>
    <w:p>
      <w:pPr>
        <w:spacing w:after="0" w:line="198" w:lineRule="exact"/>
        <w:rPr>
          <w:sz w:val="20"/>
          <w:szCs w:val="20"/>
          <w:color w:val="auto"/>
        </w:rPr>
      </w:pPr>
    </w:p>
    <w:p>
      <w:pPr>
        <w:jc w:val="both"/>
        <w:ind w:right="200"/>
        <w:spacing w:after="0" w:line="335" w:lineRule="auto"/>
        <w:rPr>
          <w:sz w:val="20"/>
          <w:szCs w:val="20"/>
          <w:color w:val="auto"/>
        </w:rPr>
      </w:pPr>
      <w:r>
        <w:rPr>
          <w:rFonts w:ascii="Arial" w:cs="Arial" w:eastAsia="Arial" w:hAnsi="Arial"/>
          <w:sz w:val="15"/>
          <w:szCs w:val="15"/>
          <w:color w:val="auto"/>
        </w:rPr>
        <w:t>The public may also read and copy materials that the Company files with the SEC at the SEC’s Public Reference Room at 100 F Street, N.E., Washington, DC. The public may obtain information on the operation of the Public Reference Room by calling the SEC at 1-800-SEC-0330. The SEC also maintains an internet site, at www.sec.gov, that contains reports, proxy and information statements and other information regarding issuers that file electronically with the SEC.</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 Risk Factors</w:t>
      </w:r>
    </w:p>
    <w:p>
      <w:pPr>
        <w:spacing w:after="0" w:line="222"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color w:val="auto"/>
        </w:rPr>
        <w:t>Set forth below and elsewhere in this Annual Report on Form 10-K and in other documents that the Corporation files with the SEC are risks that should be considered in evaluating the Corporation’s Common Stock, as well as risks and uncertainties that could cause the actual future results of the Company to differ from those expressed or implied in the forward-looking statements contained in this Report and in other public statements the Company makes. Additionally, because of the following risks and uncertainties, as well as other variables affecting the Company’s operating results, the Company’s past financial performance should not be considered an indicator of future performance.</w:t>
      </w:r>
    </w:p>
    <w:p>
      <w:pPr>
        <w:spacing w:after="0" w:line="159"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b w:val="1"/>
          <w:bCs w:val="1"/>
          <w:color w:val="auto"/>
        </w:rPr>
        <w:t>If we cannot anticipate trends and develop new products or adapt to new technologies responding to changing customer preferences, this could adversely affect our revenues or profitability.</w:t>
      </w:r>
    </w:p>
    <w:p>
      <w:pPr>
        <w:spacing w:after="0" w:line="17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Company operates in highly competitive markets that are subject to rapid change, including, in particular, changes in customer preferences and changes and advances in relevant technologies. There are substantial uncertainties associated with the Company’s efforts to develop successful educational, trade publishing, entertainment and software and interactive products and services for its customers, as well as to adapt its print materials to new digital technologies, including the internet and eReader devices. The Company makes significant investments in new products and services that may not be profitable, or whose profitability may be significantly lower than the Company has experienced historically. In particular, in the context of the Company’s current focus on key digital opportunities, including ebooks for children, no meaningful market has yet developed and the Company may be unsuccessful in establishing itself as a significant factor in any market which does develop. Many aspects of an eReader market which could develop for children, such as the nature of the relevant software, relevant methods of delivery, including affordable devices, and relevant content, as well as pricing models, have not yet taken shape but will, most likely, be subject to change on a recurrent basis until a pattern develops and the potential market for children becomes more defined. There can be no assurance that the Company will be successful in implementing its ebook strategy, which could adversely affect the Company’s revenues and growth opportunities. In addition, the Company faces technological risks associated with software product development and service delivery in its educational technology and e-commerce businesses, as well as its internal business support systems, which could involve service failures, delays or internal system failures that result in damages, lost business or failures to be able to fully exploit business opportunities.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2663825</wp:posOffset>
            </wp:positionH>
            <wp:positionV relativeFrom="paragraph">
              <wp:posOffset>116205</wp:posOffset>
            </wp:positionV>
            <wp:extent cx="1929765" cy="23177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929765"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80"/>
          </w:cols>
          <w:pgMar w:left="240" w:top="827" w:right="279" w:bottom="1440" w:gutter="0" w:footer="0" w:header="0"/>
        </w:sectPr>
      </w:pPr>
    </w:p>
    <w:bookmarkStart w:id="13" w:name="page14"/>
    <w:bookmarkEnd w:id="13"/>
    <w:p>
      <w:pPr>
        <w:ind w:right="360"/>
        <w:spacing w:after="0" w:line="264"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3765" cy="8890"/>
                    </a:xfrm>
                    <a:prstGeom prst="rect">
                      <a:avLst/>
                    </a:prstGeom>
                    <a:noFill/>
                  </pic:spPr>
                </pic:pic>
              </a:graphicData>
            </a:graphic>
          </wp:anchor>
        </w:drawing>
        <w:t>Our financial results would suffer if we fail to successfully meet market needs in school-based book clubs and book fairs, two of our core businesses.</w:t>
      </w:r>
    </w:p>
    <w:p>
      <w:pPr>
        <w:spacing w:after="0" w:line="176" w:lineRule="exact"/>
        <w:rPr>
          <w:sz w:val="20"/>
          <w:szCs w:val="20"/>
          <w:color w:val="auto"/>
        </w:rPr>
      </w:pPr>
    </w:p>
    <w:p>
      <w:pPr>
        <w:ind w:right="160"/>
        <w:spacing w:after="0" w:line="298" w:lineRule="auto"/>
        <w:rPr>
          <w:sz w:val="20"/>
          <w:szCs w:val="20"/>
          <w:color w:val="auto"/>
        </w:rPr>
      </w:pPr>
      <w:r>
        <w:rPr>
          <w:rFonts w:ascii="Arial" w:cs="Arial" w:eastAsia="Arial" w:hAnsi="Arial"/>
          <w:sz w:val="16"/>
          <w:szCs w:val="16"/>
          <w:color w:val="auto"/>
        </w:rPr>
        <w:t>The Company’s school-based book clubs and book fairs are core businesses, which produce a substantial part of the Company’s revenues. The Company is subject to the risk that it will not successfully develop and execute new promotional strategies for its school-based book clubs or book fairs in response to future customer trends or technological changes or otherwise meet market needs in these businesses in a timely fashion and successfully maintain teacher or school sponsorship levels, which would have an adverse effect on the Company’s financial results.</w:t>
      </w:r>
    </w:p>
    <w:p>
      <w:pPr>
        <w:spacing w:after="0" w:line="156"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b w:val="1"/>
          <w:bCs w:val="1"/>
          <w:color w:val="auto"/>
        </w:rPr>
        <w:t>If we fail to maintain the continuance of strong relationships with our authors, illustrators and other creative talent, as well as to develop relationships with new creative talent, our business could be adversely affected.</w:t>
      </w:r>
    </w:p>
    <w:p>
      <w:pPr>
        <w:spacing w:after="0" w:line="176"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The Company’s business, in particular the trade publishing and media portions of the business, is highly dependent on maintaining strong relationships with the authors, illustrators and other creative talent who produce the products and services that are sold to its customers. Any overall weakening of these relationships, or the failure to develop successful new relationships, could have an adverse impact on the Company’s business and financial performance.</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fail to adapt to new purchasing patterns or requirements, our business and financial results could be adversely affected.</w:t>
      </w:r>
    </w:p>
    <w:p>
      <w:pPr>
        <w:spacing w:after="0" w:line="222"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The Company’s business is affected significantly by changes in purchasing patterns or trends in, as well as the underlying strength of, the educational, trade, entertainment and software markets. In particular, the Company’s educational publishing and technology businesses may be adversely affected by budgetary restraints and other changes in state educational funding as a result of new legislation or regulatory actions, both at the federal and state level, as well as changes in the procurement process, to which the Company may be unable to adapt successfully. Recently, shortfalls in funding have negatively impacted purchasing patterns in the education markets. Continuation of this trend could negatively impact the Company. In this context, while Federal economic stimulus funding under the American Recovery and Reinvestment Act has benefited the Company by providing additional educational funding to compensate for budget shortfalls at the state level in fiscal 2010, there are no guarantees that these levels of funding will continue in fiscal 2011 and thereafter or the extent to which the Company may continue to benefit therefrom. In addition, there are many competing demands for educational funds, and there can be no guarantee that the Company will otherwise be successful in continuing to obtain sales of its products from any available funding.</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competitive pressures we face in certain of our businesses could adversely affect our financial performance and growth prospects.</w:t>
      </w:r>
    </w:p>
    <w:p>
      <w:pPr>
        <w:spacing w:after="0" w:line="245"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The Company is subject to significant competition, including from other educational and trade publishers and media, entertainment and internet companies, many of which are substantially larger than the Company and have much greater resources. To the extent the Company cannot meet these challenges from existing or new competitors, including in the educational publishing business, and develop new product offerings to meet customer preferences or needs, the Company’s revenues and profitability could be adversely affected.</w:t>
      </w:r>
    </w:p>
    <w:p>
      <w:pPr>
        <w:spacing w:after="0" w:line="187"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b w:val="1"/>
          <w:bCs w:val="1"/>
          <w:color w:val="auto"/>
        </w:rPr>
        <w:t>The reputation of the Company is one of its most important assets, and any adverse publicity or adverse events, such as a significant data privacy breach, could cause significant reputational damage and financial loss.</w:t>
      </w:r>
    </w:p>
    <w:p>
      <w:pPr>
        <w:spacing w:after="0" w:line="17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businesses of the Company focus on learning and education, and its key relationships are with educators, teachers, parents and children. In particular, the Company believes that, in selecting its products, teachers, educators and parents rely on the Company’s reputation for quality educational products appropriate for children. Also, in certain of its businesses the Company holds significant volumes of personal data, including that of customers, and, in its educational technology business, students. Adverse publicity, whether or not valid, could reduce demand for the Company’s products or adversely affect its relationship with teachers or educators, impacting participation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2663825</wp:posOffset>
            </wp:positionH>
            <wp:positionV relativeFrom="paragraph">
              <wp:posOffset>130175</wp:posOffset>
            </wp:positionV>
            <wp:extent cx="1929765" cy="23177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929765"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823" w:right="239" w:bottom="1440" w:gutter="0" w:footer="0" w:header="0"/>
        </w:sectPr>
      </w:pPr>
    </w:p>
    <w:bookmarkStart w:id="14" w:name="page15"/>
    <w:bookmarkEnd w:id="14"/>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3765" cy="8890"/>
                    </a:xfrm>
                    <a:prstGeom prst="rect">
                      <a:avLst/>
                    </a:prstGeom>
                    <a:noFill/>
                  </pic:spPr>
                </pic:pic>
              </a:graphicData>
            </a:graphic>
          </wp:anchor>
        </w:drawing>
        <w:t>book clubs or book fairs or decisions to purchase educational technology or other products or services of the Company’s educational technology business. Further, a failure to adequately protect personal data, including that of customers or students, could lead to penalties, significant remediation costs and reputational damage, including loss of future business.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are unsuccessful in implementing our corporate strategy we may not be able to maintain our historical growth.</w:t>
      </w:r>
    </w:p>
    <w:p>
      <w:pPr>
        <w:spacing w:after="0" w:line="222"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The Company’s future growth depends upon a number of factors, including the ability of the Company to successfully implement its strategies for the respective business units, the introduction and acceptance of new products and services, including the success of its digital strategy, its ability to expand in the global markets that it serves and its continuing success in implementing on-going cost containment and reduction programs. Difficulties, delays or failures experienced in connection with any of these factors could materially affect the future growth of the Company.</w:t>
      </w:r>
    </w:p>
    <w:p>
      <w:pPr>
        <w:spacing w:after="0" w:line="156" w:lineRule="exact"/>
        <w:rPr>
          <w:sz w:val="20"/>
          <w:szCs w:val="20"/>
          <w:color w:val="auto"/>
        </w:rPr>
      </w:pPr>
    </w:p>
    <w:p>
      <w:pPr>
        <w:ind w:right="460"/>
        <w:spacing w:after="0" w:line="264" w:lineRule="auto"/>
        <w:rPr>
          <w:sz w:val="20"/>
          <w:szCs w:val="20"/>
          <w:color w:val="auto"/>
        </w:rPr>
      </w:pPr>
      <w:r>
        <w:rPr>
          <w:rFonts w:ascii="Arial" w:cs="Arial" w:eastAsia="Arial" w:hAnsi="Arial"/>
          <w:sz w:val="18"/>
          <w:szCs w:val="18"/>
          <w:b w:val="1"/>
          <w:bCs w:val="1"/>
          <w:color w:val="auto"/>
        </w:rPr>
        <w:t>Increases in certain operating costs and expenses, which are beyond our control and can significantly affect our profitability, could adversely affect our operating performance.</w:t>
      </w:r>
    </w:p>
    <w:p>
      <w:pPr>
        <w:spacing w:after="0" w:line="176"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The Company’s major expense categories include employee compensation and printing, paper and distribution (such as postage, shipping and fuel) costs. The Company offers its employees competitive salaries and benefit packages in order to attract and retain the quality of employees required to grow and expand its businesses. Compensation costs are influenced by general economic factors, including those affecting costs of health insurance, post-retirement benefits and any trends specific to the employee skill sets the Company requires.</w:t>
      </w:r>
    </w:p>
    <w:p>
      <w:pPr>
        <w:spacing w:after="0" w:line="19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Paper prices fluctuate based on worldwide demand and supply for paper, in general, as well as for the specific types of paper used by the Company. If there is a significant disruption in the supply of paper or significant increases in such costs beyond those currently anticipated, which would generally be beyond the control of the Company, or if the Company’s strategies to try to manage these costs, including additional cost savings initiatives, are ineffective, the Company’s results of operations could be adversely affected.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loss of or failure to obtain rights to intellectual property material to our businesses would adversely affect our financial results.</w:t>
      </w:r>
    </w:p>
    <w:p>
      <w:pPr>
        <w:spacing w:after="0" w:line="22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Company’s products generally comprise intellectual property delivered through a variety of media. The ability to achieve anticipated results depends in part on the Company’s ability to defend its intellectual property against infringement, as well as the breadth of rights obtained. The Company’s operating results could be adversely affected by inadequate legal and technological protections for intellectual property and proprietary rights in some jurisdictions, markets and media, and the Company’s revenues could be constrained by limitations on the rights that the Company is able to secure to exploit its intellectual property in different media and distribution channels.</w:t>
      </w:r>
    </w:p>
    <w:p>
      <w:pPr>
        <w:spacing w:after="0" w:line="186" w:lineRule="exact"/>
        <w:rPr>
          <w:sz w:val="20"/>
          <w:szCs w:val="20"/>
          <w:color w:val="auto"/>
        </w:rPr>
      </w:pPr>
    </w:p>
    <w:p>
      <w:pPr>
        <w:ind w:right="780"/>
        <w:spacing w:after="0" w:line="264" w:lineRule="auto"/>
        <w:rPr>
          <w:sz w:val="20"/>
          <w:szCs w:val="20"/>
          <w:color w:val="auto"/>
        </w:rPr>
      </w:pPr>
      <w:r>
        <w:rPr>
          <w:rFonts w:ascii="Arial" w:cs="Arial" w:eastAsia="Arial" w:hAnsi="Arial"/>
          <w:sz w:val="18"/>
          <w:szCs w:val="18"/>
          <w:b w:val="1"/>
          <w:bCs w:val="1"/>
          <w:color w:val="auto"/>
        </w:rPr>
        <w:t>Because we sell our products and services in foreign countries, changes in currency exchange rates, as well as other risks and uncertainties, could adversely affect our operations and financial results.</w:t>
      </w:r>
    </w:p>
    <w:p>
      <w:pPr>
        <w:spacing w:after="0" w:line="176"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The Company has various operating subsidiaries domiciled in foreign countries. In addition, the Company sells products and services to customers located in foreign countries where it does not have operating subsidiaries. Accordingly, the Company could be adversely affected by changes in currency exchange rates, as well as by the political and economic risks attendant to conducting business in foreign countries. These risks include the potential of political instability in developing nations where the Company is conducting business.</w:t>
      </w:r>
    </w:p>
    <w:p>
      <w:pPr>
        <w:spacing w:after="0" w:line="187" w:lineRule="exact"/>
        <w:rPr>
          <w:sz w:val="20"/>
          <w:szCs w:val="20"/>
          <w:color w:val="auto"/>
        </w:rPr>
      </w:pPr>
    </w:p>
    <w:p>
      <w:pPr>
        <w:ind w:right="500"/>
        <w:spacing w:after="0" w:line="264" w:lineRule="auto"/>
        <w:rPr>
          <w:sz w:val="20"/>
          <w:szCs w:val="20"/>
          <w:color w:val="auto"/>
        </w:rPr>
      </w:pPr>
      <w:r>
        <w:rPr>
          <w:rFonts w:ascii="Arial" w:cs="Arial" w:eastAsia="Arial" w:hAnsi="Arial"/>
          <w:sz w:val="18"/>
          <w:szCs w:val="18"/>
          <w:b w:val="1"/>
          <w:bCs w:val="1"/>
          <w:color w:val="auto"/>
        </w:rPr>
        <w:t>Certain of our activities are subject to weather risks, which could disrupt our operations or otherwise adversely affect our financial performance.</w:t>
      </w:r>
    </w:p>
    <w:p>
      <w:pPr>
        <w:spacing w:after="0" w:line="176" w:lineRule="exact"/>
        <w:rPr>
          <w:sz w:val="20"/>
          <w:szCs w:val="20"/>
          <w:color w:val="auto"/>
        </w:rPr>
      </w:pPr>
    </w:p>
    <w:p>
      <w:pPr>
        <w:jc w:val="both"/>
        <w:ind w:right="260"/>
        <w:spacing w:after="0" w:line="259" w:lineRule="auto"/>
        <w:rPr>
          <w:sz w:val="20"/>
          <w:szCs w:val="20"/>
          <w:color w:val="auto"/>
        </w:rPr>
      </w:pPr>
      <w:r>
        <w:rPr>
          <w:rFonts w:ascii="Arial" w:cs="Arial" w:eastAsia="Arial" w:hAnsi="Arial"/>
          <w:sz w:val="18"/>
          <w:szCs w:val="18"/>
          <w:color w:val="auto"/>
        </w:rPr>
        <w:t>The Company conducts many of its businesses and maintains warehouse and office facilities in locations that are at risk of being negatively affected by severe weather events, such as hurricanes, floods or snowstorms. For example, in the fall of 2005, a series of hurricanes had a severe impact on the Gulf Coast area of the United States, closing several thousand schools, displacing several hundred thousand students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2663825</wp:posOffset>
            </wp:positionH>
            <wp:positionV relativeFrom="paragraph">
              <wp:posOffset>128905</wp:posOffset>
            </wp:positionV>
            <wp:extent cx="1929765" cy="23177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929765"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833" w:right="239" w:bottom="1440" w:gutter="0" w:footer="0" w:header="0"/>
        </w:sectPr>
      </w:pPr>
    </w:p>
    <w:bookmarkStart w:id="15" w:name="page16"/>
    <w:bookmarkEnd w:id="15"/>
    <w:p>
      <w:pPr>
        <w:ind w:right="20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3765" cy="8890"/>
                    </a:xfrm>
                    <a:prstGeom prst="rect">
                      <a:avLst/>
                    </a:prstGeom>
                    <a:noFill/>
                  </pic:spPr>
                </pic:pic>
              </a:graphicData>
            </a:graphic>
          </wp:anchor>
        </w:drawing>
        <w:t>and their families and, in turn, affecting the schools that took in those children. This impacted the Company’s school-based book clubs, school-based book fairs and education businesses. Accordingly, the Company could be adversely affected by any future significant weather event.</w:t>
      </w:r>
    </w:p>
    <w:p>
      <w:pPr>
        <w:spacing w:after="0" w:line="129" w:lineRule="exact"/>
        <w:rPr>
          <w:sz w:val="20"/>
          <w:szCs w:val="20"/>
          <w:color w:val="auto"/>
        </w:rPr>
      </w:pPr>
    </w:p>
    <w:p>
      <w:pPr>
        <w:ind w:right="280"/>
        <w:spacing w:after="0" w:line="249" w:lineRule="auto"/>
        <w:rPr>
          <w:sz w:val="20"/>
          <w:szCs w:val="20"/>
          <w:color w:val="auto"/>
        </w:rPr>
      </w:pPr>
      <w:r>
        <w:rPr>
          <w:rFonts w:ascii="Arial" w:cs="Arial" w:eastAsia="Arial" w:hAnsi="Arial"/>
          <w:sz w:val="18"/>
          <w:szCs w:val="18"/>
          <w:b w:val="1"/>
          <w:bCs w:val="1"/>
          <w:color w:val="auto"/>
        </w:rPr>
        <w:t>Control of the Company resides in our Chairman of the Board, President and Chief Executive Officer and other members of his family through their ownership of Class A Stock, and the holders of the Common Stock generally have no voting rights with respect to transactions requiring stockholder approval.</w:t>
      </w:r>
    </w:p>
    <w:p>
      <w:pPr>
        <w:spacing w:after="0" w:line="190"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The voting power of the Corporation’s capital stock is vested exclusively in the holders of Class A Stock, except for the right of the holders of Common Stock to elect one-fifth of the Board of Directors and except as otherwise provided by law or as may be established in favor of any series of preferred stock that may be issued. Richard Robinson, the Chairman of the Board, President and Chief Executive Officer, and other members of the Robinson family beneficially own all of the outstanding shares of Class A Stock and are able to elect up to four-fifths of the Corporation’s Board of Directors and, without the approval of the Corporation’s other stockholders, to effect or block other actions or transactions requiring stockholder approval, such as a merger, sale of substantially all assets or similar transaction.</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These factors should not be construed as exhaustive or as any admission regarding the adequacy of disclosures made by the Company prior to the date hereof.</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31" w:lineRule="exact"/>
        <w:rPr>
          <w:sz w:val="20"/>
          <w:szCs w:val="20"/>
          <w:color w:val="auto"/>
        </w:rPr>
      </w:pPr>
    </w:p>
    <w:p>
      <w:pPr>
        <w:ind w:right="200"/>
        <w:spacing w:after="0" w:line="291" w:lineRule="auto"/>
        <w:rPr>
          <w:sz w:val="20"/>
          <w:szCs w:val="20"/>
          <w:color w:val="auto"/>
        </w:rPr>
      </w:pPr>
      <w:r>
        <w:rPr>
          <w:rFonts w:ascii="Arial" w:cs="Arial" w:eastAsia="Arial" w:hAnsi="Arial"/>
          <w:sz w:val="16"/>
          <w:szCs w:val="16"/>
          <w:color w:val="auto"/>
        </w:rPr>
        <w:t>This Annual Report on Form 10-K contains forward-looking statements. Additional written and oral forward-looking statements may be made by the Company from time to time in SEC filings and otherwise. The Company cautions readers that results or expectations expressed by forward-looking statements, including, without limitation, those relating to the Company’s future business prospects, plans, ecommerce and digital initiatives strategies, goals, revenues, improved efficiencies, general costs, manufacturing costs, medical costs, merit pay, operating margins, working capital, liquidity, capital needs, interest costs and income, are subject to risks and uncertainties that could cause actual results to differ materially from those indicated in the forward-looking statements, due to factors including those noted in this Annual Report and other risks and factors identified from time to time in the Company’s filings with the SEC.</w:t>
      </w:r>
    </w:p>
    <w:p>
      <w:pPr>
        <w:spacing w:after="0" w:line="174"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The Company disclaims any intention or obligation to update or revise forward-looking statements, whether as a result of new information, future events or otherwise.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 Unresolved Staff Comments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 Properties</w:t>
      </w:r>
    </w:p>
    <w:p>
      <w:pPr>
        <w:spacing w:after="0" w:line="222"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The Company maintains its principal offices in the metropolitan New York area, where it owns and leases approximately 600,000 square feet of space. The Company also owns or leases approximately 1.7 million square feet of office and warehouse space for its primary warehouse and distribution facility located in the Jefferson City, Missouri area. In addition, the Company owns or leases approximately 3.0 million square feet of office and warehouse space in over 70 facilities in the United States, principally for Scholastic book fairs.</w:t>
      </w:r>
    </w:p>
    <w:p>
      <w:pPr>
        <w:spacing w:after="0" w:line="197"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Additionally, the Company owns or leases approximately 1.5 million square feet of office and warehouse space in over 100 facilities in Canada, the United Kingdom, Australia, New Zealand, Asia and elsewhere around the world for its international businesses.</w:t>
      </w:r>
    </w:p>
    <w:p>
      <w:pPr>
        <w:spacing w:after="0" w:line="18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Company considers its properties adequate for its current needs. With respect to the Company’s leased properties, no difficulties are anticipated in negotiating renewals as leases expire or in finding other satisfactory space, if current premises become unavailable. For further information concerning the Company’s obligations under its leases, see Notes 1 and 5 of Notes to Consolidated Financial Statements in Item 8, “Consolidated Financial Statements and Supplementary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2663825</wp:posOffset>
            </wp:positionH>
            <wp:positionV relativeFrom="paragraph">
              <wp:posOffset>130810</wp:posOffset>
            </wp:positionV>
            <wp:extent cx="1929765" cy="23177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929765"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833"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3765" cy="8890"/>
                    </a:xfrm>
                    <a:prstGeom prst="rect">
                      <a:avLst/>
                    </a:prstGeom>
                    <a:noFill/>
                  </pic:spPr>
                </pic:pic>
              </a:graphicData>
            </a:graphic>
          </wp:anchor>
        </w:drawing>
        <w:t>Item 3 | Legal Proceedings</w:t>
      </w:r>
    </w:p>
    <w:p>
      <w:pPr>
        <w:spacing w:after="0" w:line="222"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As previously reported, the Company is party to certain actions filed by each of Alaska Laborers Employee Retirement Fund and Paul Baicu, which were consolidated on November 8, 2007. On September 26, 2008, the plaintiff sought leave of the Court to file a second amended class action complaint, in order to add allegations relating to the Company’s restatement announced in the Company’s Annual Report on Form 10-K filed on July 30, 2008. The Court thereafter dismissed the Company’s pending motion to dismiss as moot. On October 20, 2008, the plaintiff filed the second amended complaint, and on October 31, 2008, the Company filed a motion to dismiss the second amended complaint, which remains pending. The second amended class action complaint continues to allege securities fraud relating to statements made by the Company concerning its operations and financial results between March 2005 and March 2006 and seeks unspecified compensatory damages. The Company continues to believe that the allegations in such complaint are without merit and is vigorously defending the lawsuit.</w:t>
      </w:r>
    </w:p>
    <w:p>
      <w:pPr>
        <w:spacing w:after="0" w:line="172" w:lineRule="exact"/>
        <w:rPr>
          <w:sz w:val="20"/>
          <w:szCs w:val="20"/>
          <w:color w:val="auto"/>
        </w:rPr>
      </w:pPr>
    </w:p>
    <w:p>
      <w:pPr>
        <w:ind w:right="500"/>
        <w:spacing w:after="0" w:line="332" w:lineRule="auto"/>
        <w:rPr>
          <w:sz w:val="20"/>
          <w:szCs w:val="20"/>
          <w:color w:val="auto"/>
        </w:rPr>
      </w:pPr>
      <w:r>
        <w:rPr>
          <w:rFonts w:ascii="Arial" w:cs="Arial" w:eastAsia="Arial" w:hAnsi="Arial"/>
          <w:sz w:val="16"/>
          <w:szCs w:val="16"/>
          <w:color w:val="auto"/>
        </w:rPr>
        <w:t>In addition to the above suits, various claims and lawsuits arising in the normal course of business are pending against the Company. The results of these proceedings are not expected to have a material adverse effect on the Company’s consolidated financial position or results of operations.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 Reserved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2663825</wp:posOffset>
            </wp:positionH>
            <wp:positionV relativeFrom="paragraph">
              <wp:posOffset>146050</wp:posOffset>
            </wp:positionV>
            <wp:extent cx="1929765" cy="23177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929765"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240"/>
          </w:cols>
          <w:pgMar w:left="240" w:top="823" w:right="419" w:bottom="1440" w:gutter="0" w:footer="0" w:header="0"/>
        </w:sectPr>
      </w:pPr>
    </w:p>
    <w:bookmarkStart w:id="17" w:name="page18"/>
    <w:bookmarkEnd w:id="17"/>
    <w:p>
      <w:pPr>
        <w:jc w:val="center"/>
        <w:ind w:right="2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3765" cy="8890"/>
                    </a:xfrm>
                    <a:prstGeom prst="rect">
                      <a:avLst/>
                    </a:prstGeom>
                    <a:noFill/>
                  </pic:spPr>
                </pic:pic>
              </a:graphicData>
            </a:graphic>
          </wp:anchor>
        </w:drawing>
        <w:t>Part II</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 Market for the Registrant’s Common Equity, Related Stockholder Matters and Issuer Purchases of Equity Securities</w:t>
      </w:r>
    </w:p>
    <w:p>
      <w:pPr>
        <w:spacing w:after="0" w:line="216" w:lineRule="exact"/>
        <w:rPr>
          <w:sz w:val="20"/>
          <w:szCs w:val="20"/>
          <w:color w:val="auto"/>
        </w:rPr>
      </w:pPr>
    </w:p>
    <w:p>
      <w:pPr>
        <w:ind w:right="260"/>
        <w:spacing w:after="0" w:line="258" w:lineRule="auto"/>
        <w:rPr>
          <w:sz w:val="20"/>
          <w:szCs w:val="20"/>
          <w:color w:val="auto"/>
        </w:rPr>
      </w:pPr>
      <w:r>
        <w:rPr>
          <w:rFonts w:ascii="Arial" w:cs="Arial" w:eastAsia="Arial" w:hAnsi="Arial"/>
          <w:sz w:val="18"/>
          <w:szCs w:val="18"/>
          <w:b w:val="1"/>
          <w:bCs w:val="1"/>
          <w:color w:val="auto"/>
        </w:rPr>
        <w:t xml:space="preserve">Market Information: </w:t>
      </w:r>
      <w:r>
        <w:rPr>
          <w:rFonts w:ascii="Arial" w:cs="Arial" w:eastAsia="Arial" w:hAnsi="Arial"/>
          <w:sz w:val="18"/>
          <w:szCs w:val="18"/>
          <w:color w:val="auto"/>
        </w:rPr>
        <w:t>Scholastic Corporation’s Common Stock, par value $0.01 per share (the “Common Stock”), is traded on the NASDAQ Global Select</w:t>
      </w:r>
      <w:r>
        <w:rPr>
          <w:rFonts w:ascii="Arial" w:cs="Arial" w:eastAsia="Arial" w:hAnsi="Arial"/>
          <w:sz w:val="18"/>
          <w:szCs w:val="18"/>
          <w:b w:val="1"/>
          <w:bCs w:val="1"/>
          <w:color w:val="auto"/>
        </w:rPr>
        <w:t xml:space="preserve"> </w:t>
      </w:r>
      <w:r>
        <w:rPr>
          <w:rFonts w:ascii="Arial" w:cs="Arial" w:eastAsia="Arial" w:hAnsi="Arial"/>
          <w:sz w:val="18"/>
          <w:szCs w:val="18"/>
          <w:color w:val="auto"/>
        </w:rPr>
        <w:t>Market under the symbol SCHL. Scholastic Corporation’s Class A Stock, par value $0.01 per share (the “Class A Stock”), is convertible, at any time, into Common Stock on a share-for-share basis. There is no public trading market for the Class A Stock. Set forth below are the quarterly high and low closing sales prices for the Common Stock as reported by NASDAQ for the periods indicated:</w:t>
      </w:r>
    </w:p>
    <w:p>
      <w:pPr>
        <w:spacing w:after="0" w:line="218" w:lineRule="exact"/>
        <w:rPr>
          <w:sz w:val="20"/>
          <w:szCs w:val="20"/>
          <w:color w:val="auto"/>
        </w:rPr>
      </w:pPr>
    </w:p>
    <w:p>
      <w:pPr>
        <w:ind w:left="9460"/>
        <w:spacing w:after="0"/>
        <w:rPr>
          <w:sz w:val="20"/>
          <w:szCs w:val="20"/>
          <w:color w:val="auto"/>
        </w:rPr>
      </w:pPr>
      <w:r>
        <w:rPr>
          <w:rFonts w:ascii="Arial" w:cs="Arial" w:eastAsia="Arial" w:hAnsi="Arial"/>
          <w:sz w:val="14"/>
          <w:szCs w:val="14"/>
          <w:color w:val="auto"/>
        </w:rPr>
        <w:t>For fiscal years ended May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726376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674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b w:val="1"/>
                <w:bCs w:val="1"/>
                <w:color w:val="auto"/>
              </w:rPr>
              <w:t>2010</w:t>
            </w:r>
          </w:p>
        </w:tc>
        <w:tc>
          <w:tcPr>
            <w:tcW w:w="8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13" w:type="dxa"/>
            <w:vAlign w:val="bottom"/>
          </w:tcPr>
          <w:p>
            <w:pPr>
              <w:jc w:val="right"/>
              <w:ind w:right="29"/>
              <w:spacing w:after="0"/>
              <w:rPr>
                <w:sz w:val="20"/>
                <w:szCs w:val="20"/>
                <w:color w:val="auto"/>
              </w:rPr>
            </w:pPr>
            <w:r>
              <w:rPr>
                <w:rFonts w:ascii="Arial" w:cs="Arial" w:eastAsia="Arial" w:hAnsi="Arial"/>
                <w:sz w:val="14"/>
                <w:szCs w:val="14"/>
                <w:b w:val="1"/>
                <w:bCs w:val="1"/>
                <w:color w:val="auto"/>
                <w:w w:val="89"/>
              </w:rPr>
              <w:t>2009</w:t>
            </w:r>
          </w:p>
        </w:tc>
        <w:tc>
          <w:tcPr>
            <w:tcW w:w="808"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95"/>
        </w:trPr>
        <w:tc>
          <w:tcPr>
            <w:tcW w:w="6740" w:type="dxa"/>
            <w:vAlign w:val="bottom"/>
            <w:tcBorders>
              <w:bottom w:val="single" w:sz="8" w:color="auto"/>
            </w:tcBorders>
          </w:tcPr>
          <w:p>
            <w:pPr>
              <w:spacing w:after="0"/>
              <w:rPr>
                <w:sz w:val="8"/>
                <w:szCs w:val="8"/>
                <w:color w:val="auto"/>
              </w:rPr>
            </w:pPr>
          </w:p>
        </w:tc>
        <w:tc>
          <w:tcPr>
            <w:tcW w:w="152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413" w:type="dxa"/>
            <w:vAlign w:val="bottom"/>
            <w:tcBorders>
              <w:bottom w:val="single" w:sz="8" w:color="auto"/>
            </w:tcBorders>
          </w:tcPr>
          <w:p>
            <w:pPr>
              <w:spacing w:after="0"/>
              <w:rPr>
                <w:sz w:val="8"/>
                <w:szCs w:val="8"/>
                <w:color w:val="auto"/>
              </w:rPr>
            </w:pPr>
          </w:p>
        </w:tc>
        <w:tc>
          <w:tcPr>
            <w:tcW w:w="808"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r>
      <w:tr>
        <w:trPr>
          <w:trHeight w:val="263"/>
        </w:trPr>
        <w:tc>
          <w:tcPr>
            <w:tcW w:w="6740" w:type="dxa"/>
            <w:vAlign w:val="bottom"/>
          </w:tcPr>
          <w:p>
            <w:pPr>
              <w:spacing w:after="0"/>
              <w:rPr>
                <w:sz w:val="22"/>
                <w:szCs w:val="22"/>
                <w:color w:val="auto"/>
              </w:rPr>
            </w:pPr>
          </w:p>
        </w:tc>
        <w:tc>
          <w:tcPr>
            <w:tcW w:w="1520" w:type="dxa"/>
            <w:vAlign w:val="bottom"/>
          </w:tcPr>
          <w:p>
            <w:pPr>
              <w:jc w:val="right"/>
              <w:ind w:right="279"/>
              <w:spacing w:after="0"/>
              <w:rPr>
                <w:sz w:val="20"/>
                <w:szCs w:val="20"/>
                <w:color w:val="auto"/>
              </w:rPr>
            </w:pPr>
            <w:r>
              <w:rPr>
                <w:rFonts w:ascii="Arial" w:cs="Arial" w:eastAsia="Arial" w:hAnsi="Arial"/>
                <w:sz w:val="14"/>
                <w:szCs w:val="14"/>
                <w:b w:val="1"/>
                <w:bCs w:val="1"/>
                <w:color w:val="auto"/>
              </w:rPr>
              <w:t>High</w:t>
            </w: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Low</w:t>
            </w: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High</w:t>
            </w:r>
          </w:p>
        </w:tc>
        <w:tc>
          <w:tcPr>
            <w:tcW w:w="413" w:type="dxa"/>
            <w:vAlign w:val="bottom"/>
          </w:tcPr>
          <w:p>
            <w:pPr>
              <w:spacing w:after="0"/>
              <w:rPr>
                <w:sz w:val="22"/>
                <w:szCs w:val="22"/>
                <w:color w:val="auto"/>
              </w:rPr>
            </w:pPr>
          </w:p>
        </w:tc>
        <w:tc>
          <w:tcPr>
            <w:tcW w:w="828" w:type="dxa"/>
            <w:vAlign w:val="bottom"/>
            <w:gridSpan w:val="2"/>
          </w:tcPr>
          <w:p>
            <w:pPr>
              <w:ind w:left="448"/>
              <w:spacing w:after="0"/>
              <w:rPr>
                <w:sz w:val="20"/>
                <w:szCs w:val="20"/>
                <w:color w:val="auto"/>
              </w:rPr>
            </w:pPr>
            <w:r>
              <w:rPr>
                <w:rFonts w:ascii="Arial" w:cs="Arial" w:eastAsia="Arial" w:hAnsi="Arial"/>
                <w:sz w:val="14"/>
                <w:szCs w:val="14"/>
                <w:b w:val="1"/>
                <w:bCs w:val="1"/>
                <w:color w:val="auto"/>
              </w:rPr>
              <w:t>Low</w:t>
            </w:r>
          </w:p>
        </w:tc>
      </w:tr>
      <w:tr>
        <w:trPr>
          <w:trHeight w:val="95"/>
        </w:trPr>
        <w:tc>
          <w:tcPr>
            <w:tcW w:w="6740" w:type="dxa"/>
            <w:vAlign w:val="bottom"/>
            <w:tcBorders>
              <w:bottom w:val="single" w:sz="8" w:color="auto"/>
            </w:tcBorders>
          </w:tcPr>
          <w:p>
            <w:pPr>
              <w:spacing w:after="0"/>
              <w:rPr>
                <w:sz w:val="8"/>
                <w:szCs w:val="8"/>
                <w:color w:val="auto"/>
              </w:rPr>
            </w:pPr>
          </w:p>
        </w:tc>
        <w:tc>
          <w:tcPr>
            <w:tcW w:w="152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413" w:type="dxa"/>
            <w:vAlign w:val="bottom"/>
            <w:tcBorders>
              <w:bottom w:val="single" w:sz="8" w:color="auto"/>
            </w:tcBorders>
          </w:tcPr>
          <w:p>
            <w:pPr>
              <w:spacing w:after="0"/>
              <w:rPr>
                <w:sz w:val="8"/>
                <w:szCs w:val="8"/>
                <w:color w:val="auto"/>
              </w:rPr>
            </w:pPr>
          </w:p>
        </w:tc>
        <w:tc>
          <w:tcPr>
            <w:tcW w:w="808"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r>
      <w:tr>
        <w:trPr>
          <w:trHeight w:val="102"/>
        </w:trPr>
        <w:tc>
          <w:tcPr>
            <w:tcW w:w="6740" w:type="dxa"/>
            <w:vAlign w:val="bottom"/>
          </w:tcPr>
          <w:p>
            <w:pPr>
              <w:spacing w:after="0"/>
              <w:rPr>
                <w:sz w:val="8"/>
                <w:szCs w:val="8"/>
                <w:color w:val="auto"/>
              </w:rPr>
            </w:pPr>
          </w:p>
        </w:tc>
        <w:tc>
          <w:tcPr>
            <w:tcW w:w="1520" w:type="dxa"/>
            <w:vAlign w:val="bottom"/>
          </w:tcPr>
          <w:p>
            <w:pPr>
              <w:spacing w:after="0"/>
              <w:rPr>
                <w:sz w:val="8"/>
                <w:szCs w:val="8"/>
                <w:color w:val="auto"/>
              </w:rPr>
            </w:pPr>
          </w:p>
        </w:tc>
        <w:tc>
          <w:tcPr>
            <w:tcW w:w="8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13" w:type="dxa"/>
            <w:vAlign w:val="bottom"/>
          </w:tcPr>
          <w:p>
            <w:pPr>
              <w:spacing w:after="0"/>
              <w:rPr>
                <w:sz w:val="8"/>
                <w:szCs w:val="8"/>
                <w:color w:val="auto"/>
              </w:rPr>
            </w:pPr>
          </w:p>
        </w:tc>
        <w:tc>
          <w:tcPr>
            <w:tcW w:w="808"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203"/>
        </w:trPr>
        <w:tc>
          <w:tcPr>
            <w:tcW w:w="674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First Quarter</w:t>
            </w:r>
          </w:p>
        </w:tc>
        <w:tc>
          <w:tcPr>
            <w:tcW w:w="1520" w:type="dxa"/>
            <w:vAlign w:val="bottom"/>
            <w:shd w:val="clear" w:color="auto" w:fill="E6E6E6"/>
          </w:tcPr>
          <w:p>
            <w:pPr>
              <w:jc w:val="right"/>
              <w:ind w:right="279"/>
              <w:spacing w:after="0" w:line="202" w:lineRule="exact"/>
              <w:rPr>
                <w:sz w:val="20"/>
                <w:szCs w:val="20"/>
                <w:color w:val="auto"/>
              </w:rPr>
            </w:pPr>
            <w:r>
              <w:rPr>
                <w:rFonts w:ascii="Arial" w:cs="Arial" w:eastAsia="Arial" w:hAnsi="Arial"/>
                <w:sz w:val="18"/>
                <w:szCs w:val="18"/>
                <w:color w:val="auto"/>
              </w:rPr>
              <w:t>$   25.46</w:t>
            </w:r>
          </w:p>
        </w:tc>
        <w:tc>
          <w:tcPr>
            <w:tcW w:w="84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   18.53</w:t>
            </w:r>
          </w:p>
        </w:tc>
        <w:tc>
          <w:tcPr>
            <w:tcW w:w="110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   31.35</w:t>
            </w:r>
          </w:p>
        </w:tc>
        <w:tc>
          <w:tcPr>
            <w:tcW w:w="1220" w:type="dxa"/>
            <w:vAlign w:val="bottom"/>
            <w:gridSpan w:val="2"/>
            <w:shd w:val="clear" w:color="auto" w:fill="E6E6E6"/>
          </w:tcPr>
          <w:p>
            <w:pPr>
              <w:jc w:val="right"/>
              <w:ind w:right="32"/>
              <w:spacing w:after="0" w:line="202" w:lineRule="exact"/>
              <w:rPr>
                <w:sz w:val="20"/>
                <w:szCs w:val="20"/>
                <w:color w:val="auto"/>
              </w:rPr>
            </w:pPr>
            <w:r>
              <w:rPr>
                <w:rFonts w:ascii="Arial" w:cs="Arial" w:eastAsia="Arial" w:hAnsi="Arial"/>
                <w:sz w:val="18"/>
                <w:szCs w:val="18"/>
                <w:color w:val="auto"/>
              </w:rPr>
              <w:t>$   25.03</w:t>
            </w:r>
          </w:p>
        </w:tc>
        <w:tc>
          <w:tcPr>
            <w:tcW w:w="20" w:type="dxa"/>
            <w:vAlign w:val="bottom"/>
          </w:tcPr>
          <w:p>
            <w:pPr>
              <w:spacing w:after="0"/>
              <w:rPr>
                <w:sz w:val="17"/>
                <w:szCs w:val="17"/>
                <w:color w:val="auto"/>
              </w:rPr>
            </w:pPr>
          </w:p>
        </w:tc>
      </w:tr>
      <w:tr>
        <w:trPr>
          <w:trHeight w:val="203"/>
        </w:trPr>
        <w:tc>
          <w:tcPr>
            <w:tcW w:w="6740" w:type="dxa"/>
            <w:vAlign w:val="bottom"/>
          </w:tcPr>
          <w:p>
            <w:pPr>
              <w:spacing w:after="0" w:line="202" w:lineRule="exact"/>
              <w:rPr>
                <w:sz w:val="20"/>
                <w:szCs w:val="20"/>
                <w:color w:val="auto"/>
              </w:rPr>
            </w:pPr>
            <w:r>
              <w:rPr>
                <w:rFonts w:ascii="Arial" w:cs="Arial" w:eastAsia="Arial" w:hAnsi="Arial"/>
                <w:sz w:val="18"/>
                <w:szCs w:val="18"/>
                <w:color w:val="auto"/>
              </w:rPr>
              <w:t>Second Quarter</w:t>
            </w:r>
          </w:p>
        </w:tc>
        <w:tc>
          <w:tcPr>
            <w:tcW w:w="1520" w:type="dxa"/>
            <w:vAlign w:val="bottom"/>
          </w:tcPr>
          <w:p>
            <w:pPr>
              <w:jc w:val="right"/>
              <w:ind w:right="279"/>
              <w:spacing w:after="0" w:line="202" w:lineRule="exact"/>
              <w:rPr>
                <w:sz w:val="20"/>
                <w:szCs w:val="20"/>
                <w:color w:val="auto"/>
              </w:rPr>
            </w:pPr>
            <w:r>
              <w:rPr>
                <w:rFonts w:ascii="Arial" w:cs="Arial" w:eastAsia="Arial" w:hAnsi="Arial"/>
                <w:sz w:val="18"/>
                <w:szCs w:val="18"/>
                <w:color w:val="auto"/>
              </w:rPr>
              <w:t>26.88</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23.03</w:t>
            </w: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30.00</w:t>
            </w:r>
          </w:p>
        </w:tc>
        <w:tc>
          <w:tcPr>
            <w:tcW w:w="1220" w:type="dxa"/>
            <w:vAlign w:val="bottom"/>
            <w:gridSpan w:val="2"/>
          </w:tcPr>
          <w:p>
            <w:pPr>
              <w:jc w:val="right"/>
              <w:ind w:right="32"/>
              <w:spacing w:after="0" w:line="202" w:lineRule="exact"/>
              <w:rPr>
                <w:sz w:val="20"/>
                <w:szCs w:val="20"/>
                <w:color w:val="auto"/>
              </w:rPr>
            </w:pPr>
            <w:r>
              <w:rPr>
                <w:rFonts w:ascii="Arial" w:cs="Arial" w:eastAsia="Arial" w:hAnsi="Arial"/>
                <w:sz w:val="18"/>
                <w:szCs w:val="18"/>
                <w:color w:val="auto"/>
              </w:rPr>
              <w:t>11.96</w:t>
            </w:r>
          </w:p>
        </w:tc>
        <w:tc>
          <w:tcPr>
            <w:tcW w:w="20" w:type="dxa"/>
            <w:vAlign w:val="bottom"/>
          </w:tcPr>
          <w:p>
            <w:pPr>
              <w:spacing w:after="0"/>
              <w:rPr>
                <w:sz w:val="17"/>
                <w:szCs w:val="17"/>
                <w:color w:val="auto"/>
              </w:rPr>
            </w:pPr>
          </w:p>
        </w:tc>
      </w:tr>
      <w:tr>
        <w:trPr>
          <w:trHeight w:val="203"/>
        </w:trPr>
        <w:tc>
          <w:tcPr>
            <w:tcW w:w="674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Third Quarter</w:t>
            </w:r>
          </w:p>
        </w:tc>
        <w:tc>
          <w:tcPr>
            <w:tcW w:w="1520" w:type="dxa"/>
            <w:vAlign w:val="bottom"/>
            <w:shd w:val="clear" w:color="auto" w:fill="E6E6E6"/>
          </w:tcPr>
          <w:p>
            <w:pPr>
              <w:jc w:val="right"/>
              <w:ind w:right="279"/>
              <w:spacing w:after="0" w:line="202" w:lineRule="exact"/>
              <w:rPr>
                <w:sz w:val="20"/>
                <w:szCs w:val="20"/>
                <w:color w:val="auto"/>
              </w:rPr>
            </w:pPr>
            <w:r>
              <w:rPr>
                <w:rFonts w:ascii="Arial" w:cs="Arial" w:eastAsia="Arial" w:hAnsi="Arial"/>
                <w:sz w:val="18"/>
                <w:szCs w:val="18"/>
                <w:color w:val="auto"/>
              </w:rPr>
              <w:t>31.38</w:t>
            </w:r>
          </w:p>
        </w:tc>
        <w:tc>
          <w:tcPr>
            <w:tcW w:w="84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24.81</w:t>
            </w:r>
          </w:p>
        </w:tc>
        <w:tc>
          <w:tcPr>
            <w:tcW w:w="110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17.36</w:t>
            </w:r>
          </w:p>
        </w:tc>
        <w:tc>
          <w:tcPr>
            <w:tcW w:w="1220" w:type="dxa"/>
            <w:vAlign w:val="bottom"/>
            <w:gridSpan w:val="2"/>
            <w:shd w:val="clear" w:color="auto" w:fill="E6E6E6"/>
          </w:tcPr>
          <w:p>
            <w:pPr>
              <w:jc w:val="right"/>
              <w:ind w:right="32"/>
              <w:spacing w:after="0" w:line="202" w:lineRule="exact"/>
              <w:rPr>
                <w:sz w:val="20"/>
                <w:szCs w:val="20"/>
                <w:color w:val="auto"/>
              </w:rPr>
            </w:pPr>
            <w:r>
              <w:rPr>
                <w:rFonts w:ascii="Arial" w:cs="Arial" w:eastAsia="Arial" w:hAnsi="Arial"/>
                <w:sz w:val="18"/>
                <w:szCs w:val="18"/>
                <w:color w:val="auto"/>
              </w:rPr>
              <w:t>10.60</w:t>
            </w:r>
          </w:p>
        </w:tc>
        <w:tc>
          <w:tcPr>
            <w:tcW w:w="20" w:type="dxa"/>
            <w:vAlign w:val="bottom"/>
          </w:tcPr>
          <w:p>
            <w:pPr>
              <w:spacing w:after="0"/>
              <w:rPr>
                <w:sz w:val="17"/>
                <w:szCs w:val="17"/>
                <w:color w:val="auto"/>
              </w:rPr>
            </w:pPr>
          </w:p>
        </w:tc>
      </w:tr>
      <w:tr>
        <w:trPr>
          <w:trHeight w:val="214"/>
        </w:trPr>
        <w:tc>
          <w:tcPr>
            <w:tcW w:w="6740" w:type="dxa"/>
            <w:vAlign w:val="bottom"/>
          </w:tcPr>
          <w:p>
            <w:pPr>
              <w:spacing w:after="0"/>
              <w:rPr>
                <w:sz w:val="20"/>
                <w:szCs w:val="20"/>
                <w:color w:val="auto"/>
              </w:rPr>
            </w:pPr>
            <w:r>
              <w:rPr>
                <w:rFonts w:ascii="Arial" w:cs="Arial" w:eastAsia="Arial" w:hAnsi="Arial"/>
                <w:sz w:val="18"/>
                <w:szCs w:val="18"/>
                <w:color w:val="auto"/>
              </w:rPr>
              <w:t>Fourth Quarter</w:t>
            </w:r>
          </w:p>
        </w:tc>
        <w:tc>
          <w:tcPr>
            <w:tcW w:w="1520" w:type="dxa"/>
            <w:vAlign w:val="bottom"/>
          </w:tcPr>
          <w:p>
            <w:pPr>
              <w:jc w:val="right"/>
              <w:ind w:right="279"/>
              <w:spacing w:after="0"/>
              <w:rPr>
                <w:sz w:val="20"/>
                <w:szCs w:val="20"/>
                <w:color w:val="auto"/>
              </w:rPr>
            </w:pPr>
            <w:r>
              <w:rPr>
                <w:rFonts w:ascii="Arial" w:cs="Arial" w:eastAsia="Arial" w:hAnsi="Arial"/>
                <w:sz w:val="18"/>
                <w:szCs w:val="18"/>
                <w:color w:val="auto"/>
              </w:rPr>
              <w:t>31.22</w:t>
            </w:r>
          </w:p>
        </w:tc>
        <w:tc>
          <w:tcPr>
            <w:tcW w:w="840" w:type="dxa"/>
            <w:vAlign w:val="bottom"/>
          </w:tcPr>
          <w:p>
            <w:pPr>
              <w:jc w:val="right"/>
              <w:spacing w:after="0"/>
              <w:rPr>
                <w:sz w:val="20"/>
                <w:szCs w:val="20"/>
                <w:color w:val="auto"/>
              </w:rPr>
            </w:pPr>
            <w:r>
              <w:rPr>
                <w:rFonts w:ascii="Arial" w:cs="Arial" w:eastAsia="Arial" w:hAnsi="Arial"/>
                <w:sz w:val="18"/>
                <w:szCs w:val="18"/>
                <w:color w:val="auto"/>
              </w:rPr>
              <w:t>25.17</w:t>
            </w:r>
          </w:p>
        </w:tc>
        <w:tc>
          <w:tcPr>
            <w:tcW w:w="1100" w:type="dxa"/>
            <w:vAlign w:val="bottom"/>
          </w:tcPr>
          <w:p>
            <w:pPr>
              <w:jc w:val="right"/>
              <w:spacing w:after="0"/>
              <w:rPr>
                <w:sz w:val="20"/>
                <w:szCs w:val="20"/>
                <w:color w:val="auto"/>
              </w:rPr>
            </w:pPr>
            <w:r>
              <w:rPr>
                <w:rFonts w:ascii="Arial" w:cs="Arial" w:eastAsia="Arial" w:hAnsi="Arial"/>
                <w:sz w:val="18"/>
                <w:szCs w:val="18"/>
                <w:color w:val="auto"/>
              </w:rPr>
              <w:t>20.34</w:t>
            </w:r>
          </w:p>
        </w:tc>
        <w:tc>
          <w:tcPr>
            <w:tcW w:w="1220" w:type="dxa"/>
            <w:vAlign w:val="bottom"/>
            <w:gridSpan w:val="2"/>
          </w:tcPr>
          <w:p>
            <w:pPr>
              <w:jc w:val="right"/>
              <w:ind w:right="32"/>
              <w:spacing w:after="0"/>
              <w:rPr>
                <w:sz w:val="20"/>
                <w:szCs w:val="20"/>
                <w:color w:val="auto"/>
              </w:rPr>
            </w:pPr>
            <w:r>
              <w:rPr>
                <w:rFonts w:ascii="Arial" w:cs="Arial" w:eastAsia="Arial" w:hAnsi="Arial"/>
                <w:sz w:val="18"/>
                <w:szCs w:val="18"/>
                <w:color w:val="auto"/>
              </w:rPr>
              <w:t>9.39</w:t>
            </w:r>
          </w:p>
        </w:tc>
        <w:tc>
          <w:tcPr>
            <w:tcW w:w="20" w:type="dxa"/>
            <w:vAlign w:val="bottom"/>
          </w:tcPr>
          <w:p>
            <w:pPr>
              <w:spacing w:after="0"/>
              <w:rPr>
                <w:sz w:val="18"/>
                <w:szCs w:val="18"/>
                <w:color w:val="auto"/>
              </w:rPr>
            </w:pPr>
          </w:p>
        </w:tc>
      </w:tr>
      <w:tr>
        <w:trPr>
          <w:trHeight w:val="107"/>
        </w:trPr>
        <w:tc>
          <w:tcPr>
            <w:tcW w:w="6740" w:type="dxa"/>
            <w:vAlign w:val="bottom"/>
            <w:tcBorders>
              <w:bottom w:val="single" w:sz="8" w:color="808080"/>
            </w:tcBorders>
          </w:tcPr>
          <w:p>
            <w:pPr>
              <w:spacing w:after="0"/>
              <w:rPr>
                <w:sz w:val="9"/>
                <w:szCs w:val="9"/>
                <w:color w:val="auto"/>
              </w:rPr>
            </w:pPr>
          </w:p>
        </w:tc>
        <w:tc>
          <w:tcPr>
            <w:tcW w:w="152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413" w:type="dxa"/>
            <w:vAlign w:val="bottom"/>
            <w:tcBorders>
              <w:bottom w:val="single" w:sz="8" w:color="808080"/>
            </w:tcBorders>
          </w:tcPr>
          <w:p>
            <w:pPr>
              <w:spacing w:after="0"/>
              <w:rPr>
                <w:sz w:val="9"/>
                <w:szCs w:val="9"/>
                <w:color w:val="auto"/>
              </w:rPr>
            </w:pPr>
          </w:p>
        </w:tc>
        <w:tc>
          <w:tcPr>
            <w:tcW w:w="808"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-14605</wp:posOffset>
            </wp:positionV>
            <wp:extent cx="1270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-14605</wp:posOffset>
            </wp:positionV>
            <wp:extent cx="1270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-14605</wp:posOffset>
            </wp:positionV>
            <wp:extent cx="1270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-14605</wp:posOffset>
            </wp:positionV>
            <wp:extent cx="1270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-14605</wp:posOffset>
            </wp:positionV>
            <wp:extent cx="1270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-14605</wp:posOffset>
            </wp:positionV>
            <wp:extent cx="1270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-14605</wp:posOffset>
            </wp:positionV>
            <wp:extent cx="1270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-14605</wp:posOffset>
            </wp:positionV>
            <wp:extent cx="1270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-14605</wp:posOffset>
            </wp:positionV>
            <wp:extent cx="1270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-14605</wp:posOffset>
            </wp:positionV>
            <wp:extent cx="1270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6683375</wp:posOffset>
            </wp:positionH>
            <wp:positionV relativeFrom="paragraph">
              <wp:posOffset>-14605</wp:posOffset>
            </wp:positionV>
            <wp:extent cx="1270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-14605</wp:posOffset>
            </wp:positionV>
            <wp:extent cx="1270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-14605</wp:posOffset>
            </wp:positionV>
            <wp:extent cx="1270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87" w:lineRule="exact"/>
        <w:rPr>
          <w:sz w:val="20"/>
          <w:szCs w:val="20"/>
          <w:color w:val="auto"/>
        </w:rPr>
      </w:pPr>
    </w:p>
    <w:p>
      <w:pPr>
        <w:jc w:val="both"/>
        <w:ind w:right="140"/>
        <w:spacing w:after="0" w:line="275" w:lineRule="auto"/>
        <w:rPr>
          <w:sz w:val="20"/>
          <w:szCs w:val="20"/>
          <w:color w:val="auto"/>
        </w:rPr>
      </w:pPr>
      <w:r>
        <w:rPr>
          <w:rFonts w:ascii="Arial" w:cs="Arial" w:eastAsia="Arial" w:hAnsi="Arial"/>
          <w:sz w:val="18"/>
          <w:szCs w:val="18"/>
          <w:b w:val="1"/>
          <w:bCs w:val="1"/>
          <w:color w:val="auto"/>
        </w:rPr>
        <w:t xml:space="preserve">Holders: </w:t>
      </w:r>
      <w:r>
        <w:rPr>
          <w:rFonts w:ascii="Arial" w:cs="Arial" w:eastAsia="Arial" w:hAnsi="Arial"/>
          <w:sz w:val="18"/>
          <w:szCs w:val="18"/>
          <w:color w:val="auto"/>
        </w:rPr>
        <w:t>The number of holders of Class A Stock and Common Stock as of June 30, 2010 were 3 and approximately 9,007, respectively. The number of holders</w:t>
      </w:r>
      <w:r>
        <w:rPr>
          <w:rFonts w:ascii="Arial" w:cs="Arial" w:eastAsia="Arial" w:hAnsi="Arial"/>
          <w:sz w:val="18"/>
          <w:szCs w:val="18"/>
          <w:b w:val="1"/>
          <w:bCs w:val="1"/>
          <w:color w:val="auto"/>
        </w:rPr>
        <w:t xml:space="preserve"> </w:t>
      </w:r>
      <w:r>
        <w:rPr>
          <w:rFonts w:ascii="Arial" w:cs="Arial" w:eastAsia="Arial" w:hAnsi="Arial"/>
          <w:sz w:val="18"/>
          <w:szCs w:val="18"/>
          <w:color w:val="auto"/>
        </w:rPr>
        <w:t>includes holders of record and an estimate of the number of persons holding in street name.</w:t>
      </w:r>
    </w:p>
    <w:p>
      <w:pPr>
        <w:spacing w:after="0" w:line="174"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b w:val="1"/>
          <w:bCs w:val="1"/>
          <w:color w:val="auto"/>
        </w:rPr>
        <w:t xml:space="preserve">Dividends: </w:t>
      </w:r>
      <w:r>
        <w:rPr>
          <w:rFonts w:ascii="Arial" w:cs="Arial" w:eastAsia="Arial" w:hAnsi="Arial"/>
          <w:sz w:val="18"/>
          <w:szCs w:val="18"/>
          <w:color w:val="auto"/>
        </w:rPr>
        <w:t>During the first quarter of fiscal 2009, the Company initiated a regular quarterly dividend in the amount of $0.075 per Class A and Common share,</w:t>
      </w:r>
      <w:r>
        <w:rPr>
          <w:rFonts w:ascii="Arial" w:cs="Arial" w:eastAsia="Arial" w:hAnsi="Arial"/>
          <w:sz w:val="18"/>
          <w:szCs w:val="18"/>
          <w:b w:val="1"/>
          <w:bCs w:val="1"/>
          <w:color w:val="auto"/>
        </w:rPr>
        <w:t xml:space="preserve"> </w:t>
      </w:r>
      <w:r>
        <w:rPr>
          <w:rFonts w:ascii="Arial" w:cs="Arial" w:eastAsia="Arial" w:hAnsi="Arial"/>
          <w:sz w:val="18"/>
          <w:szCs w:val="18"/>
          <w:color w:val="auto"/>
        </w:rPr>
        <w:t>for a total of $0.30 per share in respect of each of fiscal 2009 and fiscal 2010. In July 2010, the Board of Directors declared a cash dividend of $0.075 per Class A and Common share in respect of the first quarter of fiscal 2011. The dividend is payable on September 15, 2010 to shareholders of record on August 31, 2010. All dividends have been in compliance with the Company’s debt covenants.</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Share purchases: </w:t>
      </w:r>
      <w:r>
        <w:rPr>
          <w:rFonts w:ascii="Arial" w:cs="Arial" w:eastAsia="Arial" w:hAnsi="Arial"/>
          <w:sz w:val="16"/>
          <w:szCs w:val="16"/>
          <w:color w:val="auto"/>
        </w:rPr>
        <w:t>The following table provides information with respect to purchases of shares of Common Stock by the Corporation during the quarter ended</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May 31, 2010:</w:t>
      </w:r>
    </w:p>
    <w:p>
      <w:pPr>
        <w:spacing w:after="0" w:line="20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760" w:type="dxa"/>
            <w:vAlign w:val="bottom"/>
            <w:gridSpan w:val="7"/>
          </w:tcPr>
          <w:p>
            <w:pPr>
              <w:jc w:val="right"/>
              <w:ind w:right="120"/>
              <w:spacing w:after="0"/>
              <w:rPr>
                <w:sz w:val="20"/>
                <w:szCs w:val="20"/>
                <w:color w:val="auto"/>
              </w:rPr>
            </w:pPr>
            <w:r>
              <w:rPr>
                <w:rFonts w:ascii="Arial" w:cs="Arial" w:eastAsia="Arial" w:hAnsi="Arial"/>
                <w:sz w:val="14"/>
                <w:szCs w:val="14"/>
                <w:color w:val="auto"/>
                <w:w w:val="98"/>
              </w:rPr>
              <w:t>(Amounts in millions, except share and per share amounts)</w:t>
            </w:r>
          </w:p>
        </w:tc>
        <w:tc>
          <w:tcPr>
            <w:tcW w:w="0" w:type="dxa"/>
            <w:vAlign w:val="bottom"/>
          </w:tcPr>
          <w:p>
            <w:pPr>
              <w:spacing w:after="0"/>
              <w:rPr>
                <w:sz w:val="1"/>
                <w:szCs w:val="1"/>
                <w:color w:val="auto"/>
              </w:rPr>
            </w:pPr>
          </w:p>
        </w:tc>
      </w:tr>
      <w:tr>
        <w:trPr>
          <w:trHeight w:val="149"/>
        </w:trPr>
        <w:tc>
          <w:tcPr>
            <w:tcW w:w="65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80" w:type="dxa"/>
            <w:vAlign w:val="bottom"/>
          </w:tcPr>
          <w:p>
            <w:pPr>
              <w:jc w:val="center"/>
              <w:ind w:left="246"/>
              <w:spacing w:after="0" w:line="149" w:lineRule="exact"/>
              <w:rPr>
                <w:sz w:val="20"/>
                <w:szCs w:val="20"/>
                <w:color w:val="auto"/>
              </w:rPr>
            </w:pPr>
            <w:r>
              <w:rPr>
                <w:rFonts w:ascii="Arial" w:cs="Arial" w:eastAsia="Arial" w:hAnsi="Arial"/>
                <w:sz w:val="14"/>
                <w:szCs w:val="14"/>
                <w:b w:val="1"/>
                <w:bCs w:val="1"/>
                <w:color w:val="auto"/>
                <w:w w:val="90"/>
              </w:rPr>
              <w:t>Total number</w:t>
            </w:r>
          </w:p>
        </w:tc>
        <w:tc>
          <w:tcPr>
            <w:tcW w:w="320" w:type="dxa"/>
            <w:vAlign w:val="bottom"/>
          </w:tcPr>
          <w:p>
            <w:pPr>
              <w:spacing w:after="0"/>
              <w:rPr>
                <w:sz w:val="12"/>
                <w:szCs w:val="12"/>
                <w:color w:val="auto"/>
              </w:rPr>
            </w:pPr>
          </w:p>
        </w:tc>
        <w:tc>
          <w:tcPr>
            <w:tcW w:w="1020" w:type="dxa"/>
            <w:vAlign w:val="bottom"/>
            <w:gridSpan w:val="3"/>
            <w:vMerge w:val="restart"/>
          </w:tcPr>
          <w:p>
            <w:pPr>
              <w:jc w:val="center"/>
              <w:ind w:right="140"/>
              <w:spacing w:after="0"/>
              <w:rPr>
                <w:sz w:val="20"/>
                <w:szCs w:val="20"/>
                <w:color w:val="auto"/>
              </w:rPr>
            </w:pPr>
            <w:r>
              <w:rPr>
                <w:rFonts w:ascii="Arial" w:cs="Arial" w:eastAsia="Arial" w:hAnsi="Arial"/>
                <w:sz w:val="14"/>
                <w:szCs w:val="14"/>
                <w:b w:val="1"/>
                <w:bCs w:val="1"/>
                <w:color w:val="auto"/>
                <w:w w:val="88"/>
              </w:rPr>
              <w:t>Approximate</w:t>
            </w:r>
          </w:p>
        </w:tc>
        <w:tc>
          <w:tcPr>
            <w:tcW w:w="0" w:type="dxa"/>
            <w:vAlign w:val="bottom"/>
          </w:tcPr>
          <w:p>
            <w:pPr>
              <w:spacing w:after="0"/>
              <w:rPr>
                <w:sz w:val="1"/>
                <w:szCs w:val="1"/>
                <w:color w:val="auto"/>
              </w:rPr>
            </w:pPr>
          </w:p>
        </w:tc>
      </w:tr>
      <w:tr>
        <w:trPr>
          <w:trHeight w:val="134"/>
        </w:trPr>
        <w:tc>
          <w:tcPr>
            <w:tcW w:w="65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80" w:type="dxa"/>
            <w:vAlign w:val="bottom"/>
          </w:tcPr>
          <w:p>
            <w:pPr>
              <w:jc w:val="center"/>
              <w:ind w:left="246"/>
              <w:spacing w:after="0" w:line="135" w:lineRule="exact"/>
              <w:rPr>
                <w:sz w:val="20"/>
                <w:szCs w:val="20"/>
                <w:color w:val="auto"/>
              </w:rPr>
            </w:pPr>
            <w:r>
              <w:rPr>
                <w:rFonts w:ascii="Arial" w:cs="Arial" w:eastAsia="Arial" w:hAnsi="Arial"/>
                <w:sz w:val="14"/>
                <w:szCs w:val="14"/>
                <w:b w:val="1"/>
                <w:bCs w:val="1"/>
                <w:color w:val="auto"/>
                <w:w w:val="83"/>
              </w:rPr>
              <w:t>of shares</w:t>
            </w:r>
          </w:p>
        </w:tc>
        <w:tc>
          <w:tcPr>
            <w:tcW w:w="320" w:type="dxa"/>
            <w:vAlign w:val="bottom"/>
          </w:tcPr>
          <w:p>
            <w:pPr>
              <w:spacing w:after="0"/>
              <w:rPr>
                <w:sz w:val="11"/>
                <w:szCs w:val="11"/>
                <w:color w:val="auto"/>
              </w:rPr>
            </w:pPr>
          </w:p>
        </w:tc>
        <w:tc>
          <w:tcPr>
            <w:tcW w:w="102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65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80" w:type="dxa"/>
            <w:vAlign w:val="bottom"/>
          </w:tcPr>
          <w:p>
            <w:pPr>
              <w:jc w:val="center"/>
              <w:ind w:left="246"/>
              <w:spacing w:after="0" w:line="149" w:lineRule="exact"/>
              <w:rPr>
                <w:sz w:val="20"/>
                <w:szCs w:val="20"/>
                <w:color w:val="auto"/>
              </w:rPr>
            </w:pPr>
            <w:r>
              <w:rPr>
                <w:rFonts w:ascii="Arial" w:cs="Arial" w:eastAsia="Arial" w:hAnsi="Arial"/>
                <w:sz w:val="14"/>
                <w:szCs w:val="14"/>
                <w:b w:val="1"/>
                <w:bCs w:val="1"/>
                <w:color w:val="auto"/>
                <w:w w:val="84"/>
              </w:rPr>
              <w:t>purchased</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dollar value</w:t>
            </w:r>
          </w:p>
        </w:tc>
        <w:tc>
          <w:tcPr>
            <w:tcW w:w="0" w:type="dxa"/>
            <w:vAlign w:val="bottom"/>
          </w:tcPr>
          <w:p>
            <w:pPr>
              <w:spacing w:after="0"/>
              <w:rPr>
                <w:sz w:val="1"/>
                <w:szCs w:val="1"/>
                <w:color w:val="auto"/>
              </w:rPr>
            </w:pPr>
          </w:p>
        </w:tc>
      </w:tr>
      <w:tr>
        <w:trPr>
          <w:trHeight w:val="149"/>
        </w:trPr>
        <w:tc>
          <w:tcPr>
            <w:tcW w:w="65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80" w:type="dxa"/>
            <w:vAlign w:val="bottom"/>
          </w:tcPr>
          <w:p>
            <w:pPr>
              <w:jc w:val="center"/>
              <w:ind w:left="246"/>
              <w:spacing w:after="0" w:line="149" w:lineRule="exact"/>
              <w:rPr>
                <w:sz w:val="20"/>
                <w:szCs w:val="20"/>
                <w:color w:val="auto"/>
              </w:rPr>
            </w:pPr>
            <w:r>
              <w:rPr>
                <w:rFonts w:ascii="Arial" w:cs="Arial" w:eastAsia="Arial" w:hAnsi="Arial"/>
                <w:sz w:val="14"/>
                <w:szCs w:val="14"/>
                <w:b w:val="1"/>
                <w:bCs w:val="1"/>
                <w:color w:val="auto"/>
                <w:w w:val="87"/>
              </w:rPr>
              <w:t>as part</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(in millions)</w:t>
            </w:r>
          </w:p>
        </w:tc>
        <w:tc>
          <w:tcPr>
            <w:tcW w:w="0" w:type="dxa"/>
            <w:vAlign w:val="bottom"/>
          </w:tcPr>
          <w:p>
            <w:pPr>
              <w:spacing w:after="0"/>
              <w:rPr>
                <w:sz w:val="1"/>
                <w:szCs w:val="1"/>
                <w:color w:val="auto"/>
              </w:rPr>
            </w:pPr>
          </w:p>
        </w:tc>
      </w:tr>
      <w:tr>
        <w:trPr>
          <w:trHeight w:val="149"/>
        </w:trPr>
        <w:tc>
          <w:tcPr>
            <w:tcW w:w="6520" w:type="dxa"/>
            <w:vAlign w:val="bottom"/>
          </w:tcPr>
          <w:p>
            <w:pPr>
              <w:spacing w:after="0"/>
              <w:rPr>
                <w:sz w:val="12"/>
                <w:szCs w:val="12"/>
                <w:color w:val="auto"/>
              </w:rPr>
            </w:pPr>
          </w:p>
        </w:tc>
        <w:tc>
          <w:tcPr>
            <w:tcW w:w="1160" w:type="dxa"/>
            <w:vAlign w:val="bottom"/>
          </w:tcPr>
          <w:p>
            <w:pPr>
              <w:jc w:val="center"/>
              <w:ind w:left="262"/>
              <w:spacing w:after="0" w:line="149" w:lineRule="exact"/>
              <w:rPr>
                <w:sz w:val="20"/>
                <w:szCs w:val="20"/>
                <w:color w:val="auto"/>
              </w:rPr>
            </w:pPr>
            <w:r>
              <w:rPr>
                <w:rFonts w:ascii="Arial" w:cs="Arial" w:eastAsia="Arial" w:hAnsi="Arial"/>
                <w:sz w:val="14"/>
                <w:szCs w:val="14"/>
                <w:b w:val="1"/>
                <w:bCs w:val="1"/>
                <w:color w:val="auto"/>
                <w:w w:val="89"/>
              </w:rPr>
              <w:t>Total</w:t>
            </w:r>
          </w:p>
        </w:tc>
        <w:tc>
          <w:tcPr>
            <w:tcW w:w="480" w:type="dxa"/>
            <w:vAlign w:val="bottom"/>
          </w:tcPr>
          <w:p>
            <w:pPr>
              <w:spacing w:after="0"/>
              <w:rPr>
                <w:sz w:val="12"/>
                <w:szCs w:val="12"/>
                <w:color w:val="auto"/>
              </w:rPr>
            </w:pPr>
          </w:p>
        </w:tc>
        <w:tc>
          <w:tcPr>
            <w:tcW w:w="660" w:type="dxa"/>
            <w:vAlign w:val="bottom"/>
          </w:tcPr>
          <w:p>
            <w:pPr>
              <w:jc w:val="center"/>
              <w:ind w:right="42"/>
              <w:spacing w:after="0" w:line="149" w:lineRule="exact"/>
              <w:rPr>
                <w:sz w:val="20"/>
                <w:szCs w:val="20"/>
                <w:color w:val="auto"/>
              </w:rPr>
            </w:pPr>
            <w:r>
              <w:rPr>
                <w:rFonts w:ascii="Arial" w:cs="Arial" w:eastAsia="Arial" w:hAnsi="Arial"/>
                <w:sz w:val="14"/>
                <w:szCs w:val="14"/>
                <w:b w:val="1"/>
                <w:bCs w:val="1"/>
                <w:color w:val="auto"/>
                <w:w w:val="83"/>
              </w:rPr>
              <w:t>Average</w:t>
            </w:r>
          </w:p>
        </w:tc>
        <w:tc>
          <w:tcPr>
            <w:tcW w:w="1280" w:type="dxa"/>
            <w:vAlign w:val="bottom"/>
          </w:tcPr>
          <w:p>
            <w:pPr>
              <w:jc w:val="center"/>
              <w:ind w:left="246"/>
              <w:spacing w:after="0" w:line="149" w:lineRule="exact"/>
              <w:rPr>
                <w:sz w:val="20"/>
                <w:szCs w:val="20"/>
                <w:color w:val="auto"/>
              </w:rPr>
            </w:pPr>
            <w:r>
              <w:rPr>
                <w:rFonts w:ascii="Arial" w:cs="Arial" w:eastAsia="Arial" w:hAnsi="Arial"/>
                <w:sz w:val="14"/>
                <w:szCs w:val="14"/>
                <w:b w:val="1"/>
                <w:bCs w:val="1"/>
                <w:color w:val="auto"/>
                <w:w w:val="85"/>
              </w:rPr>
              <w:t>of publicly</w:t>
            </w:r>
          </w:p>
        </w:tc>
        <w:tc>
          <w:tcPr>
            <w:tcW w:w="320" w:type="dxa"/>
            <w:vAlign w:val="bottom"/>
          </w:tcPr>
          <w:p>
            <w:pPr>
              <w:spacing w:after="0"/>
              <w:rPr>
                <w:sz w:val="12"/>
                <w:szCs w:val="12"/>
                <w:color w:val="auto"/>
              </w:rPr>
            </w:pPr>
          </w:p>
        </w:tc>
        <w:tc>
          <w:tcPr>
            <w:tcW w:w="102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88"/>
              </w:rPr>
              <w:t>that may yet</w:t>
            </w:r>
          </w:p>
        </w:tc>
        <w:tc>
          <w:tcPr>
            <w:tcW w:w="0" w:type="dxa"/>
            <w:vAlign w:val="bottom"/>
          </w:tcPr>
          <w:p>
            <w:pPr>
              <w:spacing w:after="0"/>
              <w:rPr>
                <w:sz w:val="1"/>
                <w:szCs w:val="1"/>
                <w:color w:val="auto"/>
              </w:rPr>
            </w:pPr>
          </w:p>
        </w:tc>
      </w:tr>
      <w:tr>
        <w:trPr>
          <w:trHeight w:val="149"/>
        </w:trPr>
        <w:tc>
          <w:tcPr>
            <w:tcW w:w="6520" w:type="dxa"/>
            <w:vAlign w:val="bottom"/>
          </w:tcPr>
          <w:p>
            <w:pPr>
              <w:spacing w:after="0"/>
              <w:rPr>
                <w:sz w:val="12"/>
                <w:szCs w:val="12"/>
                <w:color w:val="auto"/>
              </w:rPr>
            </w:pPr>
          </w:p>
        </w:tc>
        <w:tc>
          <w:tcPr>
            <w:tcW w:w="1160" w:type="dxa"/>
            <w:vAlign w:val="bottom"/>
          </w:tcPr>
          <w:p>
            <w:pPr>
              <w:jc w:val="center"/>
              <w:ind w:left="282"/>
              <w:spacing w:after="0" w:line="149" w:lineRule="exact"/>
              <w:rPr>
                <w:sz w:val="20"/>
                <w:szCs w:val="20"/>
                <w:color w:val="auto"/>
              </w:rPr>
            </w:pPr>
            <w:r>
              <w:rPr>
                <w:rFonts w:ascii="Arial" w:cs="Arial" w:eastAsia="Arial" w:hAnsi="Arial"/>
                <w:sz w:val="14"/>
                <w:szCs w:val="14"/>
                <w:b w:val="1"/>
                <w:bCs w:val="1"/>
                <w:color w:val="auto"/>
                <w:w w:val="87"/>
              </w:rPr>
              <w:t>number of</w:t>
            </w:r>
          </w:p>
        </w:tc>
        <w:tc>
          <w:tcPr>
            <w:tcW w:w="480" w:type="dxa"/>
            <w:vAlign w:val="bottom"/>
          </w:tcPr>
          <w:p>
            <w:pPr>
              <w:spacing w:after="0"/>
              <w:rPr>
                <w:sz w:val="12"/>
                <w:szCs w:val="12"/>
                <w:color w:val="auto"/>
              </w:rPr>
            </w:pPr>
          </w:p>
        </w:tc>
        <w:tc>
          <w:tcPr>
            <w:tcW w:w="660" w:type="dxa"/>
            <w:vAlign w:val="bottom"/>
          </w:tcPr>
          <w:p>
            <w:pPr>
              <w:jc w:val="center"/>
              <w:ind w:right="42"/>
              <w:spacing w:after="0" w:line="149" w:lineRule="exact"/>
              <w:rPr>
                <w:sz w:val="20"/>
                <w:szCs w:val="20"/>
                <w:color w:val="auto"/>
              </w:rPr>
            </w:pPr>
            <w:r>
              <w:rPr>
                <w:rFonts w:ascii="Arial" w:cs="Arial" w:eastAsia="Arial" w:hAnsi="Arial"/>
                <w:sz w:val="14"/>
                <w:szCs w:val="14"/>
                <w:b w:val="1"/>
                <w:bCs w:val="1"/>
                <w:color w:val="auto"/>
                <w:w w:val="89"/>
              </w:rPr>
              <w:t>price</w:t>
            </w:r>
          </w:p>
        </w:tc>
        <w:tc>
          <w:tcPr>
            <w:tcW w:w="1280" w:type="dxa"/>
            <w:vAlign w:val="bottom"/>
          </w:tcPr>
          <w:p>
            <w:pPr>
              <w:jc w:val="center"/>
              <w:ind w:left="246"/>
              <w:spacing w:after="0" w:line="149" w:lineRule="exact"/>
              <w:rPr>
                <w:sz w:val="20"/>
                <w:szCs w:val="20"/>
                <w:color w:val="auto"/>
              </w:rPr>
            </w:pPr>
            <w:r>
              <w:rPr>
                <w:rFonts w:ascii="Arial" w:cs="Arial" w:eastAsia="Arial" w:hAnsi="Arial"/>
                <w:sz w:val="14"/>
                <w:szCs w:val="14"/>
                <w:b w:val="1"/>
                <w:bCs w:val="1"/>
                <w:color w:val="auto"/>
                <w:w w:val="85"/>
              </w:rPr>
              <w:t>announced</w:t>
            </w:r>
          </w:p>
        </w:tc>
        <w:tc>
          <w:tcPr>
            <w:tcW w:w="320" w:type="dxa"/>
            <w:vAlign w:val="bottom"/>
          </w:tcPr>
          <w:p>
            <w:pPr>
              <w:spacing w:after="0"/>
              <w:rPr>
                <w:sz w:val="12"/>
                <w:szCs w:val="12"/>
                <w:color w:val="auto"/>
              </w:rPr>
            </w:pPr>
          </w:p>
        </w:tc>
        <w:tc>
          <w:tcPr>
            <w:tcW w:w="102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83"/>
              </w:rPr>
              <w:t>be purchased</w:t>
            </w:r>
          </w:p>
        </w:tc>
        <w:tc>
          <w:tcPr>
            <w:tcW w:w="0" w:type="dxa"/>
            <w:vAlign w:val="bottom"/>
          </w:tcPr>
          <w:p>
            <w:pPr>
              <w:spacing w:after="0"/>
              <w:rPr>
                <w:sz w:val="1"/>
                <w:szCs w:val="1"/>
                <w:color w:val="auto"/>
              </w:rPr>
            </w:pPr>
          </w:p>
        </w:tc>
      </w:tr>
      <w:tr>
        <w:trPr>
          <w:trHeight w:val="149"/>
        </w:trPr>
        <w:tc>
          <w:tcPr>
            <w:tcW w:w="6520" w:type="dxa"/>
            <w:vAlign w:val="bottom"/>
          </w:tcPr>
          <w:p>
            <w:pPr>
              <w:spacing w:after="0"/>
              <w:rPr>
                <w:sz w:val="12"/>
                <w:szCs w:val="12"/>
                <w:color w:val="auto"/>
              </w:rPr>
            </w:pPr>
          </w:p>
        </w:tc>
        <w:tc>
          <w:tcPr>
            <w:tcW w:w="1160" w:type="dxa"/>
            <w:vAlign w:val="bottom"/>
          </w:tcPr>
          <w:p>
            <w:pPr>
              <w:jc w:val="center"/>
              <w:ind w:left="282"/>
              <w:spacing w:after="0" w:line="149" w:lineRule="exact"/>
              <w:rPr>
                <w:sz w:val="20"/>
                <w:szCs w:val="20"/>
                <w:color w:val="auto"/>
              </w:rPr>
            </w:pPr>
            <w:r>
              <w:rPr>
                <w:rFonts w:ascii="Arial" w:cs="Arial" w:eastAsia="Arial" w:hAnsi="Arial"/>
                <w:sz w:val="14"/>
                <w:szCs w:val="14"/>
                <w:b w:val="1"/>
                <w:bCs w:val="1"/>
                <w:color w:val="auto"/>
                <w:w w:val="79"/>
              </w:rPr>
              <w:t>shares</w:t>
            </w:r>
          </w:p>
        </w:tc>
        <w:tc>
          <w:tcPr>
            <w:tcW w:w="480" w:type="dxa"/>
            <w:vAlign w:val="bottom"/>
          </w:tcPr>
          <w:p>
            <w:pPr>
              <w:spacing w:after="0"/>
              <w:rPr>
                <w:sz w:val="12"/>
                <w:szCs w:val="12"/>
                <w:color w:val="auto"/>
              </w:rPr>
            </w:pPr>
          </w:p>
        </w:tc>
        <w:tc>
          <w:tcPr>
            <w:tcW w:w="660" w:type="dxa"/>
            <w:vAlign w:val="bottom"/>
          </w:tcPr>
          <w:p>
            <w:pPr>
              <w:jc w:val="center"/>
              <w:ind w:right="42"/>
              <w:spacing w:after="0" w:line="149" w:lineRule="exact"/>
              <w:rPr>
                <w:sz w:val="20"/>
                <w:szCs w:val="20"/>
                <w:color w:val="auto"/>
              </w:rPr>
            </w:pPr>
            <w:r>
              <w:rPr>
                <w:rFonts w:ascii="Arial" w:cs="Arial" w:eastAsia="Arial" w:hAnsi="Arial"/>
                <w:sz w:val="14"/>
                <w:szCs w:val="14"/>
                <w:b w:val="1"/>
                <w:bCs w:val="1"/>
                <w:color w:val="auto"/>
                <w:w w:val="90"/>
              </w:rPr>
              <w:t>paid</w:t>
            </w:r>
          </w:p>
        </w:tc>
        <w:tc>
          <w:tcPr>
            <w:tcW w:w="1280" w:type="dxa"/>
            <w:vAlign w:val="bottom"/>
          </w:tcPr>
          <w:p>
            <w:pPr>
              <w:jc w:val="center"/>
              <w:ind w:left="246"/>
              <w:spacing w:after="0" w:line="149" w:lineRule="exact"/>
              <w:rPr>
                <w:sz w:val="20"/>
                <w:szCs w:val="20"/>
                <w:color w:val="auto"/>
              </w:rPr>
            </w:pPr>
            <w:r>
              <w:rPr>
                <w:rFonts w:ascii="Arial" w:cs="Arial" w:eastAsia="Arial" w:hAnsi="Arial"/>
                <w:sz w:val="14"/>
                <w:szCs w:val="14"/>
                <w:b w:val="1"/>
                <w:bCs w:val="1"/>
                <w:color w:val="auto"/>
                <w:w w:val="87"/>
              </w:rPr>
              <w:t>plans</w:t>
            </w:r>
          </w:p>
        </w:tc>
        <w:tc>
          <w:tcPr>
            <w:tcW w:w="1340" w:type="dxa"/>
            <w:vAlign w:val="bottom"/>
            <w:gridSpan w:val="4"/>
          </w:tcPr>
          <w:p>
            <w:pPr>
              <w:jc w:val="right"/>
              <w:ind w:right="140"/>
              <w:spacing w:after="0" w:line="149" w:lineRule="exact"/>
              <w:rPr>
                <w:sz w:val="20"/>
                <w:szCs w:val="20"/>
                <w:color w:val="auto"/>
              </w:rPr>
            </w:pPr>
            <w:r>
              <w:rPr>
                <w:rFonts w:ascii="Arial" w:cs="Arial" w:eastAsia="Arial" w:hAnsi="Arial"/>
                <w:sz w:val="14"/>
                <w:szCs w:val="14"/>
                <w:b w:val="1"/>
                <w:bCs w:val="1"/>
                <w:color w:val="auto"/>
              </w:rPr>
              <w:t>under the plans</w:t>
            </w:r>
          </w:p>
        </w:tc>
        <w:tc>
          <w:tcPr>
            <w:tcW w:w="0" w:type="dxa"/>
            <w:vAlign w:val="bottom"/>
          </w:tcPr>
          <w:p>
            <w:pPr>
              <w:spacing w:after="0"/>
              <w:rPr>
                <w:sz w:val="1"/>
                <w:szCs w:val="1"/>
                <w:color w:val="auto"/>
              </w:rPr>
            </w:pPr>
          </w:p>
        </w:tc>
      </w:tr>
      <w:tr>
        <w:trPr>
          <w:trHeight w:val="284"/>
        </w:trPr>
        <w:tc>
          <w:tcPr>
            <w:tcW w:w="65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Period</w:t>
            </w:r>
          </w:p>
        </w:tc>
        <w:tc>
          <w:tcPr>
            <w:tcW w:w="1160" w:type="dxa"/>
            <w:vAlign w:val="bottom"/>
            <w:tcBorders>
              <w:bottom w:val="single" w:sz="8" w:color="auto"/>
            </w:tcBorders>
          </w:tcPr>
          <w:p>
            <w:pPr>
              <w:jc w:val="center"/>
              <w:ind w:left="282"/>
              <w:spacing w:after="0"/>
              <w:rPr>
                <w:sz w:val="20"/>
                <w:szCs w:val="20"/>
                <w:color w:val="auto"/>
              </w:rPr>
            </w:pPr>
            <w:r>
              <w:rPr>
                <w:rFonts w:ascii="Arial" w:cs="Arial" w:eastAsia="Arial" w:hAnsi="Arial"/>
                <w:sz w:val="14"/>
                <w:szCs w:val="14"/>
                <w:b w:val="1"/>
                <w:bCs w:val="1"/>
                <w:color w:val="auto"/>
                <w:w w:val="84"/>
              </w:rPr>
              <w:t>purchased</w:t>
            </w:r>
          </w:p>
        </w:tc>
        <w:tc>
          <w:tcPr>
            <w:tcW w:w="4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w w:val="85"/>
              </w:rPr>
              <w:t>per share</w:t>
            </w:r>
          </w:p>
        </w:tc>
        <w:tc>
          <w:tcPr>
            <w:tcW w:w="1280" w:type="dxa"/>
            <w:vAlign w:val="bottom"/>
            <w:tcBorders>
              <w:bottom w:val="single" w:sz="8" w:color="auto"/>
            </w:tcBorders>
          </w:tcPr>
          <w:p>
            <w:pPr>
              <w:jc w:val="center"/>
              <w:ind w:left="246"/>
              <w:spacing w:after="0"/>
              <w:rPr>
                <w:sz w:val="20"/>
                <w:szCs w:val="20"/>
                <w:color w:val="auto"/>
              </w:rPr>
            </w:pPr>
            <w:r>
              <w:rPr>
                <w:rFonts w:ascii="Arial" w:cs="Arial" w:eastAsia="Arial" w:hAnsi="Arial"/>
                <w:sz w:val="14"/>
                <w:szCs w:val="14"/>
                <w:b w:val="1"/>
                <w:bCs w:val="1"/>
                <w:color w:val="auto"/>
                <w:w w:val="87"/>
              </w:rPr>
              <w:t>or programs</w:t>
            </w:r>
          </w:p>
        </w:tc>
        <w:tc>
          <w:tcPr>
            <w:tcW w:w="3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gridSpan w:val="3"/>
          </w:tcPr>
          <w:p>
            <w:pPr>
              <w:jc w:val="center"/>
              <w:ind w:right="140"/>
              <w:spacing w:after="0"/>
              <w:rPr>
                <w:sz w:val="20"/>
                <w:szCs w:val="20"/>
                <w:color w:val="auto"/>
              </w:rPr>
            </w:pPr>
            <w:r>
              <w:rPr>
                <w:rFonts w:ascii="Arial" w:cs="Arial" w:eastAsia="Arial" w:hAnsi="Arial"/>
                <w:sz w:val="14"/>
                <w:szCs w:val="14"/>
                <w:b w:val="1"/>
                <w:bCs w:val="1"/>
                <w:color w:val="auto"/>
                <w:w w:val="83"/>
              </w:rPr>
              <w:t>or programs</w:t>
            </w:r>
            <w:r>
              <w:rPr>
                <w:rFonts w:ascii="Arial" w:cs="Arial" w:eastAsia="Arial" w:hAnsi="Arial"/>
                <w:sz w:val="22"/>
                <w:szCs w:val="22"/>
                <w:b w:val="1"/>
                <w:bCs w:val="1"/>
                <w:color w:val="auto"/>
                <w:w w:val="83"/>
                <w:vertAlign w:val="superscript"/>
              </w:rPr>
              <w:t>(1)</w:t>
            </w:r>
          </w:p>
        </w:tc>
        <w:tc>
          <w:tcPr>
            <w:tcW w:w="0" w:type="dxa"/>
            <w:vAlign w:val="bottom"/>
          </w:tcPr>
          <w:p>
            <w:pPr>
              <w:spacing w:after="0"/>
              <w:rPr>
                <w:sz w:val="1"/>
                <w:szCs w:val="1"/>
                <w:color w:val="auto"/>
              </w:rPr>
            </w:pPr>
          </w:p>
        </w:tc>
      </w:tr>
      <w:tr>
        <w:trPr>
          <w:trHeight w:val="102"/>
        </w:trPr>
        <w:tc>
          <w:tcPr>
            <w:tcW w:w="65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8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652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March 1, 2010 through March 31, 2010</w:t>
            </w:r>
          </w:p>
        </w:tc>
        <w:tc>
          <w:tcPr>
            <w:tcW w:w="1160" w:type="dxa"/>
            <w:vAlign w:val="bottom"/>
            <w:shd w:val="clear" w:color="auto" w:fill="E6E6E6"/>
          </w:tcPr>
          <w:p>
            <w:pPr>
              <w:jc w:val="right"/>
              <w:ind w:right="42"/>
              <w:spacing w:after="0" w:line="202" w:lineRule="exact"/>
              <w:rPr>
                <w:sz w:val="20"/>
                <w:szCs w:val="20"/>
                <w:color w:val="auto"/>
              </w:rPr>
            </w:pPr>
            <w:r>
              <w:rPr>
                <w:rFonts w:ascii="Arial" w:cs="Arial" w:eastAsia="Arial" w:hAnsi="Arial"/>
                <w:sz w:val="18"/>
                <w:szCs w:val="18"/>
                <w:color w:val="auto"/>
              </w:rPr>
              <w:t>111,422</w:t>
            </w:r>
          </w:p>
        </w:tc>
        <w:tc>
          <w:tcPr>
            <w:tcW w:w="48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w:t>
            </w:r>
          </w:p>
        </w:tc>
        <w:tc>
          <w:tcPr>
            <w:tcW w:w="66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29.11</w:t>
            </w:r>
          </w:p>
        </w:tc>
        <w:tc>
          <w:tcPr>
            <w:tcW w:w="1280" w:type="dxa"/>
            <w:vAlign w:val="bottom"/>
            <w:shd w:val="clear" w:color="auto" w:fill="E6E6E6"/>
          </w:tcPr>
          <w:p>
            <w:pPr>
              <w:jc w:val="right"/>
              <w:ind w:right="66"/>
              <w:spacing w:after="0" w:line="202" w:lineRule="exact"/>
              <w:rPr>
                <w:sz w:val="20"/>
                <w:szCs w:val="20"/>
                <w:color w:val="auto"/>
              </w:rPr>
            </w:pPr>
            <w:r>
              <w:rPr>
                <w:rFonts w:ascii="Arial" w:cs="Arial" w:eastAsia="Arial" w:hAnsi="Arial"/>
                <w:sz w:val="18"/>
                <w:szCs w:val="18"/>
                <w:color w:val="auto"/>
              </w:rPr>
              <w:t>111,422</w:t>
            </w:r>
          </w:p>
        </w:tc>
        <w:tc>
          <w:tcPr>
            <w:tcW w:w="400" w:type="dxa"/>
            <w:vAlign w:val="bottom"/>
            <w:gridSpan w:val="2"/>
            <w:shd w:val="clear" w:color="auto" w:fill="E6E6E6"/>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shd w:val="clear" w:color="auto" w:fill="E6E6E6"/>
          </w:tcPr>
          <w:p>
            <w:pPr>
              <w:jc w:val="right"/>
              <w:ind w:right="20"/>
              <w:spacing w:after="0" w:line="202" w:lineRule="exact"/>
              <w:rPr>
                <w:sz w:val="20"/>
                <w:szCs w:val="20"/>
                <w:color w:val="auto"/>
              </w:rPr>
            </w:pPr>
            <w:r>
              <w:rPr>
                <w:rFonts w:ascii="Arial" w:cs="Arial" w:eastAsia="Arial" w:hAnsi="Arial"/>
                <w:sz w:val="18"/>
                <w:szCs w:val="18"/>
                <w:color w:val="auto"/>
              </w:rPr>
              <w:t>16.3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20" w:type="dxa"/>
            <w:vAlign w:val="bottom"/>
          </w:tcPr>
          <w:p>
            <w:pPr>
              <w:spacing w:after="0" w:line="202" w:lineRule="exact"/>
              <w:rPr>
                <w:sz w:val="20"/>
                <w:szCs w:val="20"/>
                <w:color w:val="auto"/>
              </w:rPr>
            </w:pPr>
            <w:r>
              <w:rPr>
                <w:rFonts w:ascii="Arial" w:cs="Arial" w:eastAsia="Arial" w:hAnsi="Arial"/>
                <w:sz w:val="18"/>
                <w:szCs w:val="18"/>
                <w:color w:val="auto"/>
              </w:rPr>
              <w:t>April 1, 2010 through April 30, 2010</w:t>
            </w:r>
          </w:p>
        </w:tc>
        <w:tc>
          <w:tcPr>
            <w:tcW w:w="1160" w:type="dxa"/>
            <w:vAlign w:val="bottom"/>
          </w:tcPr>
          <w:p>
            <w:pPr>
              <w:jc w:val="right"/>
              <w:ind w:right="42"/>
              <w:spacing w:after="0" w:line="202" w:lineRule="exact"/>
              <w:rPr>
                <w:sz w:val="20"/>
                <w:szCs w:val="20"/>
                <w:color w:val="auto"/>
              </w:rPr>
            </w:pPr>
            <w:r>
              <w:rPr>
                <w:rFonts w:ascii="Arial" w:cs="Arial" w:eastAsia="Arial" w:hAnsi="Arial"/>
                <w:sz w:val="18"/>
                <w:szCs w:val="18"/>
                <w:color w:val="auto"/>
              </w:rPr>
              <w:t>54,545</w:t>
            </w: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27.16</w:t>
            </w:r>
          </w:p>
        </w:tc>
        <w:tc>
          <w:tcPr>
            <w:tcW w:w="1280" w:type="dxa"/>
            <w:vAlign w:val="bottom"/>
          </w:tcPr>
          <w:p>
            <w:pPr>
              <w:jc w:val="right"/>
              <w:ind w:right="66"/>
              <w:spacing w:after="0" w:line="202" w:lineRule="exact"/>
              <w:rPr>
                <w:sz w:val="20"/>
                <w:szCs w:val="20"/>
                <w:color w:val="auto"/>
              </w:rPr>
            </w:pPr>
            <w:r>
              <w:rPr>
                <w:rFonts w:ascii="Arial" w:cs="Arial" w:eastAsia="Arial" w:hAnsi="Arial"/>
                <w:sz w:val="18"/>
                <w:szCs w:val="18"/>
                <w:color w:val="auto"/>
              </w:rPr>
              <w:t>54,545</w:t>
            </w:r>
          </w:p>
        </w:tc>
        <w:tc>
          <w:tcPr>
            <w:tcW w:w="4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20"/>
              <w:spacing w:after="0" w:line="202" w:lineRule="exact"/>
              <w:rPr>
                <w:sz w:val="20"/>
                <w:szCs w:val="20"/>
                <w:color w:val="auto"/>
              </w:rPr>
            </w:pPr>
            <w:r>
              <w:rPr>
                <w:rFonts w:ascii="Arial" w:cs="Arial" w:eastAsia="Arial" w:hAnsi="Arial"/>
                <w:sz w:val="18"/>
                <w:szCs w:val="18"/>
                <w:color w:val="auto"/>
              </w:rPr>
              <w:t>14.8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2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May 1, 2010 through May 31, 2010</w:t>
            </w:r>
          </w:p>
        </w:tc>
        <w:tc>
          <w:tcPr>
            <w:tcW w:w="1160" w:type="dxa"/>
            <w:vAlign w:val="bottom"/>
            <w:shd w:val="clear" w:color="auto" w:fill="E6E6E6"/>
          </w:tcPr>
          <w:p>
            <w:pPr>
              <w:jc w:val="right"/>
              <w:ind w:right="42"/>
              <w:spacing w:after="0" w:line="202" w:lineRule="exact"/>
              <w:rPr>
                <w:sz w:val="20"/>
                <w:szCs w:val="20"/>
                <w:color w:val="auto"/>
              </w:rPr>
            </w:pPr>
            <w:r>
              <w:rPr>
                <w:rFonts w:ascii="Arial" w:cs="Arial" w:eastAsia="Arial" w:hAnsi="Arial"/>
                <w:sz w:val="18"/>
                <w:szCs w:val="18"/>
                <w:color w:val="auto"/>
              </w:rPr>
              <w:t>175,008</w:t>
            </w:r>
          </w:p>
        </w:tc>
        <w:tc>
          <w:tcPr>
            <w:tcW w:w="48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w:t>
            </w:r>
          </w:p>
        </w:tc>
        <w:tc>
          <w:tcPr>
            <w:tcW w:w="66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26.06</w:t>
            </w:r>
          </w:p>
        </w:tc>
        <w:tc>
          <w:tcPr>
            <w:tcW w:w="1280" w:type="dxa"/>
            <w:vAlign w:val="bottom"/>
            <w:shd w:val="clear" w:color="auto" w:fill="E6E6E6"/>
          </w:tcPr>
          <w:p>
            <w:pPr>
              <w:jc w:val="right"/>
              <w:ind w:right="66"/>
              <w:spacing w:after="0" w:line="202" w:lineRule="exact"/>
              <w:rPr>
                <w:sz w:val="20"/>
                <w:szCs w:val="20"/>
                <w:color w:val="auto"/>
              </w:rPr>
            </w:pPr>
            <w:r>
              <w:rPr>
                <w:rFonts w:ascii="Arial" w:cs="Arial" w:eastAsia="Arial" w:hAnsi="Arial"/>
                <w:sz w:val="18"/>
                <w:szCs w:val="18"/>
                <w:color w:val="auto"/>
              </w:rPr>
              <w:t>175,008</w:t>
            </w:r>
          </w:p>
        </w:tc>
        <w:tc>
          <w:tcPr>
            <w:tcW w:w="400" w:type="dxa"/>
            <w:vAlign w:val="bottom"/>
            <w:gridSpan w:val="2"/>
            <w:shd w:val="clear" w:color="auto" w:fill="E6E6E6"/>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shd w:val="clear" w:color="auto" w:fill="E6E6E6"/>
          </w:tcPr>
          <w:p>
            <w:pPr>
              <w:jc w:val="right"/>
              <w:ind w:right="20"/>
              <w:spacing w:after="0" w:line="202" w:lineRule="exact"/>
              <w:rPr>
                <w:sz w:val="20"/>
                <w:szCs w:val="20"/>
                <w:color w:val="auto"/>
              </w:rPr>
            </w:pPr>
            <w:r>
              <w:rPr>
                <w:rFonts w:ascii="Arial" w:cs="Arial" w:eastAsia="Arial" w:hAnsi="Arial"/>
                <w:sz w:val="18"/>
                <w:szCs w:val="18"/>
                <w:color w:val="auto"/>
              </w:rPr>
              <w:t>10.2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8"/>
        </w:trPr>
        <w:tc>
          <w:tcPr>
            <w:tcW w:w="652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6520" w:type="dxa"/>
            <w:vAlign w:val="bottom"/>
          </w:tcPr>
          <w:p>
            <w:pPr>
              <w:spacing w:after="0"/>
              <w:rPr>
                <w:sz w:val="20"/>
                <w:szCs w:val="20"/>
                <w:color w:val="auto"/>
              </w:rPr>
            </w:pPr>
            <w:r>
              <w:rPr>
                <w:rFonts w:ascii="Arial" w:cs="Arial" w:eastAsia="Arial" w:hAnsi="Arial"/>
                <w:sz w:val="18"/>
                <w:szCs w:val="18"/>
                <w:color w:val="auto"/>
              </w:rPr>
              <w:t>Total</w:t>
            </w:r>
          </w:p>
        </w:tc>
        <w:tc>
          <w:tcPr>
            <w:tcW w:w="1160" w:type="dxa"/>
            <w:vAlign w:val="bottom"/>
          </w:tcPr>
          <w:p>
            <w:pPr>
              <w:jc w:val="right"/>
              <w:ind w:right="42"/>
              <w:spacing w:after="0"/>
              <w:rPr>
                <w:sz w:val="20"/>
                <w:szCs w:val="20"/>
                <w:color w:val="auto"/>
              </w:rPr>
            </w:pPr>
            <w:r>
              <w:rPr>
                <w:rFonts w:ascii="Arial" w:cs="Arial" w:eastAsia="Arial" w:hAnsi="Arial"/>
                <w:sz w:val="18"/>
                <w:szCs w:val="18"/>
                <w:color w:val="auto"/>
              </w:rPr>
              <w:t>340,975</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27.23</w:t>
            </w:r>
          </w:p>
        </w:tc>
        <w:tc>
          <w:tcPr>
            <w:tcW w:w="1280" w:type="dxa"/>
            <w:vAlign w:val="bottom"/>
          </w:tcPr>
          <w:p>
            <w:pPr>
              <w:jc w:val="right"/>
              <w:ind w:right="66"/>
              <w:spacing w:after="0"/>
              <w:rPr>
                <w:sz w:val="20"/>
                <w:szCs w:val="20"/>
                <w:color w:val="auto"/>
              </w:rPr>
            </w:pPr>
            <w:r>
              <w:rPr>
                <w:rFonts w:ascii="Arial" w:cs="Arial" w:eastAsia="Arial" w:hAnsi="Arial"/>
                <w:sz w:val="18"/>
                <w:szCs w:val="18"/>
                <w:color w:val="auto"/>
              </w:rPr>
              <w:t>340,975</w:t>
            </w: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652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-297180</wp:posOffset>
            </wp:positionV>
            <wp:extent cx="1270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-297180</wp:posOffset>
            </wp:positionV>
            <wp:extent cx="1270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4359275</wp:posOffset>
            </wp:positionH>
            <wp:positionV relativeFrom="paragraph">
              <wp:posOffset>-297180</wp:posOffset>
            </wp:positionV>
            <wp:extent cx="1270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-297180</wp:posOffset>
            </wp:positionV>
            <wp:extent cx="1270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-297180</wp:posOffset>
            </wp:positionV>
            <wp:extent cx="1270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-297180</wp:posOffset>
            </wp:positionV>
            <wp:extent cx="1270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-297180</wp:posOffset>
            </wp:positionV>
            <wp:extent cx="1270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-297180</wp:posOffset>
            </wp:positionV>
            <wp:extent cx="1270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-297180</wp:posOffset>
            </wp:positionV>
            <wp:extent cx="1270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-297180</wp:posOffset>
            </wp:positionV>
            <wp:extent cx="1270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-297180</wp:posOffset>
            </wp:positionV>
            <wp:extent cx="1270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6606540</wp:posOffset>
            </wp:positionH>
            <wp:positionV relativeFrom="paragraph">
              <wp:posOffset>-297180</wp:posOffset>
            </wp:positionV>
            <wp:extent cx="1270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-297180</wp:posOffset>
            </wp:positionV>
            <wp:extent cx="1270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-297180</wp:posOffset>
            </wp:positionV>
            <wp:extent cx="1270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-297180</wp:posOffset>
            </wp:positionV>
            <wp:extent cx="1270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-14605</wp:posOffset>
            </wp:positionV>
            <wp:extent cx="1270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4359275</wp:posOffset>
            </wp:positionH>
            <wp:positionV relativeFrom="paragraph">
              <wp:posOffset>-14605</wp:posOffset>
            </wp:positionV>
            <wp:extent cx="1270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-14605</wp:posOffset>
            </wp:positionV>
            <wp:extent cx="1270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-14605</wp:posOffset>
            </wp:positionV>
            <wp:extent cx="1270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-14605</wp:posOffset>
            </wp:positionV>
            <wp:extent cx="1270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-14605</wp:posOffset>
            </wp:positionV>
            <wp:extent cx="1270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-14605</wp:posOffset>
            </wp:positionV>
            <wp:extent cx="1270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-14605</wp:posOffset>
            </wp:positionV>
            <wp:extent cx="1270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-14605</wp:posOffset>
            </wp:positionV>
            <wp:extent cx="1270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-14605</wp:posOffset>
            </wp:positionV>
            <wp:extent cx="1270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6606540</wp:posOffset>
            </wp:positionH>
            <wp:positionV relativeFrom="paragraph">
              <wp:posOffset>-14605</wp:posOffset>
            </wp:positionV>
            <wp:extent cx="1270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-14605</wp:posOffset>
            </wp:positionV>
            <wp:extent cx="1270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-14605</wp:posOffset>
            </wp:positionV>
            <wp:extent cx="1270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41" w:lineRule="exact"/>
        <w:rPr>
          <w:sz w:val="20"/>
          <w:szCs w:val="20"/>
          <w:color w:val="auto"/>
        </w:rPr>
      </w:pPr>
    </w:p>
    <w:p>
      <w:pPr>
        <w:ind w:left="460" w:right="320" w:hanging="452"/>
        <w:spacing w:after="0" w:line="300" w:lineRule="auto"/>
        <w:tabs>
          <w:tab w:leader="none" w:pos="460" w:val="left"/>
        </w:tabs>
        <w:numPr>
          <w:ilvl w:val="0"/>
          <w:numId w:val="3"/>
        </w:numPr>
        <w:rPr>
          <w:rFonts w:ascii="Arial" w:cs="Arial" w:eastAsia="Arial" w:hAnsi="Arial"/>
          <w:sz w:val="12"/>
          <w:szCs w:val="12"/>
          <w:color w:val="auto"/>
        </w:rPr>
      </w:pPr>
      <w:r>
        <w:rPr>
          <w:rFonts w:ascii="Arial" w:cs="Arial" w:eastAsia="Arial" w:hAnsi="Arial"/>
          <w:sz w:val="12"/>
          <w:szCs w:val="12"/>
          <w:color w:val="auto"/>
        </w:rPr>
        <w:t>On December 16, 2009, the Company announced that its Board of Directors had authorized a new program to purchase up to $20.0 million of Common Stock, from time to time as conditions allow, on the open market or through negotiated private transactions. As of May 31, 2010, approximately $10.2 million remained of the current authorization.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2663825</wp:posOffset>
            </wp:positionH>
            <wp:positionV relativeFrom="paragraph">
              <wp:posOffset>107315</wp:posOffset>
            </wp:positionV>
            <wp:extent cx="1929765" cy="23177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929765"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40"/>
          </w:cols>
          <w:pgMar w:left="240" w:top="747" w:right="21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63765" cy="8890"/>
                    </a:xfrm>
                    <a:prstGeom prst="rect">
                      <a:avLst/>
                    </a:prstGeom>
                    <a:noFill/>
                  </pic:spPr>
                </pic:pic>
              </a:graphicData>
            </a:graphic>
          </wp:anchor>
        </w:drawing>
        <w:t>Stock Price Performance Graph</w:t>
      </w:r>
    </w:p>
    <w:p>
      <w:pPr>
        <w:spacing w:after="0" w:line="231" w:lineRule="exact"/>
        <w:rPr>
          <w:sz w:val="20"/>
          <w:szCs w:val="20"/>
          <w:color w:val="auto"/>
        </w:rPr>
      </w:pPr>
    </w:p>
    <w:p>
      <w:pPr>
        <w:ind w:right="320"/>
        <w:spacing w:after="0" w:line="256" w:lineRule="auto"/>
        <w:rPr>
          <w:sz w:val="20"/>
          <w:szCs w:val="20"/>
          <w:color w:val="auto"/>
        </w:rPr>
      </w:pPr>
      <w:r>
        <w:rPr>
          <w:rFonts w:ascii="Arial" w:cs="Arial" w:eastAsia="Arial" w:hAnsi="Arial"/>
          <w:sz w:val="18"/>
          <w:szCs w:val="18"/>
          <w:color w:val="auto"/>
        </w:rPr>
        <w:t>The graph below matches the Corporation’s cumulative 5-year total shareholder return on common stock with the cumulative total returns of the NASDAQ Composite index and a customized peer group of three companies that includes: The McGraw-Hill Companies, Pearson PLC and John Wiley &amp; Sons Inc. The graph tracks the performance of a $100 investment in the Corporation’s Common Stock, in the peer group and in the index (with the reinvestment of all dividends) from June 1, 2005 to May 31, 2010.</w:t>
      </w:r>
    </w:p>
    <w:p>
      <w:pPr>
        <w:spacing w:after="0" w:line="20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Comparison of 5 Year Cumulative Total Return*</w:t>
      </w:r>
    </w:p>
    <w:p>
      <w:pPr>
        <w:spacing w:after="0" w:line="10"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Among Scholastic Corporation, The NASDAQ Composite Index</w:t>
      </w:r>
    </w:p>
    <w:p>
      <w:pPr>
        <w:jc w:val="center"/>
        <w:ind w:right="20"/>
        <w:spacing w:after="0"/>
        <w:rPr>
          <w:sz w:val="20"/>
          <w:szCs w:val="20"/>
          <w:color w:val="auto"/>
        </w:rPr>
      </w:pPr>
      <w:r>
        <w:rPr>
          <w:rFonts w:ascii="Arial" w:cs="Arial" w:eastAsia="Arial" w:hAnsi="Arial"/>
          <w:sz w:val="14"/>
          <w:szCs w:val="14"/>
          <w:color w:val="auto"/>
        </w:rPr>
        <w:t>And A Peer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1059815</wp:posOffset>
            </wp:positionH>
            <wp:positionV relativeFrom="paragraph">
              <wp:posOffset>129540</wp:posOffset>
            </wp:positionV>
            <wp:extent cx="5145405" cy="338772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145405" cy="3387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1500"/>
        <w:spacing w:after="0"/>
        <w:rPr>
          <w:sz w:val="20"/>
          <w:szCs w:val="20"/>
          <w:color w:val="auto"/>
        </w:rPr>
      </w:pPr>
      <w:r>
        <w:rPr>
          <w:rFonts w:ascii="Arial" w:cs="Arial" w:eastAsia="Arial" w:hAnsi="Arial"/>
          <w:sz w:val="18"/>
          <w:szCs w:val="18"/>
          <w:b w:val="1"/>
          <w:bCs w:val="1"/>
          <w:color w:val="auto"/>
        </w:rPr>
        <w:t>* $100 invested on 6/1/05 in stock or index-including reinvestment of dividends:</w:t>
      </w:r>
    </w:p>
    <w:p>
      <w:pPr>
        <w:spacing w:after="0" w:line="243" w:lineRule="exact"/>
        <w:rPr>
          <w:sz w:val="20"/>
          <w:szCs w:val="20"/>
          <w:color w:val="auto"/>
        </w:rPr>
      </w:pPr>
    </w:p>
    <w:p>
      <w:pPr>
        <w:jc w:val="right"/>
        <w:ind w:right="20"/>
        <w:spacing w:after="0"/>
        <w:rPr>
          <w:sz w:val="20"/>
          <w:szCs w:val="20"/>
          <w:color w:val="auto"/>
        </w:rPr>
      </w:pPr>
      <w:r>
        <w:rPr>
          <w:rFonts w:ascii="Arial" w:cs="Arial" w:eastAsia="Arial" w:hAnsi="Arial"/>
          <w:sz w:val="14"/>
          <w:szCs w:val="14"/>
          <w:color w:val="auto"/>
        </w:rPr>
        <w:t>Fiscal year ended May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726376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0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40" w:type="dxa"/>
            <w:vAlign w:val="bottom"/>
          </w:tcPr>
          <w:p>
            <w:pPr>
              <w:jc w:val="right"/>
              <w:ind w:right="17"/>
              <w:spacing w:after="0"/>
              <w:rPr>
                <w:sz w:val="20"/>
                <w:szCs w:val="20"/>
                <w:color w:val="auto"/>
              </w:rPr>
            </w:pPr>
            <w:r>
              <w:rPr>
                <w:rFonts w:ascii="Arial" w:cs="Arial" w:eastAsia="Arial" w:hAnsi="Arial"/>
                <w:sz w:val="14"/>
                <w:szCs w:val="14"/>
                <w:b w:val="1"/>
                <w:bCs w:val="1"/>
                <w:color w:val="auto"/>
              </w:rPr>
              <w:t>2005</w:t>
            </w:r>
          </w:p>
        </w:tc>
        <w:tc>
          <w:tcPr>
            <w:tcW w:w="420" w:type="dxa"/>
            <w:vAlign w:val="bottom"/>
          </w:tcPr>
          <w:p>
            <w:pPr>
              <w:spacing w:after="0"/>
              <w:rPr>
                <w:sz w:val="15"/>
                <w:szCs w:val="15"/>
                <w:color w:val="auto"/>
              </w:rPr>
            </w:pPr>
          </w:p>
        </w:tc>
        <w:tc>
          <w:tcPr>
            <w:tcW w:w="840" w:type="dxa"/>
            <w:vAlign w:val="bottom"/>
          </w:tcPr>
          <w:p>
            <w:pPr>
              <w:jc w:val="right"/>
              <w:ind w:right="17"/>
              <w:spacing w:after="0"/>
              <w:rPr>
                <w:sz w:val="20"/>
                <w:szCs w:val="20"/>
                <w:color w:val="auto"/>
              </w:rPr>
            </w:pPr>
            <w:r>
              <w:rPr>
                <w:rFonts w:ascii="Arial" w:cs="Arial" w:eastAsia="Arial" w:hAnsi="Arial"/>
                <w:sz w:val="14"/>
                <w:szCs w:val="14"/>
                <w:b w:val="1"/>
                <w:bCs w:val="1"/>
                <w:color w:val="auto"/>
              </w:rPr>
              <w:t>2006</w:t>
            </w:r>
          </w:p>
        </w:tc>
        <w:tc>
          <w:tcPr>
            <w:tcW w:w="420" w:type="dxa"/>
            <w:vAlign w:val="bottom"/>
          </w:tcPr>
          <w:p>
            <w:pPr>
              <w:spacing w:after="0"/>
              <w:rPr>
                <w:sz w:val="15"/>
                <w:szCs w:val="15"/>
                <w:color w:val="auto"/>
              </w:rPr>
            </w:pPr>
          </w:p>
        </w:tc>
        <w:tc>
          <w:tcPr>
            <w:tcW w:w="840" w:type="dxa"/>
            <w:vAlign w:val="bottom"/>
          </w:tcPr>
          <w:p>
            <w:pPr>
              <w:jc w:val="right"/>
              <w:ind w:right="17"/>
              <w:spacing w:after="0"/>
              <w:rPr>
                <w:sz w:val="20"/>
                <w:szCs w:val="20"/>
                <w:color w:val="auto"/>
              </w:rPr>
            </w:pPr>
            <w:r>
              <w:rPr>
                <w:rFonts w:ascii="Arial" w:cs="Arial" w:eastAsia="Arial" w:hAnsi="Arial"/>
                <w:sz w:val="14"/>
                <w:szCs w:val="14"/>
                <w:b w:val="1"/>
                <w:bCs w:val="1"/>
                <w:color w:val="auto"/>
              </w:rPr>
              <w:t>2007</w:t>
            </w:r>
          </w:p>
        </w:tc>
        <w:tc>
          <w:tcPr>
            <w:tcW w:w="400" w:type="dxa"/>
            <w:vAlign w:val="bottom"/>
          </w:tcPr>
          <w:p>
            <w:pPr>
              <w:spacing w:after="0"/>
              <w:rPr>
                <w:sz w:val="15"/>
                <w:szCs w:val="15"/>
                <w:color w:val="auto"/>
              </w:rPr>
            </w:pPr>
          </w:p>
        </w:tc>
        <w:tc>
          <w:tcPr>
            <w:tcW w:w="860" w:type="dxa"/>
            <w:vAlign w:val="bottom"/>
          </w:tcPr>
          <w:p>
            <w:pPr>
              <w:jc w:val="right"/>
              <w:ind w:right="37"/>
              <w:spacing w:after="0"/>
              <w:rPr>
                <w:sz w:val="20"/>
                <w:szCs w:val="20"/>
                <w:color w:val="auto"/>
              </w:rPr>
            </w:pPr>
            <w:r>
              <w:rPr>
                <w:rFonts w:ascii="Arial" w:cs="Arial" w:eastAsia="Arial" w:hAnsi="Arial"/>
                <w:sz w:val="14"/>
                <w:szCs w:val="14"/>
                <w:b w:val="1"/>
                <w:bCs w:val="1"/>
                <w:color w:val="auto"/>
              </w:rPr>
              <w:t>2008</w:t>
            </w:r>
          </w:p>
        </w:tc>
        <w:tc>
          <w:tcPr>
            <w:tcW w:w="460" w:type="dxa"/>
            <w:vAlign w:val="bottom"/>
          </w:tcPr>
          <w:p>
            <w:pPr>
              <w:spacing w:after="0"/>
              <w:rPr>
                <w:sz w:val="15"/>
                <w:szCs w:val="15"/>
                <w:color w:val="auto"/>
              </w:rPr>
            </w:pPr>
          </w:p>
        </w:tc>
        <w:tc>
          <w:tcPr>
            <w:tcW w:w="800" w:type="dxa"/>
            <w:vAlign w:val="bottom"/>
          </w:tcPr>
          <w:p>
            <w:pPr>
              <w:jc w:val="right"/>
              <w:ind w:right="17"/>
              <w:spacing w:after="0"/>
              <w:rPr>
                <w:sz w:val="20"/>
                <w:szCs w:val="20"/>
                <w:color w:val="auto"/>
              </w:rPr>
            </w:pPr>
            <w:r>
              <w:rPr>
                <w:rFonts w:ascii="Arial" w:cs="Arial" w:eastAsia="Arial" w:hAnsi="Arial"/>
                <w:sz w:val="14"/>
                <w:szCs w:val="14"/>
                <w:b w:val="1"/>
                <w:bCs w:val="1"/>
                <w:color w:val="auto"/>
              </w:rPr>
              <w:t>2009</w:t>
            </w:r>
          </w:p>
        </w:tc>
        <w:tc>
          <w:tcPr>
            <w:tcW w:w="420" w:type="dxa"/>
            <w:vAlign w:val="bottom"/>
          </w:tcPr>
          <w:p>
            <w:pPr>
              <w:spacing w:after="0"/>
              <w:rPr>
                <w:sz w:val="15"/>
                <w:szCs w:val="15"/>
                <w:color w:val="auto"/>
              </w:rPr>
            </w:pPr>
          </w:p>
        </w:tc>
        <w:tc>
          <w:tcPr>
            <w:tcW w:w="880" w:type="dxa"/>
            <w:vAlign w:val="bottom"/>
          </w:tcPr>
          <w:p>
            <w:pPr>
              <w:jc w:val="right"/>
              <w:ind w:right="37"/>
              <w:spacing w:after="0"/>
              <w:rPr>
                <w:sz w:val="20"/>
                <w:szCs w:val="20"/>
                <w:color w:val="auto"/>
              </w:rPr>
            </w:pPr>
            <w:r>
              <w:rPr>
                <w:rFonts w:ascii="Arial" w:cs="Arial" w:eastAsia="Arial" w:hAnsi="Arial"/>
                <w:sz w:val="14"/>
                <w:szCs w:val="14"/>
                <w:b w:val="1"/>
                <w:bCs w:val="1"/>
                <w:color w:val="auto"/>
              </w:rPr>
              <w:t>2010</w:t>
            </w:r>
          </w:p>
        </w:tc>
        <w:tc>
          <w:tcPr>
            <w:tcW w:w="20" w:type="dxa"/>
            <w:vAlign w:val="bottom"/>
          </w:tcPr>
          <w:p>
            <w:pPr>
              <w:spacing w:after="0"/>
              <w:rPr>
                <w:sz w:val="15"/>
                <w:szCs w:val="15"/>
                <w:color w:val="auto"/>
              </w:rPr>
            </w:pPr>
          </w:p>
        </w:tc>
      </w:tr>
      <w:tr>
        <w:trPr>
          <w:trHeight w:val="95"/>
        </w:trPr>
        <w:tc>
          <w:tcPr>
            <w:tcW w:w="3040" w:type="dxa"/>
            <w:vAlign w:val="bottom"/>
            <w:tcBorders>
              <w:bottom w:val="single" w:sz="8" w:color="auto"/>
            </w:tcBorders>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r>
      <w:tr>
        <w:trPr>
          <w:trHeight w:val="102"/>
        </w:trPr>
        <w:tc>
          <w:tcPr>
            <w:tcW w:w="30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420" w:type="dxa"/>
            <w:vAlign w:val="bottom"/>
          </w:tcPr>
          <w:p>
            <w:pPr>
              <w:spacing w:after="0"/>
              <w:rPr>
                <w:sz w:val="8"/>
                <w:szCs w:val="8"/>
                <w:color w:val="auto"/>
              </w:rPr>
            </w:pPr>
          </w:p>
        </w:tc>
        <w:tc>
          <w:tcPr>
            <w:tcW w:w="840" w:type="dxa"/>
            <w:vAlign w:val="bottom"/>
          </w:tcPr>
          <w:p>
            <w:pPr>
              <w:spacing w:after="0"/>
              <w:rPr>
                <w:sz w:val="8"/>
                <w:szCs w:val="8"/>
                <w:color w:val="auto"/>
              </w:rPr>
            </w:pPr>
          </w:p>
        </w:tc>
        <w:tc>
          <w:tcPr>
            <w:tcW w:w="42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0" w:type="dxa"/>
            <w:vAlign w:val="bottom"/>
          </w:tcPr>
          <w:p>
            <w:pPr>
              <w:spacing w:after="0"/>
              <w:rPr>
                <w:sz w:val="8"/>
                <w:szCs w:val="8"/>
                <w:color w:val="auto"/>
              </w:rPr>
            </w:pPr>
          </w:p>
        </w:tc>
        <w:tc>
          <w:tcPr>
            <w:tcW w:w="86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0" w:type="dxa"/>
            <w:vAlign w:val="bottom"/>
          </w:tcPr>
          <w:p>
            <w:pPr>
              <w:spacing w:after="0"/>
              <w:rPr>
                <w:sz w:val="8"/>
                <w:szCs w:val="8"/>
                <w:color w:val="auto"/>
              </w:rPr>
            </w:pPr>
          </w:p>
        </w:tc>
        <w:tc>
          <w:tcPr>
            <w:tcW w:w="42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203"/>
        </w:trPr>
        <w:tc>
          <w:tcPr>
            <w:tcW w:w="304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Scholastic Corporation</w:t>
            </w:r>
          </w:p>
        </w:tc>
        <w:tc>
          <w:tcPr>
            <w:tcW w:w="1200" w:type="dxa"/>
            <w:vAlign w:val="bottom"/>
            <w:shd w:val="clear" w:color="auto" w:fill="E6E6E6"/>
          </w:tcPr>
          <w:p>
            <w:pPr>
              <w:jc w:val="right"/>
              <w:ind w:right="112"/>
              <w:spacing w:after="0" w:line="202" w:lineRule="exact"/>
              <w:rPr>
                <w:sz w:val="20"/>
                <w:szCs w:val="20"/>
                <w:color w:val="auto"/>
              </w:rPr>
            </w:pPr>
            <w:r>
              <w:rPr>
                <w:rFonts w:ascii="Arial" w:cs="Arial" w:eastAsia="Arial" w:hAnsi="Arial"/>
                <w:sz w:val="18"/>
                <w:szCs w:val="18"/>
                <w:color w:val="auto"/>
              </w:rPr>
              <w:t>$</w:t>
            </w:r>
          </w:p>
        </w:tc>
        <w:tc>
          <w:tcPr>
            <w:tcW w:w="840" w:type="dxa"/>
            <w:vAlign w:val="bottom"/>
            <w:shd w:val="clear" w:color="auto" w:fill="E6E6E6"/>
          </w:tcPr>
          <w:p>
            <w:pPr>
              <w:jc w:val="right"/>
              <w:ind w:right="17"/>
              <w:spacing w:after="0" w:line="202" w:lineRule="exact"/>
              <w:rPr>
                <w:sz w:val="20"/>
                <w:szCs w:val="20"/>
                <w:color w:val="auto"/>
              </w:rPr>
            </w:pPr>
            <w:r>
              <w:rPr>
                <w:rFonts w:ascii="Arial" w:cs="Arial" w:eastAsia="Arial" w:hAnsi="Arial"/>
                <w:sz w:val="18"/>
                <w:szCs w:val="18"/>
                <w:color w:val="auto"/>
              </w:rPr>
              <w:t>100.00</w:t>
            </w:r>
          </w:p>
        </w:tc>
        <w:tc>
          <w:tcPr>
            <w:tcW w:w="420" w:type="dxa"/>
            <w:vAlign w:val="bottom"/>
            <w:shd w:val="clear" w:color="auto" w:fill="E6E6E6"/>
          </w:tcPr>
          <w:p>
            <w:pPr>
              <w:jc w:val="right"/>
              <w:ind w:right="112"/>
              <w:spacing w:after="0" w:line="202" w:lineRule="exact"/>
              <w:rPr>
                <w:sz w:val="20"/>
                <w:szCs w:val="20"/>
                <w:color w:val="auto"/>
              </w:rPr>
            </w:pPr>
            <w:r>
              <w:rPr>
                <w:rFonts w:ascii="Arial" w:cs="Arial" w:eastAsia="Arial" w:hAnsi="Arial"/>
                <w:sz w:val="18"/>
                <w:szCs w:val="18"/>
                <w:color w:val="auto"/>
              </w:rPr>
              <w:t>$</w:t>
            </w:r>
          </w:p>
        </w:tc>
        <w:tc>
          <w:tcPr>
            <w:tcW w:w="840" w:type="dxa"/>
            <w:vAlign w:val="bottom"/>
            <w:shd w:val="clear" w:color="auto" w:fill="E6E6E6"/>
          </w:tcPr>
          <w:p>
            <w:pPr>
              <w:jc w:val="right"/>
              <w:ind w:right="17"/>
              <w:spacing w:after="0" w:line="202" w:lineRule="exact"/>
              <w:rPr>
                <w:sz w:val="20"/>
                <w:szCs w:val="20"/>
                <w:color w:val="auto"/>
              </w:rPr>
            </w:pPr>
            <w:r>
              <w:rPr>
                <w:rFonts w:ascii="Arial" w:cs="Arial" w:eastAsia="Arial" w:hAnsi="Arial"/>
                <w:sz w:val="18"/>
                <w:szCs w:val="18"/>
                <w:color w:val="auto"/>
              </w:rPr>
              <w:t>70.15</w:t>
            </w:r>
          </w:p>
        </w:tc>
        <w:tc>
          <w:tcPr>
            <w:tcW w:w="420" w:type="dxa"/>
            <w:vAlign w:val="bottom"/>
            <w:shd w:val="clear" w:color="auto" w:fill="E6E6E6"/>
          </w:tcPr>
          <w:p>
            <w:pPr>
              <w:jc w:val="right"/>
              <w:ind w:right="132"/>
              <w:spacing w:after="0" w:line="202" w:lineRule="exact"/>
              <w:rPr>
                <w:sz w:val="20"/>
                <w:szCs w:val="20"/>
                <w:color w:val="auto"/>
              </w:rPr>
            </w:pPr>
            <w:r>
              <w:rPr>
                <w:rFonts w:ascii="Arial" w:cs="Arial" w:eastAsia="Arial" w:hAnsi="Arial"/>
                <w:sz w:val="18"/>
                <w:szCs w:val="18"/>
                <w:color w:val="auto"/>
              </w:rPr>
              <w:t>$</w:t>
            </w:r>
          </w:p>
        </w:tc>
        <w:tc>
          <w:tcPr>
            <w:tcW w:w="840" w:type="dxa"/>
            <w:vAlign w:val="bottom"/>
            <w:shd w:val="clear" w:color="auto" w:fill="E6E6E6"/>
          </w:tcPr>
          <w:p>
            <w:pPr>
              <w:jc w:val="right"/>
              <w:ind w:right="37"/>
              <w:spacing w:after="0" w:line="202" w:lineRule="exact"/>
              <w:rPr>
                <w:sz w:val="20"/>
                <w:szCs w:val="20"/>
                <w:color w:val="auto"/>
              </w:rPr>
            </w:pPr>
            <w:r>
              <w:rPr>
                <w:rFonts w:ascii="Arial" w:cs="Arial" w:eastAsia="Arial" w:hAnsi="Arial"/>
                <w:sz w:val="18"/>
                <w:szCs w:val="18"/>
                <w:color w:val="auto"/>
              </w:rPr>
              <w:t>84.67</w:t>
            </w:r>
          </w:p>
        </w:tc>
        <w:tc>
          <w:tcPr>
            <w:tcW w:w="400" w:type="dxa"/>
            <w:vAlign w:val="bottom"/>
            <w:shd w:val="clear" w:color="auto" w:fill="E6E6E6"/>
          </w:tcPr>
          <w:p>
            <w:pPr>
              <w:jc w:val="right"/>
              <w:ind w:right="112"/>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E6E6E6"/>
          </w:tcPr>
          <w:p>
            <w:pPr>
              <w:jc w:val="right"/>
              <w:ind w:right="37"/>
              <w:spacing w:after="0" w:line="202" w:lineRule="exact"/>
              <w:rPr>
                <w:sz w:val="20"/>
                <w:szCs w:val="20"/>
                <w:color w:val="auto"/>
              </w:rPr>
            </w:pPr>
            <w:r>
              <w:rPr>
                <w:rFonts w:ascii="Arial" w:cs="Arial" w:eastAsia="Arial" w:hAnsi="Arial"/>
                <w:sz w:val="18"/>
                <w:szCs w:val="18"/>
                <w:color w:val="auto"/>
              </w:rPr>
              <w:t>82.89</w:t>
            </w:r>
          </w:p>
        </w:tc>
        <w:tc>
          <w:tcPr>
            <w:tcW w:w="460" w:type="dxa"/>
            <w:vAlign w:val="bottom"/>
            <w:shd w:val="clear" w:color="auto" w:fill="E6E6E6"/>
          </w:tcPr>
          <w:p>
            <w:pPr>
              <w:jc w:val="right"/>
              <w:ind w:right="172"/>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E6E6E6"/>
          </w:tcPr>
          <w:p>
            <w:pPr>
              <w:jc w:val="right"/>
              <w:ind w:right="17"/>
              <w:spacing w:after="0" w:line="202" w:lineRule="exact"/>
              <w:rPr>
                <w:sz w:val="20"/>
                <w:szCs w:val="20"/>
                <w:color w:val="auto"/>
              </w:rPr>
            </w:pPr>
            <w:r>
              <w:rPr>
                <w:rFonts w:ascii="Arial" w:cs="Arial" w:eastAsia="Arial" w:hAnsi="Arial"/>
                <w:sz w:val="18"/>
                <w:szCs w:val="18"/>
                <w:color w:val="auto"/>
              </w:rPr>
              <w:t>53.15</w:t>
            </w:r>
          </w:p>
        </w:tc>
        <w:tc>
          <w:tcPr>
            <w:tcW w:w="420" w:type="dxa"/>
            <w:vAlign w:val="bottom"/>
            <w:shd w:val="clear" w:color="auto" w:fill="E6E6E6"/>
          </w:tcPr>
          <w:p>
            <w:pPr>
              <w:jc w:val="right"/>
              <w:ind w:right="132"/>
              <w:spacing w:after="0" w:line="202" w:lineRule="exact"/>
              <w:rPr>
                <w:sz w:val="20"/>
                <w:szCs w:val="20"/>
                <w:color w:val="auto"/>
              </w:rPr>
            </w:pPr>
            <w:r>
              <w:rPr>
                <w:rFonts w:ascii="Arial" w:cs="Arial" w:eastAsia="Arial" w:hAnsi="Arial"/>
                <w:sz w:val="18"/>
                <w:szCs w:val="18"/>
                <w:color w:val="auto"/>
              </w:rPr>
              <w:t>$</w:t>
            </w:r>
          </w:p>
        </w:tc>
        <w:tc>
          <w:tcPr>
            <w:tcW w:w="880" w:type="dxa"/>
            <w:vAlign w:val="bottom"/>
            <w:shd w:val="clear" w:color="auto" w:fill="E6E6E6"/>
          </w:tcPr>
          <w:p>
            <w:pPr>
              <w:jc w:val="right"/>
              <w:ind w:right="37"/>
              <w:spacing w:after="0" w:line="202" w:lineRule="exact"/>
              <w:rPr>
                <w:sz w:val="20"/>
                <w:szCs w:val="20"/>
                <w:color w:val="auto"/>
              </w:rPr>
            </w:pPr>
            <w:r>
              <w:rPr>
                <w:rFonts w:ascii="Arial" w:cs="Arial" w:eastAsia="Arial" w:hAnsi="Arial"/>
                <w:sz w:val="18"/>
                <w:szCs w:val="18"/>
                <w:color w:val="auto"/>
              </w:rPr>
              <w:t>71.70</w:t>
            </w:r>
          </w:p>
        </w:tc>
        <w:tc>
          <w:tcPr>
            <w:tcW w:w="20" w:type="dxa"/>
            <w:vAlign w:val="bottom"/>
          </w:tcPr>
          <w:p>
            <w:pPr>
              <w:spacing w:after="0"/>
              <w:rPr>
                <w:sz w:val="17"/>
                <w:szCs w:val="17"/>
                <w:color w:val="auto"/>
              </w:rPr>
            </w:pPr>
          </w:p>
        </w:tc>
      </w:tr>
      <w:tr>
        <w:trPr>
          <w:trHeight w:val="203"/>
        </w:trPr>
        <w:tc>
          <w:tcPr>
            <w:tcW w:w="3040" w:type="dxa"/>
            <w:vAlign w:val="bottom"/>
          </w:tcPr>
          <w:p>
            <w:pPr>
              <w:spacing w:after="0" w:line="202" w:lineRule="exact"/>
              <w:rPr>
                <w:sz w:val="20"/>
                <w:szCs w:val="20"/>
                <w:color w:val="auto"/>
              </w:rPr>
            </w:pPr>
            <w:r>
              <w:rPr>
                <w:rFonts w:ascii="Arial" w:cs="Arial" w:eastAsia="Arial" w:hAnsi="Arial"/>
                <w:sz w:val="18"/>
                <w:szCs w:val="18"/>
                <w:color w:val="auto"/>
              </w:rPr>
              <w:t>NASDAQ Composite Index</w:t>
            </w:r>
          </w:p>
        </w:tc>
        <w:tc>
          <w:tcPr>
            <w:tcW w:w="1200" w:type="dxa"/>
            <w:vAlign w:val="bottom"/>
          </w:tcPr>
          <w:p>
            <w:pPr>
              <w:spacing w:after="0"/>
              <w:rPr>
                <w:sz w:val="17"/>
                <w:szCs w:val="17"/>
                <w:color w:val="auto"/>
              </w:rPr>
            </w:pPr>
          </w:p>
        </w:tc>
        <w:tc>
          <w:tcPr>
            <w:tcW w:w="840" w:type="dxa"/>
            <w:vAlign w:val="bottom"/>
          </w:tcPr>
          <w:p>
            <w:pPr>
              <w:jc w:val="right"/>
              <w:ind w:right="17"/>
              <w:spacing w:after="0" w:line="202" w:lineRule="exact"/>
              <w:rPr>
                <w:sz w:val="20"/>
                <w:szCs w:val="20"/>
                <w:color w:val="auto"/>
              </w:rPr>
            </w:pPr>
            <w:r>
              <w:rPr>
                <w:rFonts w:ascii="Arial" w:cs="Arial" w:eastAsia="Arial" w:hAnsi="Arial"/>
                <w:sz w:val="18"/>
                <w:szCs w:val="18"/>
                <w:color w:val="auto"/>
              </w:rPr>
              <w:t>100.00</w:t>
            </w:r>
          </w:p>
        </w:tc>
        <w:tc>
          <w:tcPr>
            <w:tcW w:w="420" w:type="dxa"/>
            <w:vAlign w:val="bottom"/>
          </w:tcPr>
          <w:p>
            <w:pPr>
              <w:spacing w:after="0"/>
              <w:rPr>
                <w:sz w:val="17"/>
                <w:szCs w:val="17"/>
                <w:color w:val="auto"/>
              </w:rPr>
            </w:pPr>
          </w:p>
        </w:tc>
        <w:tc>
          <w:tcPr>
            <w:tcW w:w="840" w:type="dxa"/>
            <w:vAlign w:val="bottom"/>
          </w:tcPr>
          <w:p>
            <w:pPr>
              <w:jc w:val="right"/>
              <w:ind w:right="17"/>
              <w:spacing w:after="0" w:line="202" w:lineRule="exact"/>
              <w:rPr>
                <w:sz w:val="20"/>
                <w:szCs w:val="20"/>
                <w:color w:val="auto"/>
              </w:rPr>
            </w:pPr>
            <w:r>
              <w:rPr>
                <w:rFonts w:ascii="Arial" w:cs="Arial" w:eastAsia="Arial" w:hAnsi="Arial"/>
                <w:sz w:val="18"/>
                <w:szCs w:val="18"/>
                <w:color w:val="auto"/>
              </w:rPr>
              <w:t>106.38</w:t>
            </w:r>
          </w:p>
        </w:tc>
        <w:tc>
          <w:tcPr>
            <w:tcW w:w="420" w:type="dxa"/>
            <w:vAlign w:val="bottom"/>
          </w:tcPr>
          <w:p>
            <w:pPr>
              <w:spacing w:after="0"/>
              <w:rPr>
                <w:sz w:val="17"/>
                <w:szCs w:val="17"/>
                <w:color w:val="auto"/>
              </w:rPr>
            </w:pPr>
          </w:p>
        </w:tc>
        <w:tc>
          <w:tcPr>
            <w:tcW w:w="840" w:type="dxa"/>
            <w:vAlign w:val="bottom"/>
          </w:tcPr>
          <w:p>
            <w:pPr>
              <w:jc w:val="right"/>
              <w:ind w:right="17"/>
              <w:spacing w:after="0" w:line="202" w:lineRule="exact"/>
              <w:rPr>
                <w:sz w:val="20"/>
                <w:szCs w:val="20"/>
                <w:color w:val="auto"/>
              </w:rPr>
            </w:pPr>
            <w:r>
              <w:rPr>
                <w:rFonts w:ascii="Arial" w:cs="Arial" w:eastAsia="Arial" w:hAnsi="Arial"/>
                <w:sz w:val="18"/>
                <w:szCs w:val="18"/>
                <w:color w:val="auto"/>
              </w:rPr>
              <w:t>129.32</w:t>
            </w:r>
          </w:p>
        </w:tc>
        <w:tc>
          <w:tcPr>
            <w:tcW w:w="400" w:type="dxa"/>
            <w:vAlign w:val="bottom"/>
          </w:tcPr>
          <w:p>
            <w:pPr>
              <w:spacing w:after="0"/>
              <w:rPr>
                <w:sz w:val="17"/>
                <w:szCs w:val="17"/>
                <w:color w:val="auto"/>
              </w:rPr>
            </w:pPr>
          </w:p>
        </w:tc>
        <w:tc>
          <w:tcPr>
            <w:tcW w:w="860" w:type="dxa"/>
            <w:vAlign w:val="bottom"/>
          </w:tcPr>
          <w:p>
            <w:pPr>
              <w:jc w:val="right"/>
              <w:ind w:right="37"/>
              <w:spacing w:after="0" w:line="202" w:lineRule="exact"/>
              <w:rPr>
                <w:sz w:val="20"/>
                <w:szCs w:val="20"/>
                <w:color w:val="auto"/>
              </w:rPr>
            </w:pPr>
            <w:r>
              <w:rPr>
                <w:rFonts w:ascii="Arial" w:cs="Arial" w:eastAsia="Arial" w:hAnsi="Arial"/>
                <w:sz w:val="18"/>
                <w:szCs w:val="18"/>
                <w:color w:val="auto"/>
              </w:rPr>
              <w:t>124.24</w:t>
            </w:r>
          </w:p>
        </w:tc>
        <w:tc>
          <w:tcPr>
            <w:tcW w:w="460" w:type="dxa"/>
            <w:vAlign w:val="bottom"/>
          </w:tcPr>
          <w:p>
            <w:pPr>
              <w:spacing w:after="0"/>
              <w:rPr>
                <w:sz w:val="17"/>
                <w:szCs w:val="17"/>
                <w:color w:val="auto"/>
              </w:rPr>
            </w:pPr>
          </w:p>
        </w:tc>
        <w:tc>
          <w:tcPr>
            <w:tcW w:w="800" w:type="dxa"/>
            <w:vAlign w:val="bottom"/>
          </w:tcPr>
          <w:p>
            <w:pPr>
              <w:jc w:val="right"/>
              <w:ind w:right="17"/>
              <w:spacing w:after="0" w:line="202" w:lineRule="exact"/>
              <w:rPr>
                <w:sz w:val="20"/>
                <w:szCs w:val="20"/>
                <w:color w:val="auto"/>
              </w:rPr>
            </w:pPr>
            <w:r>
              <w:rPr>
                <w:rFonts w:ascii="Arial" w:cs="Arial" w:eastAsia="Arial" w:hAnsi="Arial"/>
                <w:sz w:val="18"/>
                <w:szCs w:val="18"/>
                <w:color w:val="auto"/>
              </w:rPr>
              <w:t>87.03</w:t>
            </w:r>
          </w:p>
        </w:tc>
        <w:tc>
          <w:tcPr>
            <w:tcW w:w="420" w:type="dxa"/>
            <w:vAlign w:val="bottom"/>
          </w:tcPr>
          <w:p>
            <w:pPr>
              <w:spacing w:after="0"/>
              <w:rPr>
                <w:sz w:val="17"/>
                <w:szCs w:val="17"/>
                <w:color w:val="auto"/>
              </w:rPr>
            </w:pPr>
          </w:p>
        </w:tc>
        <w:tc>
          <w:tcPr>
            <w:tcW w:w="880" w:type="dxa"/>
            <w:vAlign w:val="bottom"/>
          </w:tcPr>
          <w:p>
            <w:pPr>
              <w:jc w:val="right"/>
              <w:ind w:right="37"/>
              <w:spacing w:after="0" w:line="202" w:lineRule="exact"/>
              <w:rPr>
                <w:sz w:val="20"/>
                <w:szCs w:val="20"/>
                <w:color w:val="auto"/>
              </w:rPr>
            </w:pPr>
            <w:r>
              <w:rPr>
                <w:rFonts w:ascii="Arial" w:cs="Arial" w:eastAsia="Arial" w:hAnsi="Arial"/>
                <w:sz w:val="18"/>
                <w:szCs w:val="18"/>
                <w:color w:val="auto"/>
              </w:rPr>
              <w:t>111.18</w:t>
            </w:r>
          </w:p>
        </w:tc>
        <w:tc>
          <w:tcPr>
            <w:tcW w:w="20" w:type="dxa"/>
            <w:vAlign w:val="bottom"/>
          </w:tcPr>
          <w:p>
            <w:pPr>
              <w:spacing w:after="0"/>
              <w:rPr>
                <w:sz w:val="17"/>
                <w:szCs w:val="17"/>
                <w:color w:val="auto"/>
              </w:rPr>
            </w:pPr>
          </w:p>
        </w:tc>
      </w:tr>
      <w:tr>
        <w:trPr>
          <w:trHeight w:val="203"/>
        </w:trPr>
        <w:tc>
          <w:tcPr>
            <w:tcW w:w="304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Peer Group</w:t>
            </w:r>
          </w:p>
        </w:tc>
        <w:tc>
          <w:tcPr>
            <w:tcW w:w="1200" w:type="dxa"/>
            <w:vAlign w:val="bottom"/>
            <w:shd w:val="clear" w:color="auto" w:fill="E6E6E6"/>
          </w:tcPr>
          <w:p>
            <w:pPr>
              <w:spacing w:after="0"/>
              <w:rPr>
                <w:sz w:val="17"/>
                <w:szCs w:val="17"/>
                <w:color w:val="auto"/>
              </w:rPr>
            </w:pPr>
          </w:p>
        </w:tc>
        <w:tc>
          <w:tcPr>
            <w:tcW w:w="840" w:type="dxa"/>
            <w:vAlign w:val="bottom"/>
            <w:shd w:val="clear" w:color="auto" w:fill="E6E6E6"/>
          </w:tcPr>
          <w:p>
            <w:pPr>
              <w:jc w:val="right"/>
              <w:ind w:right="17"/>
              <w:spacing w:after="0" w:line="202" w:lineRule="exact"/>
              <w:rPr>
                <w:sz w:val="20"/>
                <w:szCs w:val="20"/>
                <w:color w:val="auto"/>
              </w:rPr>
            </w:pPr>
            <w:r>
              <w:rPr>
                <w:rFonts w:ascii="Arial" w:cs="Arial" w:eastAsia="Arial" w:hAnsi="Arial"/>
                <w:sz w:val="18"/>
                <w:szCs w:val="18"/>
                <w:color w:val="auto"/>
              </w:rPr>
              <w:t>100.00</w:t>
            </w:r>
          </w:p>
        </w:tc>
        <w:tc>
          <w:tcPr>
            <w:tcW w:w="420" w:type="dxa"/>
            <w:vAlign w:val="bottom"/>
            <w:shd w:val="clear" w:color="auto" w:fill="E6E6E6"/>
          </w:tcPr>
          <w:p>
            <w:pPr>
              <w:spacing w:after="0"/>
              <w:rPr>
                <w:sz w:val="17"/>
                <w:szCs w:val="17"/>
                <w:color w:val="auto"/>
              </w:rPr>
            </w:pPr>
          </w:p>
        </w:tc>
        <w:tc>
          <w:tcPr>
            <w:tcW w:w="840" w:type="dxa"/>
            <w:vAlign w:val="bottom"/>
            <w:shd w:val="clear" w:color="auto" w:fill="E6E6E6"/>
          </w:tcPr>
          <w:p>
            <w:pPr>
              <w:jc w:val="right"/>
              <w:ind w:right="17"/>
              <w:spacing w:after="0" w:line="202" w:lineRule="exact"/>
              <w:rPr>
                <w:sz w:val="20"/>
                <w:szCs w:val="20"/>
                <w:color w:val="auto"/>
              </w:rPr>
            </w:pPr>
            <w:r>
              <w:rPr>
                <w:rFonts w:ascii="Arial" w:cs="Arial" w:eastAsia="Arial" w:hAnsi="Arial"/>
                <w:sz w:val="18"/>
                <w:szCs w:val="18"/>
                <w:color w:val="auto"/>
              </w:rPr>
              <w:t>116.73</w:t>
            </w:r>
          </w:p>
        </w:tc>
        <w:tc>
          <w:tcPr>
            <w:tcW w:w="420" w:type="dxa"/>
            <w:vAlign w:val="bottom"/>
            <w:shd w:val="clear" w:color="auto" w:fill="E6E6E6"/>
          </w:tcPr>
          <w:p>
            <w:pPr>
              <w:spacing w:after="0"/>
              <w:rPr>
                <w:sz w:val="17"/>
                <w:szCs w:val="17"/>
                <w:color w:val="auto"/>
              </w:rPr>
            </w:pPr>
          </w:p>
        </w:tc>
        <w:tc>
          <w:tcPr>
            <w:tcW w:w="840" w:type="dxa"/>
            <w:vAlign w:val="bottom"/>
            <w:shd w:val="clear" w:color="auto" w:fill="E6E6E6"/>
          </w:tcPr>
          <w:p>
            <w:pPr>
              <w:jc w:val="right"/>
              <w:ind w:right="17"/>
              <w:spacing w:after="0" w:line="202" w:lineRule="exact"/>
              <w:rPr>
                <w:sz w:val="20"/>
                <w:szCs w:val="20"/>
                <w:color w:val="auto"/>
              </w:rPr>
            </w:pPr>
            <w:r>
              <w:rPr>
                <w:rFonts w:ascii="Arial" w:cs="Arial" w:eastAsia="Arial" w:hAnsi="Arial"/>
                <w:sz w:val="18"/>
                <w:szCs w:val="18"/>
                <w:color w:val="auto"/>
              </w:rPr>
              <w:t>159.70</w:t>
            </w:r>
          </w:p>
        </w:tc>
        <w:tc>
          <w:tcPr>
            <w:tcW w:w="400" w:type="dxa"/>
            <w:vAlign w:val="bottom"/>
            <w:shd w:val="clear" w:color="auto" w:fill="E6E6E6"/>
          </w:tcPr>
          <w:p>
            <w:pPr>
              <w:spacing w:after="0"/>
              <w:rPr>
                <w:sz w:val="17"/>
                <w:szCs w:val="17"/>
                <w:color w:val="auto"/>
              </w:rPr>
            </w:pPr>
          </w:p>
        </w:tc>
        <w:tc>
          <w:tcPr>
            <w:tcW w:w="860" w:type="dxa"/>
            <w:vAlign w:val="bottom"/>
            <w:shd w:val="clear" w:color="auto" w:fill="E6E6E6"/>
          </w:tcPr>
          <w:p>
            <w:pPr>
              <w:jc w:val="right"/>
              <w:ind w:right="37"/>
              <w:spacing w:after="0" w:line="202" w:lineRule="exact"/>
              <w:rPr>
                <w:sz w:val="20"/>
                <w:szCs w:val="20"/>
                <w:color w:val="auto"/>
              </w:rPr>
            </w:pPr>
            <w:r>
              <w:rPr>
                <w:rFonts w:ascii="Arial" w:cs="Arial" w:eastAsia="Arial" w:hAnsi="Arial"/>
                <w:sz w:val="18"/>
                <w:szCs w:val="18"/>
                <w:color w:val="auto"/>
              </w:rPr>
              <w:t>110.82</w:t>
            </w:r>
          </w:p>
        </w:tc>
        <w:tc>
          <w:tcPr>
            <w:tcW w:w="460" w:type="dxa"/>
            <w:vAlign w:val="bottom"/>
            <w:shd w:val="clear" w:color="auto" w:fill="E6E6E6"/>
          </w:tcPr>
          <w:p>
            <w:pPr>
              <w:spacing w:after="0"/>
              <w:rPr>
                <w:sz w:val="17"/>
                <w:szCs w:val="17"/>
                <w:color w:val="auto"/>
              </w:rPr>
            </w:pPr>
          </w:p>
        </w:tc>
        <w:tc>
          <w:tcPr>
            <w:tcW w:w="800" w:type="dxa"/>
            <w:vAlign w:val="bottom"/>
            <w:shd w:val="clear" w:color="auto" w:fill="E6E6E6"/>
          </w:tcPr>
          <w:p>
            <w:pPr>
              <w:jc w:val="right"/>
              <w:ind w:right="17"/>
              <w:spacing w:after="0" w:line="202" w:lineRule="exact"/>
              <w:rPr>
                <w:sz w:val="20"/>
                <w:szCs w:val="20"/>
                <w:color w:val="auto"/>
              </w:rPr>
            </w:pPr>
            <w:r>
              <w:rPr>
                <w:rFonts w:ascii="Arial" w:cs="Arial" w:eastAsia="Arial" w:hAnsi="Arial"/>
                <w:sz w:val="18"/>
                <w:szCs w:val="18"/>
                <w:color w:val="auto"/>
              </w:rPr>
              <w:t>86.19</w:t>
            </w:r>
          </w:p>
        </w:tc>
        <w:tc>
          <w:tcPr>
            <w:tcW w:w="420" w:type="dxa"/>
            <w:vAlign w:val="bottom"/>
            <w:shd w:val="clear" w:color="auto" w:fill="E6E6E6"/>
          </w:tcPr>
          <w:p>
            <w:pPr>
              <w:spacing w:after="0"/>
              <w:rPr>
                <w:sz w:val="17"/>
                <w:szCs w:val="17"/>
                <w:color w:val="auto"/>
              </w:rPr>
            </w:pPr>
          </w:p>
        </w:tc>
        <w:tc>
          <w:tcPr>
            <w:tcW w:w="880" w:type="dxa"/>
            <w:vAlign w:val="bottom"/>
            <w:shd w:val="clear" w:color="auto" w:fill="E6E6E6"/>
          </w:tcPr>
          <w:p>
            <w:pPr>
              <w:jc w:val="right"/>
              <w:ind w:right="37"/>
              <w:spacing w:after="0" w:line="202" w:lineRule="exact"/>
              <w:rPr>
                <w:sz w:val="20"/>
                <w:szCs w:val="20"/>
                <w:color w:val="auto"/>
              </w:rPr>
            </w:pPr>
            <w:r>
              <w:rPr>
                <w:rFonts w:ascii="Arial" w:cs="Arial" w:eastAsia="Arial" w:hAnsi="Arial"/>
                <w:sz w:val="18"/>
                <w:szCs w:val="18"/>
                <w:color w:val="auto"/>
              </w:rPr>
              <w:t>98.82</w:t>
            </w:r>
          </w:p>
        </w:tc>
        <w:tc>
          <w:tcPr>
            <w:tcW w:w="20" w:type="dxa"/>
            <w:vAlign w:val="bottom"/>
          </w:tcPr>
          <w:p>
            <w:pPr>
              <w:spacing w:after="0"/>
              <w:rPr>
                <w:sz w:val="17"/>
                <w:szCs w:val="17"/>
                <w:color w:val="auto"/>
              </w:rPr>
            </w:pPr>
          </w:p>
        </w:tc>
      </w:tr>
    </w:tbl>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The stock price performance included in this graph is not necessarily indicative of future stock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2663825</wp:posOffset>
            </wp:positionH>
            <wp:positionV relativeFrom="paragraph">
              <wp:posOffset>132080</wp:posOffset>
            </wp:positionV>
            <wp:extent cx="1929765" cy="23177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929765"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40"/>
          </w:cols>
          <w:pgMar w:left="240" w:top="760" w:right="21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63765" cy="8890"/>
                    </a:xfrm>
                    <a:prstGeom prst="rect">
                      <a:avLst/>
                    </a:prstGeom>
                    <a:noFill/>
                  </pic:spPr>
                </pic:pic>
              </a:graphicData>
            </a:graphic>
          </wp:anchor>
        </w:drawing>
        <w:t>Item 6 | Selected Financial Data</w:t>
      </w:r>
    </w:p>
    <w:p>
      <w:pPr>
        <w:spacing w:after="0" w:line="270" w:lineRule="exact"/>
        <w:rPr>
          <w:sz w:val="20"/>
          <w:szCs w:val="20"/>
          <w:color w:val="auto"/>
        </w:rPr>
      </w:pPr>
    </w:p>
    <w:p>
      <w:pPr>
        <w:jc w:val="right"/>
        <w:ind w:right="20"/>
        <w:spacing w:after="0"/>
        <w:rPr>
          <w:sz w:val="20"/>
          <w:szCs w:val="20"/>
          <w:color w:val="auto"/>
        </w:rPr>
      </w:pPr>
      <w:r>
        <w:rPr>
          <w:rFonts w:ascii="Arial" w:cs="Arial" w:eastAsia="Arial" w:hAnsi="Arial"/>
          <w:sz w:val="14"/>
          <w:szCs w:val="14"/>
          <w:color w:val="auto"/>
        </w:rPr>
        <w:t>(Amounts in millions, except per share data)</w:t>
      </w:r>
    </w:p>
    <w:p>
      <w:pPr>
        <w:spacing w:after="0" w:line="136" w:lineRule="exact"/>
        <w:rPr>
          <w:sz w:val="20"/>
          <w:szCs w:val="20"/>
          <w:color w:val="auto"/>
        </w:rPr>
      </w:pPr>
    </w:p>
    <w:p>
      <w:pPr>
        <w:jc w:val="right"/>
        <w:ind w:right="20"/>
        <w:spacing w:after="0"/>
        <w:rPr>
          <w:sz w:val="20"/>
          <w:szCs w:val="20"/>
          <w:color w:val="auto"/>
        </w:rPr>
      </w:pPr>
      <w:r>
        <w:rPr>
          <w:rFonts w:ascii="Arial" w:cs="Arial" w:eastAsia="Arial" w:hAnsi="Arial"/>
          <w:sz w:val="14"/>
          <w:szCs w:val="14"/>
          <w:color w:val="auto"/>
        </w:rPr>
        <w:t>For fiscal years ended May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726376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60" w:type="dxa"/>
            <w:vAlign w:val="bottom"/>
          </w:tcPr>
          <w:p>
            <w:pPr>
              <w:jc w:val="right"/>
              <w:ind w:right="253"/>
              <w:spacing w:after="0"/>
              <w:rPr>
                <w:sz w:val="20"/>
                <w:szCs w:val="20"/>
                <w:color w:val="auto"/>
              </w:rPr>
            </w:pPr>
            <w:r>
              <w:rPr>
                <w:rFonts w:ascii="Arial" w:cs="Arial" w:eastAsia="Arial" w:hAnsi="Arial"/>
                <w:sz w:val="14"/>
                <w:szCs w:val="14"/>
                <w:b w:val="1"/>
                <w:bCs w:val="1"/>
                <w:color w:val="auto"/>
              </w:rPr>
              <w:t>2010</w:t>
            </w:r>
          </w:p>
        </w:tc>
        <w:tc>
          <w:tcPr>
            <w:tcW w:w="130" w:type="dxa"/>
            <w:vAlign w:val="bottom"/>
          </w:tcPr>
          <w:p>
            <w:pPr>
              <w:spacing w:after="0"/>
              <w:rPr>
                <w:sz w:val="15"/>
                <w:szCs w:val="15"/>
                <w:color w:val="auto"/>
              </w:rPr>
            </w:pPr>
          </w:p>
        </w:tc>
        <w:tc>
          <w:tcPr>
            <w:tcW w:w="1230" w:type="dxa"/>
            <w:vAlign w:val="bottom"/>
          </w:tcPr>
          <w:p>
            <w:pPr>
              <w:jc w:val="right"/>
              <w:ind w:right="233"/>
              <w:spacing w:after="0"/>
              <w:rPr>
                <w:sz w:val="20"/>
                <w:szCs w:val="20"/>
                <w:color w:val="auto"/>
              </w:rPr>
            </w:pPr>
            <w:r>
              <w:rPr>
                <w:rFonts w:ascii="Arial" w:cs="Arial" w:eastAsia="Arial" w:hAnsi="Arial"/>
                <w:sz w:val="14"/>
                <w:szCs w:val="14"/>
                <w:b w:val="1"/>
                <w:bCs w:val="1"/>
                <w:color w:val="auto"/>
              </w:rPr>
              <w:t>2009</w:t>
            </w:r>
          </w:p>
        </w:tc>
        <w:tc>
          <w:tcPr>
            <w:tcW w:w="120" w:type="dxa"/>
            <w:vAlign w:val="bottom"/>
          </w:tcPr>
          <w:p>
            <w:pPr>
              <w:spacing w:after="0"/>
              <w:rPr>
                <w:sz w:val="15"/>
                <w:szCs w:val="15"/>
                <w:color w:val="auto"/>
              </w:rPr>
            </w:pPr>
          </w:p>
        </w:tc>
        <w:tc>
          <w:tcPr>
            <w:tcW w:w="1260" w:type="dxa"/>
            <w:vAlign w:val="bottom"/>
          </w:tcPr>
          <w:p>
            <w:pPr>
              <w:jc w:val="right"/>
              <w:ind w:right="253"/>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5"/>
                <w:szCs w:val="15"/>
                <w:color w:val="auto"/>
              </w:rPr>
            </w:pPr>
          </w:p>
        </w:tc>
        <w:tc>
          <w:tcPr>
            <w:tcW w:w="1140" w:type="dxa"/>
            <w:vAlign w:val="bottom"/>
          </w:tcPr>
          <w:p>
            <w:pPr>
              <w:jc w:val="right"/>
              <w:ind w:right="113"/>
              <w:spacing w:after="0"/>
              <w:rPr>
                <w:sz w:val="20"/>
                <w:szCs w:val="20"/>
                <w:color w:val="auto"/>
              </w:rPr>
            </w:pPr>
            <w:r>
              <w:rPr>
                <w:rFonts w:ascii="Arial" w:cs="Arial" w:eastAsia="Arial" w:hAnsi="Arial"/>
                <w:sz w:val="14"/>
                <w:szCs w:val="14"/>
                <w:b w:val="1"/>
                <w:bCs w:val="1"/>
                <w:color w:val="auto"/>
              </w:rPr>
              <w:t>2007</w:t>
            </w:r>
          </w:p>
        </w:tc>
        <w:tc>
          <w:tcPr>
            <w:tcW w:w="260" w:type="dxa"/>
            <w:vAlign w:val="bottom"/>
          </w:tcPr>
          <w:p>
            <w:pPr>
              <w:spacing w:after="0"/>
              <w:rPr>
                <w:sz w:val="15"/>
                <w:szCs w:val="15"/>
                <w:color w:val="auto"/>
              </w:rPr>
            </w:pPr>
          </w:p>
        </w:tc>
        <w:tc>
          <w:tcPr>
            <w:tcW w:w="1060" w:type="dxa"/>
            <w:vAlign w:val="bottom"/>
          </w:tcPr>
          <w:p>
            <w:pPr>
              <w:jc w:val="right"/>
              <w:ind w:right="33"/>
              <w:spacing w:after="0"/>
              <w:rPr>
                <w:sz w:val="20"/>
                <w:szCs w:val="20"/>
                <w:color w:val="auto"/>
              </w:rPr>
            </w:pPr>
            <w:r>
              <w:rPr>
                <w:rFonts w:ascii="Arial" w:cs="Arial" w:eastAsia="Arial" w:hAnsi="Arial"/>
                <w:sz w:val="14"/>
                <w:szCs w:val="14"/>
                <w:b w:val="1"/>
                <w:bCs w:val="1"/>
                <w:color w:val="auto"/>
              </w:rPr>
              <w:t>2006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44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260" w:type="dxa"/>
            <w:vAlign w:val="bottom"/>
            <w:tcBorders>
              <w:bottom w:val="single" w:sz="8" w:color="auto"/>
            </w:tcBorders>
          </w:tcPr>
          <w:p>
            <w:pPr>
              <w:spacing w:after="0"/>
              <w:rPr>
                <w:sz w:val="8"/>
                <w:szCs w:val="8"/>
                <w:color w:val="auto"/>
              </w:rPr>
            </w:pPr>
          </w:p>
        </w:tc>
        <w:tc>
          <w:tcPr>
            <w:tcW w:w="130" w:type="dxa"/>
            <w:vAlign w:val="bottom"/>
            <w:tcBorders>
              <w:bottom w:val="single" w:sz="8" w:color="auto"/>
            </w:tcBorders>
          </w:tcPr>
          <w:p>
            <w:pPr>
              <w:spacing w:after="0"/>
              <w:rPr>
                <w:sz w:val="8"/>
                <w:szCs w:val="8"/>
                <w:color w:val="auto"/>
              </w:rPr>
            </w:pPr>
          </w:p>
        </w:tc>
        <w:tc>
          <w:tcPr>
            <w:tcW w:w="123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2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4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30" w:type="dxa"/>
            <w:vAlign w:val="bottom"/>
          </w:tcPr>
          <w:p>
            <w:pPr>
              <w:spacing w:after="0"/>
              <w:rPr>
                <w:sz w:val="8"/>
                <w:szCs w:val="8"/>
                <w:color w:val="auto"/>
              </w:rPr>
            </w:pPr>
          </w:p>
        </w:tc>
        <w:tc>
          <w:tcPr>
            <w:tcW w:w="123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440" w:type="dxa"/>
            <w:vAlign w:val="bottom"/>
            <w:shd w:val="clear" w:color="auto" w:fill="E6E6E6"/>
          </w:tcPr>
          <w:p>
            <w:pPr>
              <w:spacing w:after="0" w:line="202" w:lineRule="exact"/>
              <w:rPr>
                <w:sz w:val="20"/>
                <w:szCs w:val="20"/>
                <w:color w:val="auto"/>
              </w:rPr>
            </w:pPr>
            <w:r>
              <w:rPr>
                <w:rFonts w:ascii="Arial" w:cs="Arial" w:eastAsia="Arial" w:hAnsi="Arial"/>
                <w:sz w:val="18"/>
                <w:szCs w:val="18"/>
                <w:b w:val="1"/>
                <w:bCs w:val="1"/>
                <w:color w:val="auto"/>
              </w:rPr>
              <w:t>Statement of Operations Data:</w:t>
            </w:r>
          </w:p>
        </w:tc>
        <w:tc>
          <w:tcPr>
            <w:tcW w:w="400" w:type="dxa"/>
            <w:vAlign w:val="bottom"/>
            <w:shd w:val="clear" w:color="auto" w:fill="E6E6E6"/>
          </w:tcPr>
          <w:p>
            <w:pPr>
              <w:spacing w:after="0"/>
              <w:rPr>
                <w:sz w:val="17"/>
                <w:szCs w:val="17"/>
                <w:color w:val="auto"/>
              </w:rPr>
            </w:pPr>
          </w:p>
        </w:tc>
        <w:tc>
          <w:tcPr>
            <w:tcW w:w="1260" w:type="dxa"/>
            <w:vAlign w:val="bottom"/>
            <w:shd w:val="clear" w:color="auto" w:fill="E6E6E6"/>
          </w:tcPr>
          <w:p>
            <w:pPr>
              <w:spacing w:after="0"/>
              <w:rPr>
                <w:sz w:val="17"/>
                <w:szCs w:val="17"/>
                <w:color w:val="auto"/>
              </w:rPr>
            </w:pPr>
          </w:p>
        </w:tc>
        <w:tc>
          <w:tcPr>
            <w:tcW w:w="130" w:type="dxa"/>
            <w:vAlign w:val="bottom"/>
            <w:shd w:val="clear" w:color="auto" w:fill="E6E6E6"/>
          </w:tcPr>
          <w:p>
            <w:pPr>
              <w:spacing w:after="0"/>
              <w:rPr>
                <w:sz w:val="17"/>
                <w:szCs w:val="17"/>
                <w:color w:val="auto"/>
              </w:rPr>
            </w:pPr>
          </w:p>
        </w:tc>
        <w:tc>
          <w:tcPr>
            <w:tcW w:w="1230" w:type="dxa"/>
            <w:vAlign w:val="bottom"/>
            <w:shd w:val="clear" w:color="auto" w:fill="E6E6E6"/>
          </w:tcPr>
          <w:p>
            <w:pPr>
              <w:spacing w:after="0"/>
              <w:rPr>
                <w:sz w:val="17"/>
                <w:szCs w:val="17"/>
                <w:color w:val="auto"/>
              </w:rPr>
            </w:pPr>
          </w:p>
        </w:tc>
        <w:tc>
          <w:tcPr>
            <w:tcW w:w="120" w:type="dxa"/>
            <w:vAlign w:val="bottom"/>
            <w:shd w:val="clear" w:color="auto" w:fill="E6E6E6"/>
          </w:tcPr>
          <w:p>
            <w:pPr>
              <w:spacing w:after="0"/>
              <w:rPr>
                <w:sz w:val="17"/>
                <w:szCs w:val="17"/>
                <w:color w:val="auto"/>
              </w:rPr>
            </w:pPr>
          </w:p>
        </w:tc>
        <w:tc>
          <w:tcPr>
            <w:tcW w:w="1260" w:type="dxa"/>
            <w:vAlign w:val="bottom"/>
            <w:shd w:val="clear" w:color="auto" w:fill="E6E6E6"/>
          </w:tcPr>
          <w:p>
            <w:pPr>
              <w:spacing w:after="0"/>
              <w:rPr>
                <w:sz w:val="17"/>
                <w:szCs w:val="17"/>
                <w:color w:val="auto"/>
              </w:rPr>
            </w:pPr>
          </w:p>
        </w:tc>
        <w:tc>
          <w:tcPr>
            <w:tcW w:w="100" w:type="dxa"/>
            <w:vAlign w:val="bottom"/>
            <w:shd w:val="clear" w:color="auto" w:fill="E6E6E6"/>
          </w:tcPr>
          <w:p>
            <w:pPr>
              <w:spacing w:after="0"/>
              <w:rPr>
                <w:sz w:val="17"/>
                <w:szCs w:val="17"/>
                <w:color w:val="auto"/>
              </w:rPr>
            </w:pPr>
          </w:p>
        </w:tc>
        <w:tc>
          <w:tcPr>
            <w:tcW w:w="1140" w:type="dxa"/>
            <w:vAlign w:val="bottom"/>
            <w:shd w:val="clear" w:color="auto" w:fill="E6E6E6"/>
          </w:tcPr>
          <w:p>
            <w:pPr>
              <w:spacing w:after="0"/>
              <w:rPr>
                <w:sz w:val="17"/>
                <w:szCs w:val="17"/>
                <w:color w:val="auto"/>
              </w:rPr>
            </w:pPr>
          </w:p>
        </w:tc>
        <w:tc>
          <w:tcPr>
            <w:tcW w:w="260" w:type="dxa"/>
            <w:vAlign w:val="bottom"/>
            <w:shd w:val="clear" w:color="auto" w:fill="E6E6E6"/>
          </w:tcPr>
          <w:p>
            <w:pPr>
              <w:spacing w:after="0"/>
              <w:rPr>
                <w:sz w:val="17"/>
                <w:szCs w:val="17"/>
                <w:color w:val="auto"/>
              </w:rPr>
            </w:pPr>
          </w:p>
        </w:tc>
        <w:tc>
          <w:tcPr>
            <w:tcW w:w="1060" w:type="dxa"/>
            <w:vAlign w:val="bottom"/>
            <w:shd w:val="clear" w:color="auto" w:fill="E6E6E6"/>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60" w:type="dxa"/>
            <w:vAlign w:val="bottom"/>
            <w:gridSpan w:val="2"/>
          </w:tcPr>
          <w:p>
            <w:pPr>
              <w:spacing w:after="0" w:line="202" w:lineRule="exact"/>
              <w:rPr>
                <w:sz w:val="20"/>
                <w:szCs w:val="20"/>
                <w:color w:val="auto"/>
              </w:rPr>
            </w:pPr>
            <w:r>
              <w:rPr>
                <w:rFonts w:ascii="Arial" w:cs="Arial" w:eastAsia="Arial" w:hAnsi="Arial"/>
                <w:sz w:val="18"/>
                <w:szCs w:val="18"/>
                <w:color w:val="auto"/>
              </w:rPr>
              <w:t>Total revenues</w:t>
            </w:r>
          </w:p>
        </w:tc>
        <w:tc>
          <w:tcPr>
            <w:tcW w:w="4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260" w:type="dxa"/>
            <w:vAlign w:val="bottom"/>
          </w:tcPr>
          <w:p>
            <w:pPr>
              <w:jc w:val="right"/>
              <w:ind w:right="253"/>
              <w:spacing w:after="0" w:line="202" w:lineRule="exact"/>
              <w:rPr>
                <w:sz w:val="20"/>
                <w:szCs w:val="20"/>
                <w:color w:val="auto"/>
              </w:rPr>
            </w:pPr>
            <w:r>
              <w:rPr>
                <w:rFonts w:ascii="Arial" w:cs="Arial" w:eastAsia="Arial" w:hAnsi="Arial"/>
                <w:sz w:val="18"/>
                <w:szCs w:val="18"/>
                <w:color w:val="auto"/>
              </w:rPr>
              <w:t>1,912.9</w:t>
            </w:r>
          </w:p>
        </w:tc>
        <w:tc>
          <w:tcPr>
            <w:tcW w:w="13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230" w:type="dxa"/>
            <w:vAlign w:val="bottom"/>
          </w:tcPr>
          <w:p>
            <w:pPr>
              <w:jc w:val="right"/>
              <w:ind w:right="233"/>
              <w:spacing w:after="0" w:line="202" w:lineRule="exact"/>
              <w:rPr>
                <w:sz w:val="20"/>
                <w:szCs w:val="20"/>
                <w:color w:val="auto"/>
              </w:rPr>
            </w:pPr>
            <w:r>
              <w:rPr>
                <w:rFonts w:ascii="Arial" w:cs="Arial" w:eastAsia="Arial" w:hAnsi="Arial"/>
                <w:sz w:val="18"/>
                <w:szCs w:val="18"/>
                <w:color w:val="auto"/>
              </w:rPr>
              <w:t>1,849.3</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260" w:type="dxa"/>
            <w:vAlign w:val="bottom"/>
          </w:tcPr>
          <w:p>
            <w:pPr>
              <w:jc w:val="right"/>
              <w:ind w:right="253"/>
              <w:spacing w:after="0" w:line="202" w:lineRule="exact"/>
              <w:rPr>
                <w:sz w:val="20"/>
                <w:szCs w:val="20"/>
                <w:color w:val="auto"/>
              </w:rPr>
            </w:pPr>
            <w:r>
              <w:rPr>
                <w:rFonts w:ascii="Arial" w:cs="Arial" w:eastAsia="Arial" w:hAnsi="Arial"/>
                <w:sz w:val="18"/>
                <w:szCs w:val="18"/>
                <w:color w:val="auto"/>
              </w:rPr>
              <w:t>2,159.1</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140" w:type="dxa"/>
            <w:vAlign w:val="bottom"/>
          </w:tcPr>
          <w:p>
            <w:pPr>
              <w:jc w:val="right"/>
              <w:ind w:right="113"/>
              <w:spacing w:after="0" w:line="202" w:lineRule="exact"/>
              <w:rPr>
                <w:sz w:val="20"/>
                <w:szCs w:val="20"/>
                <w:color w:val="auto"/>
              </w:rPr>
            </w:pPr>
            <w:r>
              <w:rPr>
                <w:rFonts w:ascii="Arial" w:cs="Arial" w:eastAsia="Arial" w:hAnsi="Arial"/>
                <w:sz w:val="18"/>
                <w:szCs w:val="18"/>
                <w:color w:val="auto"/>
              </w:rPr>
              <w:t>1,870.6</w:t>
            </w:r>
          </w:p>
        </w:tc>
        <w:tc>
          <w:tcPr>
            <w:tcW w:w="2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60" w:type="dxa"/>
            <w:vAlign w:val="bottom"/>
          </w:tcPr>
          <w:p>
            <w:pPr>
              <w:jc w:val="right"/>
              <w:ind w:right="33"/>
              <w:spacing w:after="0" w:line="202" w:lineRule="exact"/>
              <w:rPr>
                <w:sz w:val="20"/>
                <w:szCs w:val="20"/>
                <w:color w:val="auto"/>
              </w:rPr>
            </w:pPr>
            <w:r>
              <w:rPr>
                <w:rFonts w:ascii="Arial" w:cs="Arial" w:eastAsia="Arial" w:hAnsi="Arial"/>
                <w:sz w:val="18"/>
                <w:szCs w:val="18"/>
                <w:color w:val="auto"/>
              </w:rPr>
              <w:t>2,004.6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40" w:type="dxa"/>
            <w:vAlign w:val="bottom"/>
            <w:shd w:val="clear" w:color="auto" w:fill="E6E6E6"/>
          </w:tcPr>
          <w:p>
            <w:pPr>
              <w:spacing w:after="0" w:line="243" w:lineRule="exact"/>
              <w:rPr>
                <w:sz w:val="20"/>
                <w:szCs w:val="20"/>
                <w:color w:val="auto"/>
              </w:rPr>
            </w:pPr>
            <w:r>
              <w:rPr>
                <w:rFonts w:ascii="Arial" w:cs="Arial" w:eastAsia="Arial" w:hAnsi="Arial"/>
                <w:sz w:val="17"/>
                <w:szCs w:val="17"/>
                <w:color w:val="auto"/>
              </w:rPr>
              <w:t>Cost of goods sold</w:t>
            </w:r>
            <w:r>
              <w:rPr>
                <w:rFonts w:ascii="Arial" w:cs="Arial" w:eastAsia="Arial" w:hAnsi="Arial"/>
                <w:sz w:val="28"/>
                <w:szCs w:val="28"/>
                <w:color w:val="auto"/>
                <w:vertAlign w:val="superscript"/>
              </w:rPr>
              <w:t>(1)</w:t>
            </w:r>
          </w:p>
        </w:tc>
        <w:tc>
          <w:tcPr>
            <w:tcW w:w="400" w:type="dxa"/>
            <w:vAlign w:val="bottom"/>
            <w:shd w:val="clear" w:color="auto" w:fill="E6E6E6"/>
          </w:tcPr>
          <w:p>
            <w:pPr>
              <w:spacing w:after="0"/>
              <w:rPr>
                <w:sz w:val="21"/>
                <w:szCs w:val="21"/>
                <w:color w:val="auto"/>
              </w:rPr>
            </w:pPr>
          </w:p>
        </w:tc>
        <w:tc>
          <w:tcPr>
            <w:tcW w:w="1260" w:type="dxa"/>
            <w:vAlign w:val="bottom"/>
            <w:shd w:val="clear" w:color="auto" w:fill="E6E6E6"/>
          </w:tcPr>
          <w:p>
            <w:pPr>
              <w:jc w:val="right"/>
              <w:ind w:right="253"/>
              <w:spacing w:after="0"/>
              <w:rPr>
                <w:sz w:val="20"/>
                <w:szCs w:val="20"/>
                <w:color w:val="auto"/>
              </w:rPr>
            </w:pPr>
            <w:r>
              <w:rPr>
                <w:rFonts w:ascii="Arial" w:cs="Arial" w:eastAsia="Arial" w:hAnsi="Arial"/>
                <w:sz w:val="18"/>
                <w:szCs w:val="18"/>
                <w:color w:val="auto"/>
              </w:rPr>
              <w:t>859.8</w:t>
            </w:r>
          </w:p>
        </w:tc>
        <w:tc>
          <w:tcPr>
            <w:tcW w:w="130" w:type="dxa"/>
            <w:vAlign w:val="bottom"/>
            <w:shd w:val="clear" w:color="auto" w:fill="E6E6E6"/>
          </w:tcPr>
          <w:p>
            <w:pPr>
              <w:spacing w:after="0"/>
              <w:rPr>
                <w:sz w:val="21"/>
                <w:szCs w:val="21"/>
                <w:color w:val="auto"/>
              </w:rPr>
            </w:pPr>
          </w:p>
        </w:tc>
        <w:tc>
          <w:tcPr>
            <w:tcW w:w="1230" w:type="dxa"/>
            <w:vAlign w:val="bottom"/>
            <w:shd w:val="clear" w:color="auto" w:fill="E6E6E6"/>
          </w:tcPr>
          <w:p>
            <w:pPr>
              <w:jc w:val="right"/>
              <w:ind w:right="233"/>
              <w:spacing w:after="0"/>
              <w:rPr>
                <w:sz w:val="20"/>
                <w:szCs w:val="20"/>
                <w:color w:val="auto"/>
              </w:rPr>
            </w:pPr>
            <w:r>
              <w:rPr>
                <w:rFonts w:ascii="Arial" w:cs="Arial" w:eastAsia="Arial" w:hAnsi="Arial"/>
                <w:sz w:val="18"/>
                <w:szCs w:val="18"/>
                <w:color w:val="auto"/>
              </w:rPr>
              <w:t>881.7</w:t>
            </w:r>
          </w:p>
        </w:tc>
        <w:tc>
          <w:tcPr>
            <w:tcW w:w="120" w:type="dxa"/>
            <w:vAlign w:val="bottom"/>
            <w:shd w:val="clear" w:color="auto" w:fill="E6E6E6"/>
          </w:tcPr>
          <w:p>
            <w:pPr>
              <w:spacing w:after="0"/>
              <w:rPr>
                <w:sz w:val="21"/>
                <w:szCs w:val="21"/>
                <w:color w:val="auto"/>
              </w:rPr>
            </w:pPr>
          </w:p>
        </w:tc>
        <w:tc>
          <w:tcPr>
            <w:tcW w:w="1260" w:type="dxa"/>
            <w:vAlign w:val="bottom"/>
            <w:shd w:val="clear" w:color="auto" w:fill="E6E6E6"/>
          </w:tcPr>
          <w:p>
            <w:pPr>
              <w:jc w:val="right"/>
              <w:ind w:right="253"/>
              <w:spacing w:after="0"/>
              <w:rPr>
                <w:sz w:val="20"/>
                <w:szCs w:val="20"/>
                <w:color w:val="auto"/>
              </w:rPr>
            </w:pPr>
            <w:r>
              <w:rPr>
                <w:rFonts w:ascii="Arial" w:cs="Arial" w:eastAsia="Arial" w:hAnsi="Arial"/>
                <w:sz w:val="18"/>
                <w:szCs w:val="18"/>
                <w:color w:val="auto"/>
              </w:rPr>
              <w:t>1,042.3</w:t>
            </w:r>
          </w:p>
        </w:tc>
        <w:tc>
          <w:tcPr>
            <w:tcW w:w="100" w:type="dxa"/>
            <w:vAlign w:val="bottom"/>
            <w:shd w:val="clear" w:color="auto" w:fill="E6E6E6"/>
          </w:tcPr>
          <w:p>
            <w:pPr>
              <w:spacing w:after="0"/>
              <w:rPr>
                <w:sz w:val="21"/>
                <w:szCs w:val="21"/>
                <w:color w:val="auto"/>
              </w:rPr>
            </w:pPr>
          </w:p>
        </w:tc>
        <w:tc>
          <w:tcPr>
            <w:tcW w:w="1140" w:type="dxa"/>
            <w:vAlign w:val="bottom"/>
            <w:shd w:val="clear" w:color="auto" w:fill="E6E6E6"/>
          </w:tcPr>
          <w:p>
            <w:pPr>
              <w:jc w:val="right"/>
              <w:ind w:right="113"/>
              <w:spacing w:after="0"/>
              <w:rPr>
                <w:sz w:val="20"/>
                <w:szCs w:val="20"/>
                <w:color w:val="auto"/>
              </w:rPr>
            </w:pPr>
            <w:r>
              <w:rPr>
                <w:rFonts w:ascii="Arial" w:cs="Arial" w:eastAsia="Arial" w:hAnsi="Arial"/>
                <w:sz w:val="18"/>
                <w:szCs w:val="18"/>
                <w:color w:val="auto"/>
              </w:rPr>
              <w:t>871.4</w:t>
            </w:r>
          </w:p>
        </w:tc>
        <w:tc>
          <w:tcPr>
            <w:tcW w:w="260" w:type="dxa"/>
            <w:vAlign w:val="bottom"/>
            <w:shd w:val="clear" w:color="auto" w:fill="E6E6E6"/>
          </w:tcPr>
          <w:p>
            <w:pPr>
              <w:spacing w:after="0"/>
              <w:rPr>
                <w:sz w:val="21"/>
                <w:szCs w:val="21"/>
                <w:color w:val="auto"/>
              </w:rPr>
            </w:pPr>
          </w:p>
        </w:tc>
        <w:tc>
          <w:tcPr>
            <w:tcW w:w="1060" w:type="dxa"/>
            <w:vAlign w:val="bottom"/>
            <w:shd w:val="clear" w:color="auto" w:fill="E6E6E6"/>
          </w:tcPr>
          <w:p>
            <w:pPr>
              <w:jc w:val="right"/>
              <w:ind w:right="33"/>
              <w:spacing w:after="0"/>
              <w:rPr>
                <w:sz w:val="20"/>
                <w:szCs w:val="20"/>
                <w:color w:val="auto"/>
              </w:rPr>
            </w:pPr>
            <w:r>
              <w:rPr>
                <w:rFonts w:ascii="Arial" w:cs="Arial" w:eastAsia="Arial" w:hAnsi="Arial"/>
                <w:sz w:val="18"/>
                <w:szCs w:val="18"/>
                <w:color w:val="auto"/>
              </w:rPr>
              <w:t>982.9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60" w:type="dxa"/>
            <w:vAlign w:val="bottom"/>
            <w:gridSpan w:val="2"/>
          </w:tcPr>
          <w:p>
            <w:pPr>
              <w:spacing w:after="0" w:line="243" w:lineRule="exact"/>
              <w:rPr>
                <w:sz w:val="20"/>
                <w:szCs w:val="20"/>
                <w:color w:val="auto"/>
              </w:rPr>
            </w:pPr>
            <w:r>
              <w:rPr>
                <w:rFonts w:ascii="Arial" w:cs="Arial" w:eastAsia="Arial" w:hAnsi="Arial"/>
                <w:sz w:val="17"/>
                <w:szCs w:val="17"/>
                <w:color w:val="auto"/>
              </w:rPr>
              <w:t>Selling, general and administrative expenses</w:t>
            </w:r>
            <w:r>
              <w:rPr>
                <w:rFonts w:ascii="Arial" w:cs="Arial" w:eastAsia="Arial" w:hAnsi="Arial"/>
                <w:sz w:val="28"/>
                <w:szCs w:val="28"/>
                <w:color w:val="auto"/>
                <w:vertAlign w:val="superscript"/>
              </w:rPr>
              <w:t>(2)</w:t>
            </w:r>
          </w:p>
        </w:tc>
        <w:tc>
          <w:tcPr>
            <w:tcW w:w="400" w:type="dxa"/>
            <w:vAlign w:val="bottom"/>
          </w:tcPr>
          <w:p>
            <w:pPr>
              <w:spacing w:after="0"/>
              <w:rPr>
                <w:sz w:val="21"/>
                <w:szCs w:val="21"/>
                <w:color w:val="auto"/>
              </w:rPr>
            </w:pPr>
          </w:p>
        </w:tc>
        <w:tc>
          <w:tcPr>
            <w:tcW w:w="1260" w:type="dxa"/>
            <w:vAlign w:val="bottom"/>
          </w:tcPr>
          <w:p>
            <w:pPr>
              <w:jc w:val="right"/>
              <w:ind w:right="253"/>
              <w:spacing w:after="0"/>
              <w:rPr>
                <w:sz w:val="20"/>
                <w:szCs w:val="20"/>
                <w:color w:val="auto"/>
              </w:rPr>
            </w:pPr>
            <w:r>
              <w:rPr>
                <w:rFonts w:ascii="Arial" w:cs="Arial" w:eastAsia="Arial" w:hAnsi="Arial"/>
                <w:sz w:val="18"/>
                <w:szCs w:val="18"/>
                <w:color w:val="auto"/>
              </w:rPr>
              <w:t>803.4</w:t>
            </w:r>
          </w:p>
        </w:tc>
        <w:tc>
          <w:tcPr>
            <w:tcW w:w="130" w:type="dxa"/>
            <w:vAlign w:val="bottom"/>
          </w:tcPr>
          <w:p>
            <w:pPr>
              <w:spacing w:after="0"/>
              <w:rPr>
                <w:sz w:val="21"/>
                <w:szCs w:val="21"/>
                <w:color w:val="auto"/>
              </w:rPr>
            </w:pPr>
          </w:p>
        </w:tc>
        <w:tc>
          <w:tcPr>
            <w:tcW w:w="1230" w:type="dxa"/>
            <w:vAlign w:val="bottom"/>
          </w:tcPr>
          <w:p>
            <w:pPr>
              <w:jc w:val="right"/>
              <w:ind w:right="233"/>
              <w:spacing w:after="0"/>
              <w:rPr>
                <w:sz w:val="20"/>
                <w:szCs w:val="20"/>
                <w:color w:val="auto"/>
              </w:rPr>
            </w:pPr>
            <w:r>
              <w:rPr>
                <w:rFonts w:ascii="Arial" w:cs="Arial" w:eastAsia="Arial" w:hAnsi="Arial"/>
                <w:sz w:val="18"/>
                <w:szCs w:val="18"/>
                <w:color w:val="auto"/>
              </w:rPr>
              <w:t>777.2</w:t>
            </w:r>
          </w:p>
        </w:tc>
        <w:tc>
          <w:tcPr>
            <w:tcW w:w="120" w:type="dxa"/>
            <w:vAlign w:val="bottom"/>
          </w:tcPr>
          <w:p>
            <w:pPr>
              <w:spacing w:after="0"/>
              <w:rPr>
                <w:sz w:val="21"/>
                <w:szCs w:val="21"/>
                <w:color w:val="auto"/>
              </w:rPr>
            </w:pPr>
          </w:p>
        </w:tc>
        <w:tc>
          <w:tcPr>
            <w:tcW w:w="1260" w:type="dxa"/>
            <w:vAlign w:val="bottom"/>
          </w:tcPr>
          <w:p>
            <w:pPr>
              <w:jc w:val="right"/>
              <w:ind w:right="253"/>
              <w:spacing w:after="0"/>
              <w:rPr>
                <w:sz w:val="20"/>
                <w:szCs w:val="20"/>
                <w:color w:val="auto"/>
              </w:rPr>
            </w:pPr>
            <w:r>
              <w:rPr>
                <w:rFonts w:ascii="Arial" w:cs="Arial" w:eastAsia="Arial" w:hAnsi="Arial"/>
                <w:sz w:val="18"/>
                <w:szCs w:val="18"/>
                <w:color w:val="auto"/>
              </w:rPr>
              <w:t>825.6</w:t>
            </w:r>
          </w:p>
        </w:tc>
        <w:tc>
          <w:tcPr>
            <w:tcW w:w="100" w:type="dxa"/>
            <w:vAlign w:val="bottom"/>
          </w:tcPr>
          <w:p>
            <w:pPr>
              <w:spacing w:after="0"/>
              <w:rPr>
                <w:sz w:val="21"/>
                <w:szCs w:val="21"/>
                <w:color w:val="auto"/>
              </w:rPr>
            </w:pPr>
          </w:p>
        </w:tc>
        <w:tc>
          <w:tcPr>
            <w:tcW w:w="1140" w:type="dxa"/>
            <w:vAlign w:val="bottom"/>
          </w:tcPr>
          <w:p>
            <w:pPr>
              <w:jc w:val="right"/>
              <w:ind w:right="113"/>
              <w:spacing w:after="0"/>
              <w:rPr>
                <w:sz w:val="20"/>
                <w:szCs w:val="20"/>
                <w:color w:val="auto"/>
              </w:rPr>
            </w:pPr>
            <w:r>
              <w:rPr>
                <w:rFonts w:ascii="Arial" w:cs="Arial" w:eastAsia="Arial" w:hAnsi="Arial"/>
                <w:sz w:val="18"/>
                <w:szCs w:val="18"/>
                <w:color w:val="auto"/>
              </w:rPr>
              <w:t>759.3</w:t>
            </w:r>
          </w:p>
        </w:tc>
        <w:tc>
          <w:tcPr>
            <w:tcW w:w="260" w:type="dxa"/>
            <w:vAlign w:val="bottom"/>
          </w:tcPr>
          <w:p>
            <w:pPr>
              <w:spacing w:after="0"/>
              <w:rPr>
                <w:sz w:val="21"/>
                <w:szCs w:val="21"/>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788.0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40" w:type="dxa"/>
            <w:vAlign w:val="bottom"/>
            <w:shd w:val="clear" w:color="auto" w:fill="E6E6E6"/>
          </w:tcPr>
          <w:p>
            <w:pPr>
              <w:spacing w:after="0" w:line="243" w:lineRule="exact"/>
              <w:rPr>
                <w:sz w:val="20"/>
                <w:szCs w:val="20"/>
                <w:color w:val="auto"/>
              </w:rPr>
            </w:pPr>
            <w:r>
              <w:rPr>
                <w:rFonts w:ascii="Arial" w:cs="Arial" w:eastAsia="Arial" w:hAnsi="Arial"/>
                <w:sz w:val="17"/>
                <w:szCs w:val="17"/>
                <w:color w:val="auto"/>
              </w:rPr>
              <w:t>Bad debt expense</w:t>
            </w:r>
            <w:r>
              <w:rPr>
                <w:rFonts w:ascii="Arial" w:cs="Arial" w:eastAsia="Arial" w:hAnsi="Arial"/>
                <w:sz w:val="28"/>
                <w:szCs w:val="28"/>
                <w:color w:val="auto"/>
                <w:vertAlign w:val="superscript"/>
              </w:rPr>
              <w:t>(3)</w:t>
            </w:r>
          </w:p>
        </w:tc>
        <w:tc>
          <w:tcPr>
            <w:tcW w:w="400" w:type="dxa"/>
            <w:vAlign w:val="bottom"/>
            <w:shd w:val="clear" w:color="auto" w:fill="E6E6E6"/>
          </w:tcPr>
          <w:p>
            <w:pPr>
              <w:spacing w:after="0"/>
              <w:rPr>
                <w:sz w:val="21"/>
                <w:szCs w:val="21"/>
                <w:color w:val="auto"/>
              </w:rPr>
            </w:pPr>
          </w:p>
        </w:tc>
        <w:tc>
          <w:tcPr>
            <w:tcW w:w="1260" w:type="dxa"/>
            <w:vAlign w:val="bottom"/>
            <w:shd w:val="clear" w:color="auto" w:fill="E6E6E6"/>
          </w:tcPr>
          <w:p>
            <w:pPr>
              <w:jc w:val="right"/>
              <w:ind w:right="253"/>
              <w:spacing w:after="0"/>
              <w:rPr>
                <w:sz w:val="20"/>
                <w:szCs w:val="20"/>
                <w:color w:val="auto"/>
              </w:rPr>
            </w:pPr>
            <w:r>
              <w:rPr>
                <w:rFonts w:ascii="Arial" w:cs="Arial" w:eastAsia="Arial" w:hAnsi="Arial"/>
                <w:sz w:val="18"/>
                <w:szCs w:val="18"/>
                <w:color w:val="auto"/>
              </w:rPr>
              <w:t>9.5</w:t>
            </w:r>
          </w:p>
        </w:tc>
        <w:tc>
          <w:tcPr>
            <w:tcW w:w="130" w:type="dxa"/>
            <w:vAlign w:val="bottom"/>
            <w:shd w:val="clear" w:color="auto" w:fill="E6E6E6"/>
          </w:tcPr>
          <w:p>
            <w:pPr>
              <w:spacing w:after="0"/>
              <w:rPr>
                <w:sz w:val="21"/>
                <w:szCs w:val="21"/>
                <w:color w:val="auto"/>
              </w:rPr>
            </w:pPr>
          </w:p>
        </w:tc>
        <w:tc>
          <w:tcPr>
            <w:tcW w:w="1230" w:type="dxa"/>
            <w:vAlign w:val="bottom"/>
            <w:shd w:val="clear" w:color="auto" w:fill="E6E6E6"/>
          </w:tcPr>
          <w:p>
            <w:pPr>
              <w:jc w:val="right"/>
              <w:ind w:right="233"/>
              <w:spacing w:after="0"/>
              <w:rPr>
                <w:sz w:val="20"/>
                <w:szCs w:val="20"/>
                <w:color w:val="auto"/>
              </w:rPr>
            </w:pPr>
            <w:r>
              <w:rPr>
                <w:rFonts w:ascii="Arial" w:cs="Arial" w:eastAsia="Arial" w:hAnsi="Arial"/>
                <w:sz w:val="18"/>
                <w:szCs w:val="18"/>
                <w:color w:val="auto"/>
              </w:rPr>
              <w:t>15.8</w:t>
            </w:r>
          </w:p>
        </w:tc>
        <w:tc>
          <w:tcPr>
            <w:tcW w:w="120" w:type="dxa"/>
            <w:vAlign w:val="bottom"/>
            <w:shd w:val="clear" w:color="auto" w:fill="E6E6E6"/>
          </w:tcPr>
          <w:p>
            <w:pPr>
              <w:spacing w:after="0"/>
              <w:rPr>
                <w:sz w:val="21"/>
                <w:szCs w:val="21"/>
                <w:color w:val="auto"/>
              </w:rPr>
            </w:pPr>
          </w:p>
        </w:tc>
        <w:tc>
          <w:tcPr>
            <w:tcW w:w="1260" w:type="dxa"/>
            <w:vAlign w:val="bottom"/>
            <w:shd w:val="clear" w:color="auto" w:fill="E6E6E6"/>
          </w:tcPr>
          <w:p>
            <w:pPr>
              <w:jc w:val="right"/>
              <w:ind w:right="253"/>
              <w:spacing w:after="0"/>
              <w:rPr>
                <w:sz w:val="20"/>
                <w:szCs w:val="20"/>
                <w:color w:val="auto"/>
              </w:rPr>
            </w:pPr>
            <w:r>
              <w:rPr>
                <w:rFonts w:ascii="Arial" w:cs="Arial" w:eastAsia="Arial" w:hAnsi="Arial"/>
                <w:sz w:val="18"/>
                <w:szCs w:val="18"/>
                <w:color w:val="auto"/>
              </w:rPr>
              <w:t>8.6</w:t>
            </w:r>
          </w:p>
        </w:tc>
        <w:tc>
          <w:tcPr>
            <w:tcW w:w="100" w:type="dxa"/>
            <w:vAlign w:val="bottom"/>
            <w:shd w:val="clear" w:color="auto" w:fill="E6E6E6"/>
          </w:tcPr>
          <w:p>
            <w:pPr>
              <w:spacing w:after="0"/>
              <w:rPr>
                <w:sz w:val="21"/>
                <w:szCs w:val="21"/>
                <w:color w:val="auto"/>
              </w:rPr>
            </w:pPr>
          </w:p>
        </w:tc>
        <w:tc>
          <w:tcPr>
            <w:tcW w:w="1140" w:type="dxa"/>
            <w:vAlign w:val="bottom"/>
            <w:shd w:val="clear" w:color="auto" w:fill="E6E6E6"/>
          </w:tcPr>
          <w:p>
            <w:pPr>
              <w:jc w:val="right"/>
              <w:ind w:right="113"/>
              <w:spacing w:after="0"/>
              <w:rPr>
                <w:sz w:val="20"/>
                <w:szCs w:val="20"/>
                <w:color w:val="auto"/>
              </w:rPr>
            </w:pPr>
            <w:r>
              <w:rPr>
                <w:rFonts w:ascii="Arial" w:cs="Arial" w:eastAsia="Arial" w:hAnsi="Arial"/>
                <w:sz w:val="18"/>
                <w:szCs w:val="18"/>
                <w:color w:val="auto"/>
              </w:rPr>
              <w:t>11.1</w:t>
            </w:r>
          </w:p>
        </w:tc>
        <w:tc>
          <w:tcPr>
            <w:tcW w:w="260" w:type="dxa"/>
            <w:vAlign w:val="bottom"/>
            <w:shd w:val="clear" w:color="auto" w:fill="E6E6E6"/>
          </w:tcPr>
          <w:p>
            <w:pPr>
              <w:spacing w:after="0"/>
              <w:rPr>
                <w:sz w:val="21"/>
                <w:szCs w:val="21"/>
                <w:color w:val="auto"/>
              </w:rPr>
            </w:pPr>
          </w:p>
        </w:tc>
        <w:tc>
          <w:tcPr>
            <w:tcW w:w="1060" w:type="dxa"/>
            <w:vAlign w:val="bottom"/>
            <w:shd w:val="clear" w:color="auto" w:fill="E6E6E6"/>
          </w:tcPr>
          <w:p>
            <w:pPr>
              <w:jc w:val="right"/>
              <w:ind w:right="33"/>
              <w:spacing w:after="0"/>
              <w:rPr>
                <w:sz w:val="20"/>
                <w:szCs w:val="20"/>
                <w:color w:val="auto"/>
              </w:rPr>
            </w:pPr>
            <w:r>
              <w:rPr>
                <w:rFonts w:ascii="Arial" w:cs="Arial" w:eastAsia="Arial" w:hAnsi="Arial"/>
                <w:sz w:val="18"/>
                <w:szCs w:val="18"/>
                <w:color w:val="auto"/>
              </w:rPr>
              <w:t>12.0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60" w:type="dxa"/>
            <w:vAlign w:val="bottom"/>
            <w:gridSpan w:val="2"/>
          </w:tcPr>
          <w:p>
            <w:pPr>
              <w:spacing w:after="0" w:line="243" w:lineRule="exact"/>
              <w:rPr>
                <w:sz w:val="20"/>
                <w:szCs w:val="20"/>
                <w:color w:val="auto"/>
              </w:rPr>
            </w:pPr>
            <w:r>
              <w:rPr>
                <w:rFonts w:ascii="Arial" w:cs="Arial" w:eastAsia="Arial" w:hAnsi="Arial"/>
                <w:sz w:val="17"/>
                <w:szCs w:val="17"/>
                <w:color w:val="auto"/>
              </w:rPr>
              <w:t>Depreciation and amortization</w:t>
            </w:r>
            <w:r>
              <w:rPr>
                <w:rFonts w:ascii="Arial" w:cs="Arial" w:eastAsia="Arial" w:hAnsi="Arial"/>
                <w:sz w:val="28"/>
                <w:szCs w:val="28"/>
                <w:color w:val="auto"/>
                <w:vertAlign w:val="superscript"/>
              </w:rPr>
              <w:t>(4)</w:t>
            </w:r>
          </w:p>
        </w:tc>
        <w:tc>
          <w:tcPr>
            <w:tcW w:w="400" w:type="dxa"/>
            <w:vAlign w:val="bottom"/>
          </w:tcPr>
          <w:p>
            <w:pPr>
              <w:spacing w:after="0"/>
              <w:rPr>
                <w:sz w:val="21"/>
                <w:szCs w:val="21"/>
                <w:color w:val="auto"/>
              </w:rPr>
            </w:pPr>
          </w:p>
        </w:tc>
        <w:tc>
          <w:tcPr>
            <w:tcW w:w="1260" w:type="dxa"/>
            <w:vAlign w:val="bottom"/>
          </w:tcPr>
          <w:p>
            <w:pPr>
              <w:jc w:val="right"/>
              <w:ind w:right="253"/>
              <w:spacing w:after="0"/>
              <w:rPr>
                <w:sz w:val="20"/>
                <w:szCs w:val="20"/>
                <w:color w:val="auto"/>
              </w:rPr>
            </w:pPr>
            <w:r>
              <w:rPr>
                <w:rFonts w:ascii="Arial" w:cs="Arial" w:eastAsia="Arial" w:hAnsi="Arial"/>
                <w:sz w:val="18"/>
                <w:szCs w:val="18"/>
                <w:color w:val="auto"/>
              </w:rPr>
              <w:t>59.5</w:t>
            </w:r>
          </w:p>
        </w:tc>
        <w:tc>
          <w:tcPr>
            <w:tcW w:w="130" w:type="dxa"/>
            <w:vAlign w:val="bottom"/>
          </w:tcPr>
          <w:p>
            <w:pPr>
              <w:spacing w:after="0"/>
              <w:rPr>
                <w:sz w:val="21"/>
                <w:szCs w:val="21"/>
                <w:color w:val="auto"/>
              </w:rPr>
            </w:pPr>
          </w:p>
        </w:tc>
        <w:tc>
          <w:tcPr>
            <w:tcW w:w="1230" w:type="dxa"/>
            <w:vAlign w:val="bottom"/>
          </w:tcPr>
          <w:p>
            <w:pPr>
              <w:jc w:val="right"/>
              <w:ind w:right="233"/>
              <w:spacing w:after="0"/>
              <w:rPr>
                <w:sz w:val="20"/>
                <w:szCs w:val="20"/>
                <w:color w:val="auto"/>
              </w:rPr>
            </w:pPr>
            <w:r>
              <w:rPr>
                <w:rFonts w:ascii="Arial" w:cs="Arial" w:eastAsia="Arial" w:hAnsi="Arial"/>
                <w:sz w:val="18"/>
                <w:szCs w:val="18"/>
                <w:color w:val="auto"/>
              </w:rPr>
              <w:t>60.7</w:t>
            </w:r>
          </w:p>
        </w:tc>
        <w:tc>
          <w:tcPr>
            <w:tcW w:w="120" w:type="dxa"/>
            <w:vAlign w:val="bottom"/>
          </w:tcPr>
          <w:p>
            <w:pPr>
              <w:spacing w:after="0"/>
              <w:rPr>
                <w:sz w:val="21"/>
                <w:szCs w:val="21"/>
                <w:color w:val="auto"/>
              </w:rPr>
            </w:pPr>
          </w:p>
        </w:tc>
        <w:tc>
          <w:tcPr>
            <w:tcW w:w="1260" w:type="dxa"/>
            <w:vAlign w:val="bottom"/>
          </w:tcPr>
          <w:p>
            <w:pPr>
              <w:jc w:val="right"/>
              <w:ind w:right="253"/>
              <w:spacing w:after="0"/>
              <w:rPr>
                <w:sz w:val="20"/>
                <w:szCs w:val="20"/>
                <w:color w:val="auto"/>
              </w:rPr>
            </w:pPr>
            <w:r>
              <w:rPr>
                <w:rFonts w:ascii="Arial" w:cs="Arial" w:eastAsia="Arial" w:hAnsi="Arial"/>
                <w:sz w:val="18"/>
                <w:szCs w:val="18"/>
                <w:color w:val="auto"/>
              </w:rPr>
              <w:t>62.2</w:t>
            </w:r>
          </w:p>
        </w:tc>
        <w:tc>
          <w:tcPr>
            <w:tcW w:w="100" w:type="dxa"/>
            <w:vAlign w:val="bottom"/>
          </w:tcPr>
          <w:p>
            <w:pPr>
              <w:spacing w:after="0"/>
              <w:rPr>
                <w:sz w:val="21"/>
                <w:szCs w:val="21"/>
                <w:color w:val="auto"/>
              </w:rPr>
            </w:pPr>
          </w:p>
        </w:tc>
        <w:tc>
          <w:tcPr>
            <w:tcW w:w="1140" w:type="dxa"/>
            <w:vAlign w:val="bottom"/>
          </w:tcPr>
          <w:p>
            <w:pPr>
              <w:jc w:val="right"/>
              <w:ind w:right="113"/>
              <w:spacing w:after="0"/>
              <w:rPr>
                <w:sz w:val="20"/>
                <w:szCs w:val="20"/>
                <w:color w:val="auto"/>
              </w:rPr>
            </w:pPr>
            <w:r>
              <w:rPr>
                <w:rFonts w:ascii="Arial" w:cs="Arial" w:eastAsia="Arial" w:hAnsi="Arial"/>
                <w:sz w:val="18"/>
                <w:szCs w:val="18"/>
                <w:color w:val="auto"/>
              </w:rPr>
              <w:t>61.4</w:t>
            </w:r>
          </w:p>
        </w:tc>
        <w:tc>
          <w:tcPr>
            <w:tcW w:w="260" w:type="dxa"/>
            <w:vAlign w:val="bottom"/>
          </w:tcPr>
          <w:p>
            <w:pPr>
              <w:spacing w:after="0"/>
              <w:rPr>
                <w:sz w:val="21"/>
                <w:szCs w:val="21"/>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60.6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40" w:type="dxa"/>
            <w:vAlign w:val="bottom"/>
            <w:shd w:val="clear" w:color="auto" w:fill="E6E6E6"/>
          </w:tcPr>
          <w:p>
            <w:pPr>
              <w:spacing w:after="0" w:line="243" w:lineRule="exact"/>
              <w:rPr>
                <w:sz w:val="20"/>
                <w:szCs w:val="20"/>
                <w:color w:val="auto"/>
              </w:rPr>
            </w:pPr>
            <w:r>
              <w:rPr>
                <w:rFonts w:ascii="Arial" w:cs="Arial" w:eastAsia="Arial" w:hAnsi="Arial"/>
                <w:sz w:val="17"/>
                <w:szCs w:val="17"/>
                <w:color w:val="auto"/>
              </w:rPr>
              <w:t>Severance</w:t>
            </w:r>
            <w:r>
              <w:rPr>
                <w:rFonts w:ascii="Arial" w:cs="Arial" w:eastAsia="Arial" w:hAnsi="Arial"/>
                <w:sz w:val="28"/>
                <w:szCs w:val="28"/>
                <w:color w:val="auto"/>
                <w:vertAlign w:val="superscript"/>
              </w:rPr>
              <w:t>(5)</w:t>
            </w:r>
          </w:p>
        </w:tc>
        <w:tc>
          <w:tcPr>
            <w:tcW w:w="400" w:type="dxa"/>
            <w:vAlign w:val="bottom"/>
            <w:shd w:val="clear" w:color="auto" w:fill="E6E6E6"/>
          </w:tcPr>
          <w:p>
            <w:pPr>
              <w:spacing w:after="0"/>
              <w:rPr>
                <w:sz w:val="21"/>
                <w:szCs w:val="21"/>
                <w:color w:val="auto"/>
              </w:rPr>
            </w:pPr>
          </w:p>
        </w:tc>
        <w:tc>
          <w:tcPr>
            <w:tcW w:w="1260" w:type="dxa"/>
            <w:vAlign w:val="bottom"/>
            <w:shd w:val="clear" w:color="auto" w:fill="E6E6E6"/>
          </w:tcPr>
          <w:p>
            <w:pPr>
              <w:jc w:val="right"/>
              <w:ind w:right="253"/>
              <w:spacing w:after="0"/>
              <w:rPr>
                <w:sz w:val="20"/>
                <w:szCs w:val="20"/>
                <w:color w:val="auto"/>
              </w:rPr>
            </w:pPr>
            <w:r>
              <w:rPr>
                <w:rFonts w:ascii="Arial" w:cs="Arial" w:eastAsia="Arial" w:hAnsi="Arial"/>
                <w:sz w:val="18"/>
                <w:szCs w:val="18"/>
                <w:color w:val="auto"/>
              </w:rPr>
              <w:t>9.2</w:t>
            </w:r>
          </w:p>
        </w:tc>
        <w:tc>
          <w:tcPr>
            <w:tcW w:w="130" w:type="dxa"/>
            <w:vAlign w:val="bottom"/>
            <w:shd w:val="clear" w:color="auto" w:fill="E6E6E6"/>
          </w:tcPr>
          <w:p>
            <w:pPr>
              <w:spacing w:after="0"/>
              <w:rPr>
                <w:sz w:val="21"/>
                <w:szCs w:val="21"/>
                <w:color w:val="auto"/>
              </w:rPr>
            </w:pPr>
          </w:p>
        </w:tc>
        <w:tc>
          <w:tcPr>
            <w:tcW w:w="1230" w:type="dxa"/>
            <w:vAlign w:val="bottom"/>
            <w:shd w:val="clear" w:color="auto" w:fill="E6E6E6"/>
          </w:tcPr>
          <w:p>
            <w:pPr>
              <w:jc w:val="right"/>
              <w:ind w:right="233"/>
              <w:spacing w:after="0"/>
              <w:rPr>
                <w:sz w:val="20"/>
                <w:szCs w:val="20"/>
                <w:color w:val="auto"/>
              </w:rPr>
            </w:pPr>
            <w:r>
              <w:rPr>
                <w:rFonts w:ascii="Arial" w:cs="Arial" w:eastAsia="Arial" w:hAnsi="Arial"/>
                <w:sz w:val="18"/>
                <w:szCs w:val="18"/>
                <w:color w:val="auto"/>
              </w:rPr>
              <w:t>26.5</w:t>
            </w:r>
          </w:p>
        </w:tc>
        <w:tc>
          <w:tcPr>
            <w:tcW w:w="120" w:type="dxa"/>
            <w:vAlign w:val="bottom"/>
            <w:shd w:val="clear" w:color="auto" w:fill="E6E6E6"/>
          </w:tcPr>
          <w:p>
            <w:pPr>
              <w:spacing w:after="0"/>
              <w:rPr>
                <w:sz w:val="21"/>
                <w:szCs w:val="21"/>
                <w:color w:val="auto"/>
              </w:rPr>
            </w:pPr>
          </w:p>
        </w:tc>
        <w:tc>
          <w:tcPr>
            <w:tcW w:w="1260" w:type="dxa"/>
            <w:vAlign w:val="bottom"/>
            <w:shd w:val="clear" w:color="auto" w:fill="E6E6E6"/>
          </w:tcPr>
          <w:p>
            <w:pPr>
              <w:jc w:val="right"/>
              <w:ind w:right="253"/>
              <w:spacing w:after="0"/>
              <w:rPr>
                <w:sz w:val="20"/>
                <w:szCs w:val="20"/>
                <w:color w:val="auto"/>
              </w:rPr>
            </w:pPr>
            <w:r>
              <w:rPr>
                <w:rFonts w:ascii="Arial" w:cs="Arial" w:eastAsia="Arial" w:hAnsi="Arial"/>
                <w:sz w:val="18"/>
                <w:szCs w:val="18"/>
                <w:color w:val="auto"/>
              </w:rPr>
              <w:t>7.0</w:t>
            </w:r>
          </w:p>
        </w:tc>
        <w:tc>
          <w:tcPr>
            <w:tcW w:w="100" w:type="dxa"/>
            <w:vAlign w:val="bottom"/>
            <w:shd w:val="clear" w:color="auto" w:fill="E6E6E6"/>
          </w:tcPr>
          <w:p>
            <w:pPr>
              <w:spacing w:after="0"/>
              <w:rPr>
                <w:sz w:val="21"/>
                <w:szCs w:val="21"/>
                <w:color w:val="auto"/>
              </w:rPr>
            </w:pPr>
          </w:p>
        </w:tc>
        <w:tc>
          <w:tcPr>
            <w:tcW w:w="1140" w:type="dxa"/>
            <w:vAlign w:val="bottom"/>
            <w:shd w:val="clear" w:color="auto" w:fill="E6E6E6"/>
          </w:tcPr>
          <w:p>
            <w:pPr>
              <w:jc w:val="right"/>
              <w:ind w:right="113"/>
              <w:spacing w:after="0"/>
              <w:rPr>
                <w:sz w:val="20"/>
                <w:szCs w:val="20"/>
                <w:color w:val="auto"/>
              </w:rPr>
            </w:pPr>
            <w:r>
              <w:rPr>
                <w:rFonts w:ascii="Arial" w:cs="Arial" w:eastAsia="Arial" w:hAnsi="Arial"/>
                <w:sz w:val="18"/>
                <w:szCs w:val="18"/>
                <w:color w:val="auto"/>
              </w:rPr>
              <w:t>14.3</w:t>
            </w:r>
          </w:p>
        </w:tc>
        <w:tc>
          <w:tcPr>
            <w:tcW w:w="260" w:type="dxa"/>
            <w:vAlign w:val="bottom"/>
            <w:shd w:val="clear" w:color="auto" w:fill="E6E6E6"/>
          </w:tcPr>
          <w:p>
            <w:pPr>
              <w:spacing w:after="0"/>
              <w:rPr>
                <w:sz w:val="21"/>
                <w:szCs w:val="21"/>
                <w:color w:val="auto"/>
              </w:rPr>
            </w:pPr>
          </w:p>
        </w:tc>
        <w:tc>
          <w:tcPr>
            <w:tcW w:w="1060" w:type="dxa"/>
            <w:vAlign w:val="bottom"/>
            <w:shd w:val="clear" w:color="auto" w:fill="E6E6E6"/>
          </w:tcPr>
          <w:p>
            <w:pPr>
              <w:jc w:val="right"/>
              <w:ind w:right="33"/>
              <w:spacing w:after="0"/>
              <w:rPr>
                <w:sz w:val="20"/>
                <w:szCs w:val="20"/>
                <w:color w:val="auto"/>
              </w:rPr>
            </w:pPr>
            <w:r>
              <w:rPr>
                <w:rFonts w:ascii="Arial" w:cs="Arial" w:eastAsia="Arial" w:hAnsi="Arial"/>
                <w:sz w:val="18"/>
                <w:szCs w:val="18"/>
                <w:color w:val="auto"/>
              </w:rPr>
              <w:t>12.6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60" w:type="dxa"/>
            <w:vAlign w:val="bottom"/>
            <w:gridSpan w:val="2"/>
          </w:tcPr>
          <w:p>
            <w:pPr>
              <w:spacing w:after="0" w:line="243" w:lineRule="exact"/>
              <w:rPr>
                <w:sz w:val="20"/>
                <w:szCs w:val="20"/>
                <w:color w:val="auto"/>
              </w:rPr>
            </w:pPr>
            <w:r>
              <w:rPr>
                <w:rFonts w:ascii="Arial" w:cs="Arial" w:eastAsia="Arial" w:hAnsi="Arial"/>
                <w:sz w:val="17"/>
                <w:szCs w:val="17"/>
                <w:color w:val="auto"/>
              </w:rPr>
              <w:t>Impairment charge</w:t>
            </w:r>
            <w:r>
              <w:rPr>
                <w:rFonts w:ascii="Arial" w:cs="Arial" w:eastAsia="Arial" w:hAnsi="Arial"/>
                <w:sz w:val="28"/>
                <w:szCs w:val="28"/>
                <w:color w:val="auto"/>
                <w:vertAlign w:val="superscript"/>
              </w:rPr>
              <w:t>(6)</w:t>
            </w:r>
          </w:p>
        </w:tc>
        <w:tc>
          <w:tcPr>
            <w:tcW w:w="400" w:type="dxa"/>
            <w:vAlign w:val="bottom"/>
          </w:tcPr>
          <w:p>
            <w:pPr>
              <w:spacing w:after="0"/>
              <w:rPr>
                <w:sz w:val="21"/>
                <w:szCs w:val="21"/>
                <w:color w:val="auto"/>
              </w:rPr>
            </w:pPr>
          </w:p>
        </w:tc>
        <w:tc>
          <w:tcPr>
            <w:tcW w:w="1260" w:type="dxa"/>
            <w:vAlign w:val="bottom"/>
          </w:tcPr>
          <w:p>
            <w:pPr>
              <w:jc w:val="right"/>
              <w:ind w:right="253"/>
              <w:spacing w:after="0"/>
              <w:rPr>
                <w:sz w:val="20"/>
                <w:szCs w:val="20"/>
                <w:color w:val="auto"/>
              </w:rPr>
            </w:pPr>
            <w:r>
              <w:rPr>
                <w:rFonts w:ascii="Arial" w:cs="Arial" w:eastAsia="Arial" w:hAnsi="Arial"/>
                <w:sz w:val="18"/>
                <w:szCs w:val="18"/>
                <w:color w:val="auto"/>
              </w:rPr>
              <w:t>43.1</w:t>
            </w:r>
          </w:p>
        </w:tc>
        <w:tc>
          <w:tcPr>
            <w:tcW w:w="130" w:type="dxa"/>
            <w:vAlign w:val="bottom"/>
          </w:tcPr>
          <w:p>
            <w:pPr>
              <w:spacing w:after="0"/>
              <w:rPr>
                <w:sz w:val="21"/>
                <w:szCs w:val="21"/>
                <w:color w:val="auto"/>
              </w:rPr>
            </w:pPr>
          </w:p>
        </w:tc>
        <w:tc>
          <w:tcPr>
            <w:tcW w:w="1230" w:type="dxa"/>
            <w:vAlign w:val="bottom"/>
          </w:tcPr>
          <w:p>
            <w:pPr>
              <w:jc w:val="right"/>
              <w:ind w:right="233"/>
              <w:spacing w:after="0"/>
              <w:rPr>
                <w:sz w:val="20"/>
                <w:szCs w:val="20"/>
                <w:color w:val="auto"/>
              </w:rPr>
            </w:pPr>
            <w:r>
              <w:rPr>
                <w:rFonts w:ascii="Arial" w:cs="Arial" w:eastAsia="Arial" w:hAnsi="Arial"/>
                <w:sz w:val="18"/>
                <w:szCs w:val="18"/>
                <w:color w:val="auto"/>
              </w:rPr>
              <w:t>17.0</w:t>
            </w:r>
          </w:p>
        </w:tc>
        <w:tc>
          <w:tcPr>
            <w:tcW w:w="120" w:type="dxa"/>
            <w:vAlign w:val="bottom"/>
          </w:tcPr>
          <w:p>
            <w:pPr>
              <w:spacing w:after="0"/>
              <w:rPr>
                <w:sz w:val="21"/>
                <w:szCs w:val="21"/>
                <w:color w:val="auto"/>
              </w:rPr>
            </w:pPr>
          </w:p>
        </w:tc>
        <w:tc>
          <w:tcPr>
            <w:tcW w:w="1260" w:type="dxa"/>
            <w:vAlign w:val="bottom"/>
          </w:tcPr>
          <w:p>
            <w:pPr>
              <w:jc w:val="right"/>
              <w:ind w:right="25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14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4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Operating income</w:t>
            </w:r>
          </w:p>
        </w:tc>
        <w:tc>
          <w:tcPr>
            <w:tcW w:w="400" w:type="dxa"/>
            <w:vAlign w:val="bottom"/>
            <w:shd w:val="clear" w:color="auto" w:fill="E6E6E6"/>
          </w:tcPr>
          <w:p>
            <w:pPr>
              <w:spacing w:after="0"/>
              <w:rPr>
                <w:sz w:val="17"/>
                <w:szCs w:val="17"/>
                <w:color w:val="auto"/>
              </w:rPr>
            </w:pPr>
          </w:p>
        </w:tc>
        <w:tc>
          <w:tcPr>
            <w:tcW w:w="1260" w:type="dxa"/>
            <w:vAlign w:val="bottom"/>
            <w:shd w:val="clear" w:color="auto" w:fill="E6E6E6"/>
          </w:tcPr>
          <w:p>
            <w:pPr>
              <w:jc w:val="right"/>
              <w:ind w:right="253"/>
              <w:spacing w:after="0" w:line="202" w:lineRule="exact"/>
              <w:rPr>
                <w:sz w:val="20"/>
                <w:szCs w:val="20"/>
                <w:color w:val="auto"/>
              </w:rPr>
            </w:pPr>
            <w:r>
              <w:rPr>
                <w:rFonts w:ascii="Arial" w:cs="Arial" w:eastAsia="Arial" w:hAnsi="Arial"/>
                <w:sz w:val="18"/>
                <w:szCs w:val="18"/>
                <w:color w:val="auto"/>
              </w:rPr>
              <w:t>128.4</w:t>
            </w:r>
          </w:p>
        </w:tc>
        <w:tc>
          <w:tcPr>
            <w:tcW w:w="130" w:type="dxa"/>
            <w:vAlign w:val="bottom"/>
            <w:shd w:val="clear" w:color="auto" w:fill="E6E6E6"/>
          </w:tcPr>
          <w:p>
            <w:pPr>
              <w:spacing w:after="0"/>
              <w:rPr>
                <w:sz w:val="17"/>
                <w:szCs w:val="17"/>
                <w:color w:val="auto"/>
              </w:rPr>
            </w:pPr>
          </w:p>
        </w:tc>
        <w:tc>
          <w:tcPr>
            <w:tcW w:w="1230" w:type="dxa"/>
            <w:vAlign w:val="bottom"/>
            <w:shd w:val="clear" w:color="auto" w:fill="E6E6E6"/>
          </w:tcPr>
          <w:p>
            <w:pPr>
              <w:jc w:val="right"/>
              <w:ind w:right="233"/>
              <w:spacing w:after="0" w:line="202" w:lineRule="exact"/>
              <w:rPr>
                <w:sz w:val="20"/>
                <w:szCs w:val="20"/>
                <w:color w:val="auto"/>
              </w:rPr>
            </w:pPr>
            <w:r>
              <w:rPr>
                <w:rFonts w:ascii="Arial" w:cs="Arial" w:eastAsia="Arial" w:hAnsi="Arial"/>
                <w:sz w:val="18"/>
                <w:szCs w:val="18"/>
                <w:color w:val="auto"/>
              </w:rPr>
              <w:t>70.4</w:t>
            </w:r>
          </w:p>
        </w:tc>
        <w:tc>
          <w:tcPr>
            <w:tcW w:w="120" w:type="dxa"/>
            <w:vAlign w:val="bottom"/>
            <w:shd w:val="clear" w:color="auto" w:fill="E6E6E6"/>
          </w:tcPr>
          <w:p>
            <w:pPr>
              <w:spacing w:after="0"/>
              <w:rPr>
                <w:sz w:val="17"/>
                <w:szCs w:val="17"/>
                <w:color w:val="auto"/>
              </w:rPr>
            </w:pPr>
          </w:p>
        </w:tc>
        <w:tc>
          <w:tcPr>
            <w:tcW w:w="1260" w:type="dxa"/>
            <w:vAlign w:val="bottom"/>
            <w:shd w:val="clear" w:color="auto" w:fill="E6E6E6"/>
          </w:tcPr>
          <w:p>
            <w:pPr>
              <w:jc w:val="right"/>
              <w:ind w:right="253"/>
              <w:spacing w:after="0" w:line="202" w:lineRule="exact"/>
              <w:rPr>
                <w:sz w:val="20"/>
                <w:szCs w:val="20"/>
                <w:color w:val="auto"/>
              </w:rPr>
            </w:pPr>
            <w:r>
              <w:rPr>
                <w:rFonts w:ascii="Arial" w:cs="Arial" w:eastAsia="Arial" w:hAnsi="Arial"/>
                <w:sz w:val="18"/>
                <w:szCs w:val="18"/>
                <w:color w:val="auto"/>
              </w:rPr>
              <w:t>213.4</w:t>
            </w:r>
          </w:p>
        </w:tc>
        <w:tc>
          <w:tcPr>
            <w:tcW w:w="100" w:type="dxa"/>
            <w:vAlign w:val="bottom"/>
            <w:shd w:val="clear" w:color="auto" w:fill="E6E6E6"/>
          </w:tcPr>
          <w:p>
            <w:pPr>
              <w:spacing w:after="0"/>
              <w:rPr>
                <w:sz w:val="17"/>
                <w:szCs w:val="17"/>
                <w:color w:val="auto"/>
              </w:rPr>
            </w:pPr>
          </w:p>
        </w:tc>
        <w:tc>
          <w:tcPr>
            <w:tcW w:w="1140" w:type="dxa"/>
            <w:vAlign w:val="bottom"/>
            <w:shd w:val="clear" w:color="auto" w:fill="E6E6E6"/>
          </w:tcPr>
          <w:p>
            <w:pPr>
              <w:jc w:val="right"/>
              <w:ind w:right="113"/>
              <w:spacing w:after="0" w:line="202" w:lineRule="exact"/>
              <w:rPr>
                <w:sz w:val="20"/>
                <w:szCs w:val="20"/>
                <w:color w:val="auto"/>
              </w:rPr>
            </w:pPr>
            <w:r>
              <w:rPr>
                <w:rFonts w:ascii="Arial" w:cs="Arial" w:eastAsia="Arial" w:hAnsi="Arial"/>
                <w:sz w:val="18"/>
                <w:szCs w:val="18"/>
                <w:color w:val="auto"/>
              </w:rPr>
              <w:t>153.1</w:t>
            </w:r>
          </w:p>
        </w:tc>
        <w:tc>
          <w:tcPr>
            <w:tcW w:w="260" w:type="dxa"/>
            <w:vAlign w:val="bottom"/>
            <w:shd w:val="clear" w:color="auto" w:fill="E6E6E6"/>
          </w:tcPr>
          <w:p>
            <w:pPr>
              <w:spacing w:after="0"/>
              <w:rPr>
                <w:sz w:val="17"/>
                <w:szCs w:val="17"/>
                <w:color w:val="auto"/>
              </w:rPr>
            </w:pPr>
          </w:p>
        </w:tc>
        <w:tc>
          <w:tcPr>
            <w:tcW w:w="1060" w:type="dxa"/>
            <w:vAlign w:val="bottom"/>
            <w:shd w:val="clear" w:color="auto" w:fill="E6E6E6"/>
          </w:tcPr>
          <w:p>
            <w:pPr>
              <w:jc w:val="right"/>
              <w:ind w:right="33"/>
              <w:spacing w:after="0" w:line="202" w:lineRule="exact"/>
              <w:rPr>
                <w:sz w:val="20"/>
                <w:szCs w:val="20"/>
                <w:color w:val="auto"/>
              </w:rPr>
            </w:pPr>
            <w:r>
              <w:rPr>
                <w:rFonts w:ascii="Arial" w:cs="Arial" w:eastAsia="Arial" w:hAnsi="Arial"/>
                <w:sz w:val="18"/>
                <w:szCs w:val="18"/>
                <w:color w:val="auto"/>
              </w:rPr>
              <w:t>148.5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4460" w:type="dxa"/>
            <w:vAlign w:val="bottom"/>
            <w:gridSpan w:val="2"/>
          </w:tcPr>
          <w:p>
            <w:pPr>
              <w:spacing w:after="0" w:line="243" w:lineRule="exact"/>
              <w:rPr>
                <w:sz w:val="20"/>
                <w:szCs w:val="20"/>
                <w:color w:val="auto"/>
              </w:rPr>
            </w:pPr>
            <w:r>
              <w:rPr>
                <w:rFonts w:ascii="Arial" w:cs="Arial" w:eastAsia="Arial" w:hAnsi="Arial"/>
                <w:sz w:val="17"/>
                <w:szCs w:val="17"/>
                <w:color w:val="auto"/>
              </w:rPr>
              <w:t>Other income</w:t>
            </w:r>
            <w:r>
              <w:rPr>
                <w:rFonts w:ascii="Arial" w:cs="Arial" w:eastAsia="Arial" w:hAnsi="Arial"/>
                <w:sz w:val="28"/>
                <w:szCs w:val="28"/>
                <w:color w:val="auto"/>
                <w:vertAlign w:val="superscript"/>
              </w:rPr>
              <w:t>(7)</w:t>
            </w:r>
          </w:p>
        </w:tc>
        <w:tc>
          <w:tcPr>
            <w:tcW w:w="400" w:type="dxa"/>
            <w:vAlign w:val="bottom"/>
          </w:tcPr>
          <w:p>
            <w:pPr>
              <w:spacing w:after="0"/>
              <w:rPr>
                <w:sz w:val="21"/>
                <w:szCs w:val="21"/>
                <w:color w:val="auto"/>
              </w:rPr>
            </w:pPr>
          </w:p>
        </w:tc>
        <w:tc>
          <w:tcPr>
            <w:tcW w:w="1260" w:type="dxa"/>
            <w:vAlign w:val="bottom"/>
          </w:tcPr>
          <w:p>
            <w:pPr>
              <w:jc w:val="right"/>
              <w:ind w:right="253"/>
              <w:spacing w:after="0"/>
              <w:rPr>
                <w:sz w:val="20"/>
                <w:szCs w:val="20"/>
                <w:color w:val="auto"/>
              </w:rPr>
            </w:pPr>
            <w:r>
              <w:rPr>
                <w:rFonts w:ascii="Arial" w:cs="Arial" w:eastAsia="Arial" w:hAnsi="Arial"/>
                <w:sz w:val="18"/>
                <w:szCs w:val="18"/>
                <w:color w:val="auto"/>
              </w:rPr>
              <w:t>0.9</w:t>
            </w:r>
          </w:p>
        </w:tc>
        <w:tc>
          <w:tcPr>
            <w:tcW w:w="130" w:type="dxa"/>
            <w:vAlign w:val="bottom"/>
          </w:tcPr>
          <w:p>
            <w:pPr>
              <w:spacing w:after="0"/>
              <w:rPr>
                <w:sz w:val="21"/>
                <w:szCs w:val="21"/>
                <w:color w:val="auto"/>
              </w:rPr>
            </w:pPr>
          </w:p>
        </w:tc>
        <w:tc>
          <w:tcPr>
            <w:tcW w:w="1230" w:type="dxa"/>
            <w:vAlign w:val="bottom"/>
          </w:tcPr>
          <w:p>
            <w:pPr>
              <w:jc w:val="right"/>
              <w:ind w:right="233"/>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21"/>
                <w:szCs w:val="21"/>
                <w:color w:val="auto"/>
              </w:rPr>
            </w:pPr>
          </w:p>
        </w:tc>
        <w:tc>
          <w:tcPr>
            <w:tcW w:w="1260" w:type="dxa"/>
            <w:vAlign w:val="bottom"/>
          </w:tcPr>
          <w:p>
            <w:pPr>
              <w:jc w:val="right"/>
              <w:ind w:right="253"/>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114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4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Interest expense, net</w:t>
            </w:r>
          </w:p>
        </w:tc>
        <w:tc>
          <w:tcPr>
            <w:tcW w:w="400" w:type="dxa"/>
            <w:vAlign w:val="bottom"/>
            <w:shd w:val="clear" w:color="auto" w:fill="E6E6E6"/>
          </w:tcPr>
          <w:p>
            <w:pPr>
              <w:spacing w:after="0"/>
              <w:rPr>
                <w:sz w:val="17"/>
                <w:szCs w:val="17"/>
                <w:color w:val="auto"/>
              </w:rPr>
            </w:pPr>
          </w:p>
        </w:tc>
        <w:tc>
          <w:tcPr>
            <w:tcW w:w="1260" w:type="dxa"/>
            <w:vAlign w:val="bottom"/>
            <w:shd w:val="clear" w:color="auto" w:fill="E6E6E6"/>
          </w:tcPr>
          <w:p>
            <w:pPr>
              <w:jc w:val="right"/>
              <w:ind w:right="253"/>
              <w:spacing w:after="0" w:line="202" w:lineRule="exact"/>
              <w:rPr>
                <w:sz w:val="20"/>
                <w:szCs w:val="20"/>
                <w:color w:val="auto"/>
              </w:rPr>
            </w:pPr>
            <w:r>
              <w:rPr>
                <w:rFonts w:ascii="Arial" w:cs="Arial" w:eastAsia="Arial" w:hAnsi="Arial"/>
                <w:sz w:val="18"/>
                <w:szCs w:val="18"/>
                <w:color w:val="auto"/>
              </w:rPr>
              <w:t>16.2</w:t>
            </w:r>
          </w:p>
        </w:tc>
        <w:tc>
          <w:tcPr>
            <w:tcW w:w="130" w:type="dxa"/>
            <w:vAlign w:val="bottom"/>
            <w:shd w:val="clear" w:color="auto" w:fill="E6E6E6"/>
          </w:tcPr>
          <w:p>
            <w:pPr>
              <w:spacing w:after="0"/>
              <w:rPr>
                <w:sz w:val="17"/>
                <w:szCs w:val="17"/>
                <w:color w:val="auto"/>
              </w:rPr>
            </w:pPr>
          </w:p>
        </w:tc>
        <w:tc>
          <w:tcPr>
            <w:tcW w:w="1230" w:type="dxa"/>
            <w:vAlign w:val="bottom"/>
            <w:shd w:val="clear" w:color="auto" w:fill="E6E6E6"/>
          </w:tcPr>
          <w:p>
            <w:pPr>
              <w:jc w:val="right"/>
              <w:ind w:right="233"/>
              <w:spacing w:after="0" w:line="202" w:lineRule="exact"/>
              <w:rPr>
                <w:sz w:val="20"/>
                <w:szCs w:val="20"/>
                <w:color w:val="auto"/>
              </w:rPr>
            </w:pPr>
            <w:r>
              <w:rPr>
                <w:rFonts w:ascii="Arial" w:cs="Arial" w:eastAsia="Arial" w:hAnsi="Arial"/>
                <w:sz w:val="18"/>
                <w:szCs w:val="18"/>
                <w:color w:val="auto"/>
              </w:rPr>
              <w:t>23.0</w:t>
            </w:r>
          </w:p>
        </w:tc>
        <w:tc>
          <w:tcPr>
            <w:tcW w:w="120" w:type="dxa"/>
            <w:vAlign w:val="bottom"/>
            <w:shd w:val="clear" w:color="auto" w:fill="E6E6E6"/>
          </w:tcPr>
          <w:p>
            <w:pPr>
              <w:spacing w:after="0"/>
              <w:rPr>
                <w:sz w:val="17"/>
                <w:szCs w:val="17"/>
                <w:color w:val="auto"/>
              </w:rPr>
            </w:pPr>
          </w:p>
        </w:tc>
        <w:tc>
          <w:tcPr>
            <w:tcW w:w="1260" w:type="dxa"/>
            <w:vAlign w:val="bottom"/>
            <w:shd w:val="clear" w:color="auto" w:fill="E6E6E6"/>
          </w:tcPr>
          <w:p>
            <w:pPr>
              <w:jc w:val="right"/>
              <w:ind w:right="253"/>
              <w:spacing w:after="0" w:line="202" w:lineRule="exact"/>
              <w:rPr>
                <w:sz w:val="20"/>
                <w:szCs w:val="20"/>
                <w:color w:val="auto"/>
              </w:rPr>
            </w:pPr>
            <w:r>
              <w:rPr>
                <w:rFonts w:ascii="Arial" w:cs="Arial" w:eastAsia="Arial" w:hAnsi="Arial"/>
                <w:sz w:val="18"/>
                <w:szCs w:val="18"/>
                <w:color w:val="auto"/>
              </w:rPr>
              <w:t>29.8</w:t>
            </w:r>
          </w:p>
        </w:tc>
        <w:tc>
          <w:tcPr>
            <w:tcW w:w="100" w:type="dxa"/>
            <w:vAlign w:val="bottom"/>
            <w:shd w:val="clear" w:color="auto" w:fill="E6E6E6"/>
          </w:tcPr>
          <w:p>
            <w:pPr>
              <w:spacing w:after="0"/>
              <w:rPr>
                <w:sz w:val="17"/>
                <w:szCs w:val="17"/>
                <w:color w:val="auto"/>
              </w:rPr>
            </w:pPr>
          </w:p>
        </w:tc>
        <w:tc>
          <w:tcPr>
            <w:tcW w:w="1140" w:type="dxa"/>
            <w:vAlign w:val="bottom"/>
            <w:shd w:val="clear" w:color="auto" w:fill="E6E6E6"/>
          </w:tcPr>
          <w:p>
            <w:pPr>
              <w:jc w:val="right"/>
              <w:ind w:right="113"/>
              <w:spacing w:after="0" w:line="202" w:lineRule="exact"/>
              <w:rPr>
                <w:sz w:val="20"/>
                <w:szCs w:val="20"/>
                <w:color w:val="auto"/>
              </w:rPr>
            </w:pPr>
            <w:r>
              <w:rPr>
                <w:rFonts w:ascii="Arial" w:cs="Arial" w:eastAsia="Arial" w:hAnsi="Arial"/>
                <w:sz w:val="18"/>
                <w:szCs w:val="18"/>
                <w:color w:val="auto"/>
              </w:rPr>
              <w:t>30.9</w:t>
            </w:r>
          </w:p>
        </w:tc>
        <w:tc>
          <w:tcPr>
            <w:tcW w:w="260" w:type="dxa"/>
            <w:vAlign w:val="bottom"/>
            <w:shd w:val="clear" w:color="auto" w:fill="E6E6E6"/>
          </w:tcPr>
          <w:p>
            <w:pPr>
              <w:spacing w:after="0"/>
              <w:rPr>
                <w:sz w:val="17"/>
                <w:szCs w:val="17"/>
                <w:color w:val="auto"/>
              </w:rPr>
            </w:pPr>
          </w:p>
        </w:tc>
        <w:tc>
          <w:tcPr>
            <w:tcW w:w="1060" w:type="dxa"/>
            <w:vAlign w:val="bottom"/>
            <w:shd w:val="clear" w:color="auto" w:fill="E6E6E6"/>
          </w:tcPr>
          <w:p>
            <w:pPr>
              <w:jc w:val="right"/>
              <w:ind w:right="33"/>
              <w:spacing w:after="0" w:line="202" w:lineRule="exact"/>
              <w:rPr>
                <w:sz w:val="20"/>
                <w:szCs w:val="20"/>
                <w:color w:val="auto"/>
              </w:rPr>
            </w:pPr>
            <w:r>
              <w:rPr>
                <w:rFonts w:ascii="Arial" w:cs="Arial" w:eastAsia="Arial" w:hAnsi="Arial"/>
                <w:sz w:val="18"/>
                <w:szCs w:val="18"/>
                <w:color w:val="auto"/>
              </w:rPr>
              <w:t>32.4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4460" w:type="dxa"/>
            <w:vAlign w:val="bottom"/>
            <w:gridSpan w:val="2"/>
          </w:tcPr>
          <w:p>
            <w:pPr>
              <w:spacing w:after="0" w:line="243" w:lineRule="exact"/>
              <w:rPr>
                <w:sz w:val="20"/>
                <w:szCs w:val="20"/>
                <w:color w:val="auto"/>
              </w:rPr>
            </w:pPr>
            <w:r>
              <w:rPr>
                <w:rFonts w:ascii="Arial" w:cs="Arial" w:eastAsia="Arial" w:hAnsi="Arial"/>
                <w:sz w:val="17"/>
                <w:szCs w:val="17"/>
                <w:color w:val="auto"/>
              </w:rPr>
              <w:t>(Loss) gain on investments</w:t>
            </w:r>
            <w:r>
              <w:rPr>
                <w:rFonts w:ascii="Arial" w:cs="Arial" w:eastAsia="Arial" w:hAnsi="Arial"/>
                <w:sz w:val="28"/>
                <w:szCs w:val="28"/>
                <w:color w:val="auto"/>
                <w:vertAlign w:val="superscript"/>
              </w:rPr>
              <w:t>(8)</w:t>
            </w:r>
          </w:p>
        </w:tc>
        <w:tc>
          <w:tcPr>
            <w:tcW w:w="400" w:type="dxa"/>
            <w:vAlign w:val="bottom"/>
          </w:tcPr>
          <w:p>
            <w:pPr>
              <w:spacing w:after="0"/>
              <w:rPr>
                <w:sz w:val="21"/>
                <w:szCs w:val="21"/>
                <w:color w:val="auto"/>
              </w:rPr>
            </w:pPr>
          </w:p>
        </w:tc>
        <w:tc>
          <w:tcPr>
            <w:tcW w:w="1260" w:type="dxa"/>
            <w:vAlign w:val="bottom"/>
          </w:tcPr>
          <w:p>
            <w:pPr>
              <w:jc w:val="right"/>
              <w:ind w:right="193"/>
              <w:spacing w:after="0"/>
              <w:rPr>
                <w:sz w:val="20"/>
                <w:szCs w:val="20"/>
                <w:color w:val="auto"/>
              </w:rPr>
            </w:pPr>
            <w:r>
              <w:rPr>
                <w:rFonts w:ascii="Arial" w:cs="Arial" w:eastAsia="Arial" w:hAnsi="Arial"/>
                <w:sz w:val="18"/>
                <w:szCs w:val="18"/>
                <w:color w:val="auto"/>
              </w:rPr>
              <w:t>(1.5)</w:t>
            </w:r>
          </w:p>
        </w:tc>
        <w:tc>
          <w:tcPr>
            <w:tcW w:w="130" w:type="dxa"/>
            <w:vAlign w:val="bottom"/>
          </w:tcPr>
          <w:p>
            <w:pPr>
              <w:spacing w:after="0"/>
              <w:rPr>
                <w:sz w:val="21"/>
                <w:szCs w:val="21"/>
                <w:color w:val="auto"/>
              </w:rPr>
            </w:pPr>
          </w:p>
        </w:tc>
        <w:tc>
          <w:tcPr>
            <w:tcW w:w="1230" w:type="dxa"/>
            <w:vAlign w:val="bottom"/>
          </w:tcPr>
          <w:p>
            <w:pPr>
              <w:jc w:val="right"/>
              <w:ind w:right="173"/>
              <w:spacing w:after="0"/>
              <w:rPr>
                <w:sz w:val="20"/>
                <w:szCs w:val="20"/>
                <w:color w:val="auto"/>
              </w:rPr>
            </w:pPr>
            <w:r>
              <w:rPr>
                <w:rFonts w:ascii="Arial" w:cs="Arial" w:eastAsia="Arial" w:hAnsi="Arial"/>
                <w:sz w:val="18"/>
                <w:szCs w:val="18"/>
                <w:color w:val="auto"/>
              </w:rPr>
              <w:t>(13.5)</w:t>
            </w:r>
          </w:p>
        </w:tc>
        <w:tc>
          <w:tcPr>
            <w:tcW w:w="120" w:type="dxa"/>
            <w:vAlign w:val="bottom"/>
          </w:tcPr>
          <w:p>
            <w:pPr>
              <w:spacing w:after="0"/>
              <w:rPr>
                <w:sz w:val="21"/>
                <w:szCs w:val="21"/>
                <w:color w:val="auto"/>
              </w:rPr>
            </w:pPr>
          </w:p>
        </w:tc>
        <w:tc>
          <w:tcPr>
            <w:tcW w:w="1260" w:type="dxa"/>
            <w:vAlign w:val="bottom"/>
          </w:tcPr>
          <w:p>
            <w:pPr>
              <w:jc w:val="right"/>
              <w:ind w:right="25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140" w:type="dxa"/>
            <w:vAlign w:val="bottom"/>
          </w:tcPr>
          <w:p>
            <w:pPr>
              <w:jc w:val="right"/>
              <w:ind w:right="113"/>
              <w:spacing w:after="0"/>
              <w:rPr>
                <w:sz w:val="20"/>
                <w:szCs w:val="20"/>
                <w:color w:val="auto"/>
              </w:rPr>
            </w:pPr>
            <w:r>
              <w:rPr>
                <w:rFonts w:ascii="Arial" w:cs="Arial" w:eastAsia="Arial" w:hAnsi="Arial"/>
                <w:sz w:val="18"/>
                <w:szCs w:val="18"/>
                <w:color w:val="auto"/>
              </w:rPr>
              <w:t>3.0</w:t>
            </w:r>
          </w:p>
        </w:tc>
        <w:tc>
          <w:tcPr>
            <w:tcW w:w="260" w:type="dxa"/>
            <w:vAlign w:val="bottom"/>
          </w:tcPr>
          <w:p>
            <w:pPr>
              <w:spacing w:after="0"/>
              <w:rPr>
                <w:sz w:val="21"/>
                <w:szCs w:val="21"/>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4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Earnings from continuing operations</w:t>
            </w:r>
          </w:p>
        </w:tc>
        <w:tc>
          <w:tcPr>
            <w:tcW w:w="400" w:type="dxa"/>
            <w:vAlign w:val="bottom"/>
            <w:shd w:val="clear" w:color="auto" w:fill="E6E6E6"/>
          </w:tcPr>
          <w:p>
            <w:pPr>
              <w:spacing w:after="0"/>
              <w:rPr>
                <w:sz w:val="17"/>
                <w:szCs w:val="17"/>
                <w:color w:val="auto"/>
              </w:rPr>
            </w:pPr>
          </w:p>
        </w:tc>
        <w:tc>
          <w:tcPr>
            <w:tcW w:w="1260" w:type="dxa"/>
            <w:vAlign w:val="bottom"/>
            <w:shd w:val="clear" w:color="auto" w:fill="E6E6E6"/>
          </w:tcPr>
          <w:p>
            <w:pPr>
              <w:jc w:val="right"/>
              <w:ind w:right="253"/>
              <w:spacing w:after="0" w:line="202" w:lineRule="exact"/>
              <w:rPr>
                <w:sz w:val="20"/>
                <w:szCs w:val="20"/>
                <w:color w:val="auto"/>
              </w:rPr>
            </w:pPr>
            <w:r>
              <w:rPr>
                <w:rFonts w:ascii="Arial" w:cs="Arial" w:eastAsia="Arial" w:hAnsi="Arial"/>
                <w:sz w:val="18"/>
                <w:szCs w:val="18"/>
                <w:color w:val="auto"/>
              </w:rPr>
              <w:t>58.7</w:t>
            </w:r>
          </w:p>
        </w:tc>
        <w:tc>
          <w:tcPr>
            <w:tcW w:w="130" w:type="dxa"/>
            <w:vAlign w:val="bottom"/>
            <w:shd w:val="clear" w:color="auto" w:fill="E6E6E6"/>
          </w:tcPr>
          <w:p>
            <w:pPr>
              <w:spacing w:after="0"/>
              <w:rPr>
                <w:sz w:val="17"/>
                <w:szCs w:val="17"/>
                <w:color w:val="auto"/>
              </w:rPr>
            </w:pPr>
          </w:p>
        </w:tc>
        <w:tc>
          <w:tcPr>
            <w:tcW w:w="1230" w:type="dxa"/>
            <w:vAlign w:val="bottom"/>
            <w:shd w:val="clear" w:color="auto" w:fill="E6E6E6"/>
          </w:tcPr>
          <w:p>
            <w:pPr>
              <w:jc w:val="right"/>
              <w:ind w:right="233"/>
              <w:spacing w:after="0" w:line="202" w:lineRule="exact"/>
              <w:rPr>
                <w:sz w:val="20"/>
                <w:szCs w:val="20"/>
                <w:color w:val="auto"/>
              </w:rPr>
            </w:pPr>
            <w:r>
              <w:rPr>
                <w:rFonts w:ascii="Arial" w:cs="Arial" w:eastAsia="Arial" w:hAnsi="Arial"/>
                <w:sz w:val="18"/>
                <w:szCs w:val="18"/>
                <w:color w:val="auto"/>
              </w:rPr>
              <w:t>13.2</w:t>
            </w:r>
          </w:p>
        </w:tc>
        <w:tc>
          <w:tcPr>
            <w:tcW w:w="120" w:type="dxa"/>
            <w:vAlign w:val="bottom"/>
            <w:shd w:val="clear" w:color="auto" w:fill="E6E6E6"/>
          </w:tcPr>
          <w:p>
            <w:pPr>
              <w:spacing w:after="0"/>
              <w:rPr>
                <w:sz w:val="17"/>
                <w:szCs w:val="17"/>
                <w:color w:val="auto"/>
              </w:rPr>
            </w:pPr>
          </w:p>
        </w:tc>
        <w:tc>
          <w:tcPr>
            <w:tcW w:w="1260" w:type="dxa"/>
            <w:vAlign w:val="bottom"/>
            <w:shd w:val="clear" w:color="auto" w:fill="E6E6E6"/>
          </w:tcPr>
          <w:p>
            <w:pPr>
              <w:jc w:val="right"/>
              <w:ind w:right="253"/>
              <w:spacing w:after="0" w:line="202" w:lineRule="exact"/>
              <w:rPr>
                <w:sz w:val="20"/>
                <w:szCs w:val="20"/>
                <w:color w:val="auto"/>
              </w:rPr>
            </w:pPr>
            <w:r>
              <w:rPr>
                <w:rFonts w:ascii="Arial" w:cs="Arial" w:eastAsia="Arial" w:hAnsi="Arial"/>
                <w:sz w:val="18"/>
                <w:szCs w:val="18"/>
                <w:color w:val="auto"/>
              </w:rPr>
              <w:t>117.3</w:t>
            </w:r>
          </w:p>
        </w:tc>
        <w:tc>
          <w:tcPr>
            <w:tcW w:w="100" w:type="dxa"/>
            <w:vAlign w:val="bottom"/>
            <w:shd w:val="clear" w:color="auto" w:fill="E6E6E6"/>
          </w:tcPr>
          <w:p>
            <w:pPr>
              <w:spacing w:after="0"/>
              <w:rPr>
                <w:sz w:val="17"/>
                <w:szCs w:val="17"/>
                <w:color w:val="auto"/>
              </w:rPr>
            </w:pPr>
          </w:p>
        </w:tc>
        <w:tc>
          <w:tcPr>
            <w:tcW w:w="1140" w:type="dxa"/>
            <w:vAlign w:val="bottom"/>
            <w:shd w:val="clear" w:color="auto" w:fill="E6E6E6"/>
          </w:tcPr>
          <w:p>
            <w:pPr>
              <w:jc w:val="right"/>
              <w:ind w:right="113"/>
              <w:spacing w:after="0" w:line="202" w:lineRule="exact"/>
              <w:rPr>
                <w:sz w:val="20"/>
                <w:szCs w:val="20"/>
                <w:color w:val="auto"/>
              </w:rPr>
            </w:pPr>
            <w:r>
              <w:rPr>
                <w:rFonts w:ascii="Arial" w:cs="Arial" w:eastAsia="Arial" w:hAnsi="Arial"/>
                <w:sz w:val="18"/>
                <w:szCs w:val="18"/>
                <w:color w:val="auto"/>
              </w:rPr>
              <w:t>82.7</w:t>
            </w:r>
          </w:p>
        </w:tc>
        <w:tc>
          <w:tcPr>
            <w:tcW w:w="260" w:type="dxa"/>
            <w:vAlign w:val="bottom"/>
            <w:shd w:val="clear" w:color="auto" w:fill="E6E6E6"/>
          </w:tcPr>
          <w:p>
            <w:pPr>
              <w:spacing w:after="0"/>
              <w:rPr>
                <w:sz w:val="17"/>
                <w:szCs w:val="17"/>
                <w:color w:val="auto"/>
              </w:rPr>
            </w:pPr>
          </w:p>
        </w:tc>
        <w:tc>
          <w:tcPr>
            <w:tcW w:w="1060" w:type="dxa"/>
            <w:vAlign w:val="bottom"/>
            <w:shd w:val="clear" w:color="auto" w:fill="E6E6E6"/>
          </w:tcPr>
          <w:p>
            <w:pPr>
              <w:jc w:val="right"/>
              <w:ind w:right="33"/>
              <w:spacing w:after="0" w:line="202" w:lineRule="exact"/>
              <w:rPr>
                <w:sz w:val="20"/>
                <w:szCs w:val="20"/>
                <w:color w:val="auto"/>
              </w:rPr>
            </w:pPr>
            <w:r>
              <w:rPr>
                <w:rFonts w:ascii="Arial" w:cs="Arial" w:eastAsia="Arial" w:hAnsi="Arial"/>
                <w:sz w:val="18"/>
                <w:szCs w:val="18"/>
                <w:color w:val="auto"/>
              </w:rPr>
              <w:t>77.7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60" w:type="dxa"/>
            <w:vAlign w:val="bottom"/>
            <w:gridSpan w:val="2"/>
          </w:tcPr>
          <w:p>
            <w:pPr>
              <w:spacing w:after="0" w:line="202" w:lineRule="exact"/>
              <w:rPr>
                <w:sz w:val="20"/>
                <w:szCs w:val="20"/>
                <w:color w:val="auto"/>
              </w:rPr>
            </w:pPr>
            <w:r>
              <w:rPr>
                <w:rFonts w:ascii="Arial" w:cs="Arial" w:eastAsia="Arial" w:hAnsi="Arial"/>
                <w:sz w:val="18"/>
                <w:szCs w:val="18"/>
                <w:color w:val="auto"/>
              </w:rPr>
              <w:t>Loss from discontinued operations, net of tax</w:t>
            </w:r>
          </w:p>
        </w:tc>
        <w:tc>
          <w:tcPr>
            <w:tcW w:w="400" w:type="dxa"/>
            <w:vAlign w:val="bottom"/>
          </w:tcPr>
          <w:p>
            <w:pPr>
              <w:spacing w:after="0"/>
              <w:rPr>
                <w:sz w:val="17"/>
                <w:szCs w:val="17"/>
                <w:color w:val="auto"/>
              </w:rPr>
            </w:pPr>
          </w:p>
        </w:tc>
        <w:tc>
          <w:tcPr>
            <w:tcW w:w="1260" w:type="dxa"/>
            <w:vAlign w:val="bottom"/>
          </w:tcPr>
          <w:p>
            <w:pPr>
              <w:jc w:val="right"/>
              <w:ind w:right="193"/>
              <w:spacing w:after="0" w:line="202" w:lineRule="exact"/>
              <w:rPr>
                <w:sz w:val="20"/>
                <w:szCs w:val="20"/>
                <w:color w:val="auto"/>
              </w:rPr>
            </w:pPr>
            <w:r>
              <w:rPr>
                <w:rFonts w:ascii="Arial" w:cs="Arial" w:eastAsia="Arial" w:hAnsi="Arial"/>
                <w:sz w:val="18"/>
                <w:szCs w:val="18"/>
                <w:color w:val="auto"/>
              </w:rPr>
              <w:t>(2.6)</w:t>
            </w:r>
          </w:p>
        </w:tc>
        <w:tc>
          <w:tcPr>
            <w:tcW w:w="130" w:type="dxa"/>
            <w:vAlign w:val="bottom"/>
          </w:tcPr>
          <w:p>
            <w:pPr>
              <w:spacing w:after="0"/>
              <w:rPr>
                <w:sz w:val="17"/>
                <w:szCs w:val="17"/>
                <w:color w:val="auto"/>
              </w:rPr>
            </w:pPr>
          </w:p>
        </w:tc>
        <w:tc>
          <w:tcPr>
            <w:tcW w:w="1230" w:type="dxa"/>
            <w:vAlign w:val="bottom"/>
          </w:tcPr>
          <w:p>
            <w:pPr>
              <w:jc w:val="right"/>
              <w:ind w:right="173"/>
              <w:spacing w:after="0" w:line="202" w:lineRule="exact"/>
              <w:rPr>
                <w:sz w:val="20"/>
                <w:szCs w:val="20"/>
                <w:color w:val="auto"/>
              </w:rPr>
            </w:pPr>
            <w:r>
              <w:rPr>
                <w:rFonts w:ascii="Arial" w:cs="Arial" w:eastAsia="Arial" w:hAnsi="Arial"/>
                <w:sz w:val="18"/>
                <w:szCs w:val="18"/>
                <w:color w:val="auto"/>
              </w:rPr>
              <w:t>(27.5)</w:t>
            </w:r>
          </w:p>
        </w:tc>
        <w:tc>
          <w:tcPr>
            <w:tcW w:w="120" w:type="dxa"/>
            <w:vAlign w:val="bottom"/>
          </w:tcPr>
          <w:p>
            <w:pPr>
              <w:spacing w:after="0"/>
              <w:rPr>
                <w:sz w:val="17"/>
                <w:szCs w:val="17"/>
                <w:color w:val="auto"/>
              </w:rPr>
            </w:pPr>
          </w:p>
        </w:tc>
        <w:tc>
          <w:tcPr>
            <w:tcW w:w="1260" w:type="dxa"/>
            <w:vAlign w:val="bottom"/>
          </w:tcPr>
          <w:p>
            <w:pPr>
              <w:jc w:val="right"/>
              <w:ind w:right="193"/>
              <w:spacing w:after="0" w:line="202" w:lineRule="exact"/>
              <w:rPr>
                <w:sz w:val="20"/>
                <w:szCs w:val="20"/>
                <w:color w:val="auto"/>
              </w:rPr>
            </w:pPr>
            <w:r>
              <w:rPr>
                <w:rFonts w:ascii="Arial" w:cs="Arial" w:eastAsia="Arial" w:hAnsi="Arial"/>
                <w:sz w:val="18"/>
                <w:szCs w:val="18"/>
                <w:color w:val="auto"/>
              </w:rPr>
              <w:t>(134.5)</w:t>
            </w:r>
          </w:p>
        </w:tc>
        <w:tc>
          <w:tcPr>
            <w:tcW w:w="100" w:type="dxa"/>
            <w:vAlign w:val="bottom"/>
          </w:tcPr>
          <w:p>
            <w:pPr>
              <w:spacing w:after="0"/>
              <w:rPr>
                <w:sz w:val="17"/>
                <w:szCs w:val="17"/>
                <w:color w:val="auto"/>
              </w:rPr>
            </w:pPr>
          </w:p>
        </w:tc>
        <w:tc>
          <w:tcPr>
            <w:tcW w:w="1140" w:type="dxa"/>
            <w:vAlign w:val="bottom"/>
          </w:tcPr>
          <w:p>
            <w:pPr>
              <w:jc w:val="right"/>
              <w:ind w:right="53"/>
              <w:spacing w:after="0" w:line="202" w:lineRule="exact"/>
              <w:rPr>
                <w:sz w:val="20"/>
                <w:szCs w:val="20"/>
                <w:color w:val="auto"/>
              </w:rPr>
            </w:pPr>
            <w:r>
              <w:rPr>
                <w:rFonts w:ascii="Arial" w:cs="Arial" w:eastAsia="Arial" w:hAnsi="Arial"/>
                <w:sz w:val="18"/>
                <w:szCs w:val="18"/>
                <w:color w:val="auto"/>
              </w:rPr>
              <w:t>(21.8)</w:t>
            </w:r>
          </w:p>
        </w:tc>
        <w:tc>
          <w:tcPr>
            <w:tcW w:w="26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(9.1)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4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Net income (loss)</w:t>
            </w:r>
          </w:p>
        </w:tc>
        <w:tc>
          <w:tcPr>
            <w:tcW w:w="400" w:type="dxa"/>
            <w:vAlign w:val="bottom"/>
            <w:shd w:val="clear" w:color="auto" w:fill="E6E6E6"/>
          </w:tcPr>
          <w:p>
            <w:pPr>
              <w:spacing w:after="0"/>
              <w:rPr>
                <w:sz w:val="17"/>
                <w:szCs w:val="17"/>
                <w:color w:val="auto"/>
              </w:rPr>
            </w:pPr>
          </w:p>
        </w:tc>
        <w:tc>
          <w:tcPr>
            <w:tcW w:w="1260" w:type="dxa"/>
            <w:vAlign w:val="bottom"/>
            <w:shd w:val="clear" w:color="auto" w:fill="E6E6E6"/>
          </w:tcPr>
          <w:p>
            <w:pPr>
              <w:jc w:val="right"/>
              <w:ind w:right="253"/>
              <w:spacing w:after="0" w:line="202" w:lineRule="exact"/>
              <w:rPr>
                <w:sz w:val="20"/>
                <w:szCs w:val="20"/>
                <w:color w:val="auto"/>
              </w:rPr>
            </w:pPr>
            <w:r>
              <w:rPr>
                <w:rFonts w:ascii="Arial" w:cs="Arial" w:eastAsia="Arial" w:hAnsi="Arial"/>
                <w:sz w:val="18"/>
                <w:szCs w:val="18"/>
                <w:color w:val="auto"/>
              </w:rPr>
              <w:t>56.1</w:t>
            </w:r>
          </w:p>
        </w:tc>
        <w:tc>
          <w:tcPr>
            <w:tcW w:w="130" w:type="dxa"/>
            <w:vAlign w:val="bottom"/>
            <w:shd w:val="clear" w:color="auto" w:fill="E6E6E6"/>
          </w:tcPr>
          <w:p>
            <w:pPr>
              <w:spacing w:after="0"/>
              <w:rPr>
                <w:sz w:val="17"/>
                <w:szCs w:val="17"/>
                <w:color w:val="auto"/>
              </w:rPr>
            </w:pPr>
          </w:p>
        </w:tc>
        <w:tc>
          <w:tcPr>
            <w:tcW w:w="1230" w:type="dxa"/>
            <w:vAlign w:val="bottom"/>
            <w:shd w:val="clear" w:color="auto" w:fill="E6E6E6"/>
          </w:tcPr>
          <w:p>
            <w:pPr>
              <w:jc w:val="right"/>
              <w:ind w:right="173"/>
              <w:spacing w:after="0" w:line="202" w:lineRule="exact"/>
              <w:rPr>
                <w:sz w:val="20"/>
                <w:szCs w:val="20"/>
                <w:color w:val="auto"/>
              </w:rPr>
            </w:pPr>
            <w:r>
              <w:rPr>
                <w:rFonts w:ascii="Arial" w:cs="Arial" w:eastAsia="Arial" w:hAnsi="Arial"/>
                <w:sz w:val="18"/>
                <w:szCs w:val="18"/>
                <w:color w:val="auto"/>
              </w:rPr>
              <w:t>(14.3)</w:t>
            </w:r>
          </w:p>
        </w:tc>
        <w:tc>
          <w:tcPr>
            <w:tcW w:w="120" w:type="dxa"/>
            <w:vAlign w:val="bottom"/>
            <w:shd w:val="clear" w:color="auto" w:fill="E6E6E6"/>
          </w:tcPr>
          <w:p>
            <w:pPr>
              <w:spacing w:after="0"/>
              <w:rPr>
                <w:sz w:val="17"/>
                <w:szCs w:val="17"/>
                <w:color w:val="auto"/>
              </w:rPr>
            </w:pPr>
          </w:p>
        </w:tc>
        <w:tc>
          <w:tcPr>
            <w:tcW w:w="1260" w:type="dxa"/>
            <w:vAlign w:val="bottom"/>
            <w:shd w:val="clear" w:color="auto" w:fill="E6E6E6"/>
          </w:tcPr>
          <w:p>
            <w:pPr>
              <w:jc w:val="right"/>
              <w:ind w:right="193"/>
              <w:spacing w:after="0" w:line="202" w:lineRule="exact"/>
              <w:rPr>
                <w:sz w:val="20"/>
                <w:szCs w:val="20"/>
                <w:color w:val="auto"/>
              </w:rPr>
            </w:pPr>
            <w:r>
              <w:rPr>
                <w:rFonts w:ascii="Arial" w:cs="Arial" w:eastAsia="Arial" w:hAnsi="Arial"/>
                <w:sz w:val="18"/>
                <w:szCs w:val="18"/>
                <w:color w:val="auto"/>
              </w:rPr>
              <w:t>(17.2)</w:t>
            </w:r>
          </w:p>
        </w:tc>
        <w:tc>
          <w:tcPr>
            <w:tcW w:w="100" w:type="dxa"/>
            <w:vAlign w:val="bottom"/>
            <w:shd w:val="clear" w:color="auto" w:fill="E6E6E6"/>
          </w:tcPr>
          <w:p>
            <w:pPr>
              <w:spacing w:after="0"/>
              <w:rPr>
                <w:sz w:val="17"/>
                <w:szCs w:val="17"/>
                <w:color w:val="auto"/>
              </w:rPr>
            </w:pPr>
          </w:p>
        </w:tc>
        <w:tc>
          <w:tcPr>
            <w:tcW w:w="1140" w:type="dxa"/>
            <w:vAlign w:val="bottom"/>
            <w:shd w:val="clear" w:color="auto" w:fill="E6E6E6"/>
          </w:tcPr>
          <w:p>
            <w:pPr>
              <w:jc w:val="right"/>
              <w:ind w:right="113"/>
              <w:spacing w:after="0" w:line="202" w:lineRule="exact"/>
              <w:rPr>
                <w:sz w:val="20"/>
                <w:szCs w:val="20"/>
                <w:color w:val="auto"/>
              </w:rPr>
            </w:pPr>
            <w:r>
              <w:rPr>
                <w:rFonts w:ascii="Arial" w:cs="Arial" w:eastAsia="Arial" w:hAnsi="Arial"/>
                <w:sz w:val="18"/>
                <w:szCs w:val="18"/>
                <w:color w:val="auto"/>
              </w:rPr>
              <w:t>60.9</w:t>
            </w:r>
          </w:p>
        </w:tc>
        <w:tc>
          <w:tcPr>
            <w:tcW w:w="260" w:type="dxa"/>
            <w:vAlign w:val="bottom"/>
            <w:shd w:val="clear" w:color="auto" w:fill="E6E6E6"/>
          </w:tcPr>
          <w:p>
            <w:pPr>
              <w:spacing w:after="0"/>
              <w:rPr>
                <w:sz w:val="17"/>
                <w:szCs w:val="17"/>
                <w:color w:val="auto"/>
              </w:rPr>
            </w:pPr>
          </w:p>
        </w:tc>
        <w:tc>
          <w:tcPr>
            <w:tcW w:w="1060" w:type="dxa"/>
            <w:vAlign w:val="bottom"/>
            <w:shd w:val="clear" w:color="auto" w:fill="E6E6E6"/>
          </w:tcPr>
          <w:p>
            <w:pPr>
              <w:jc w:val="right"/>
              <w:ind w:right="33"/>
              <w:spacing w:after="0" w:line="202" w:lineRule="exact"/>
              <w:rPr>
                <w:sz w:val="20"/>
                <w:szCs w:val="20"/>
                <w:color w:val="auto"/>
              </w:rPr>
            </w:pPr>
            <w:r>
              <w:rPr>
                <w:rFonts w:ascii="Arial" w:cs="Arial" w:eastAsia="Arial" w:hAnsi="Arial"/>
                <w:sz w:val="18"/>
                <w:szCs w:val="18"/>
                <w:color w:val="auto"/>
              </w:rPr>
              <w:t>68.6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44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130" w:type="dxa"/>
            <w:vAlign w:val="bottom"/>
            <w:tcBorders>
              <w:bottom w:val="single" w:sz="8" w:color="808080"/>
            </w:tcBorders>
          </w:tcPr>
          <w:p>
            <w:pPr>
              <w:spacing w:after="0"/>
              <w:rPr>
                <w:sz w:val="10"/>
                <w:szCs w:val="10"/>
                <w:color w:val="auto"/>
              </w:rPr>
            </w:pPr>
          </w:p>
        </w:tc>
        <w:tc>
          <w:tcPr>
            <w:tcW w:w="123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307"/>
        </w:trPr>
        <w:tc>
          <w:tcPr>
            <w:tcW w:w="4460" w:type="dxa"/>
            <w:vAlign w:val="bottom"/>
            <w:gridSpan w:val="2"/>
          </w:tcPr>
          <w:p>
            <w:pPr>
              <w:spacing w:after="0"/>
              <w:rPr>
                <w:sz w:val="20"/>
                <w:szCs w:val="20"/>
                <w:color w:val="auto"/>
              </w:rPr>
            </w:pPr>
            <w:r>
              <w:rPr>
                <w:rFonts w:ascii="Arial" w:cs="Arial" w:eastAsia="Arial" w:hAnsi="Arial"/>
                <w:sz w:val="18"/>
                <w:szCs w:val="18"/>
                <w:b w:val="1"/>
                <w:bCs w:val="1"/>
                <w:color w:val="auto"/>
              </w:rPr>
              <w:t>Share Information:</w:t>
            </w:r>
          </w:p>
        </w:tc>
        <w:tc>
          <w:tcPr>
            <w:tcW w:w="4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30" w:type="dxa"/>
            <w:vAlign w:val="bottom"/>
          </w:tcPr>
          <w:p>
            <w:pPr>
              <w:spacing w:after="0"/>
              <w:rPr>
                <w:sz w:val="24"/>
                <w:szCs w:val="24"/>
                <w:color w:val="auto"/>
              </w:rPr>
            </w:pPr>
          </w:p>
        </w:tc>
        <w:tc>
          <w:tcPr>
            <w:tcW w:w="123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4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Earnings from continuing operations:</w:t>
            </w:r>
          </w:p>
        </w:tc>
        <w:tc>
          <w:tcPr>
            <w:tcW w:w="400" w:type="dxa"/>
            <w:vAlign w:val="bottom"/>
            <w:shd w:val="clear" w:color="auto" w:fill="E6E6E6"/>
          </w:tcPr>
          <w:p>
            <w:pPr>
              <w:spacing w:after="0"/>
              <w:rPr>
                <w:sz w:val="17"/>
                <w:szCs w:val="17"/>
                <w:color w:val="auto"/>
              </w:rPr>
            </w:pPr>
          </w:p>
        </w:tc>
        <w:tc>
          <w:tcPr>
            <w:tcW w:w="1260" w:type="dxa"/>
            <w:vAlign w:val="bottom"/>
            <w:shd w:val="clear" w:color="auto" w:fill="E6E6E6"/>
          </w:tcPr>
          <w:p>
            <w:pPr>
              <w:spacing w:after="0"/>
              <w:rPr>
                <w:sz w:val="17"/>
                <w:szCs w:val="17"/>
                <w:color w:val="auto"/>
              </w:rPr>
            </w:pPr>
          </w:p>
        </w:tc>
        <w:tc>
          <w:tcPr>
            <w:tcW w:w="130" w:type="dxa"/>
            <w:vAlign w:val="bottom"/>
            <w:shd w:val="clear" w:color="auto" w:fill="E6E6E6"/>
          </w:tcPr>
          <w:p>
            <w:pPr>
              <w:spacing w:after="0"/>
              <w:rPr>
                <w:sz w:val="17"/>
                <w:szCs w:val="17"/>
                <w:color w:val="auto"/>
              </w:rPr>
            </w:pPr>
          </w:p>
        </w:tc>
        <w:tc>
          <w:tcPr>
            <w:tcW w:w="1230" w:type="dxa"/>
            <w:vAlign w:val="bottom"/>
            <w:shd w:val="clear" w:color="auto" w:fill="E6E6E6"/>
          </w:tcPr>
          <w:p>
            <w:pPr>
              <w:spacing w:after="0"/>
              <w:rPr>
                <w:sz w:val="17"/>
                <w:szCs w:val="17"/>
                <w:color w:val="auto"/>
              </w:rPr>
            </w:pPr>
          </w:p>
        </w:tc>
        <w:tc>
          <w:tcPr>
            <w:tcW w:w="120" w:type="dxa"/>
            <w:vAlign w:val="bottom"/>
            <w:shd w:val="clear" w:color="auto" w:fill="E6E6E6"/>
          </w:tcPr>
          <w:p>
            <w:pPr>
              <w:spacing w:after="0"/>
              <w:rPr>
                <w:sz w:val="17"/>
                <w:szCs w:val="17"/>
                <w:color w:val="auto"/>
              </w:rPr>
            </w:pPr>
          </w:p>
        </w:tc>
        <w:tc>
          <w:tcPr>
            <w:tcW w:w="1260" w:type="dxa"/>
            <w:vAlign w:val="bottom"/>
            <w:shd w:val="clear" w:color="auto" w:fill="E6E6E6"/>
          </w:tcPr>
          <w:p>
            <w:pPr>
              <w:spacing w:after="0"/>
              <w:rPr>
                <w:sz w:val="17"/>
                <w:szCs w:val="17"/>
                <w:color w:val="auto"/>
              </w:rPr>
            </w:pPr>
          </w:p>
        </w:tc>
        <w:tc>
          <w:tcPr>
            <w:tcW w:w="100" w:type="dxa"/>
            <w:vAlign w:val="bottom"/>
            <w:shd w:val="clear" w:color="auto" w:fill="E6E6E6"/>
          </w:tcPr>
          <w:p>
            <w:pPr>
              <w:spacing w:after="0"/>
              <w:rPr>
                <w:sz w:val="17"/>
                <w:szCs w:val="17"/>
                <w:color w:val="auto"/>
              </w:rPr>
            </w:pPr>
          </w:p>
        </w:tc>
        <w:tc>
          <w:tcPr>
            <w:tcW w:w="1140" w:type="dxa"/>
            <w:vAlign w:val="bottom"/>
            <w:shd w:val="clear" w:color="auto" w:fill="E6E6E6"/>
          </w:tcPr>
          <w:p>
            <w:pPr>
              <w:spacing w:after="0"/>
              <w:rPr>
                <w:sz w:val="17"/>
                <w:szCs w:val="17"/>
                <w:color w:val="auto"/>
              </w:rPr>
            </w:pPr>
          </w:p>
        </w:tc>
        <w:tc>
          <w:tcPr>
            <w:tcW w:w="260" w:type="dxa"/>
            <w:vAlign w:val="bottom"/>
            <w:shd w:val="clear" w:color="auto" w:fill="E6E6E6"/>
          </w:tcPr>
          <w:p>
            <w:pPr>
              <w:spacing w:after="0"/>
              <w:rPr>
                <w:sz w:val="17"/>
                <w:szCs w:val="17"/>
                <w:color w:val="auto"/>
              </w:rPr>
            </w:pPr>
          </w:p>
        </w:tc>
        <w:tc>
          <w:tcPr>
            <w:tcW w:w="1060" w:type="dxa"/>
            <w:vAlign w:val="bottom"/>
            <w:shd w:val="clear" w:color="auto" w:fill="E6E6E6"/>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40" w:type="dxa"/>
            <w:vAlign w:val="bottom"/>
          </w:tcPr>
          <w:p>
            <w:pPr>
              <w:ind w:left="140"/>
              <w:spacing w:after="0" w:line="202" w:lineRule="exact"/>
              <w:rPr>
                <w:sz w:val="20"/>
                <w:szCs w:val="20"/>
                <w:color w:val="auto"/>
              </w:rPr>
            </w:pPr>
            <w:r>
              <w:rPr>
                <w:rFonts w:ascii="Arial" w:cs="Arial" w:eastAsia="Arial" w:hAnsi="Arial"/>
                <w:sz w:val="18"/>
                <w:szCs w:val="18"/>
                <w:color w:val="auto"/>
              </w:rPr>
              <w:t>Basic</w:t>
            </w:r>
          </w:p>
        </w:tc>
        <w:tc>
          <w:tcPr>
            <w:tcW w:w="4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260" w:type="dxa"/>
            <w:vAlign w:val="bottom"/>
          </w:tcPr>
          <w:p>
            <w:pPr>
              <w:jc w:val="right"/>
              <w:ind w:right="253"/>
              <w:spacing w:after="0" w:line="202" w:lineRule="exact"/>
              <w:rPr>
                <w:sz w:val="20"/>
                <w:szCs w:val="20"/>
                <w:color w:val="auto"/>
              </w:rPr>
            </w:pPr>
            <w:r>
              <w:rPr>
                <w:rFonts w:ascii="Arial" w:cs="Arial" w:eastAsia="Arial" w:hAnsi="Arial"/>
                <w:sz w:val="18"/>
                <w:szCs w:val="18"/>
                <w:color w:val="auto"/>
              </w:rPr>
              <w:t>1.61</w:t>
            </w:r>
          </w:p>
        </w:tc>
        <w:tc>
          <w:tcPr>
            <w:tcW w:w="13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230" w:type="dxa"/>
            <w:vAlign w:val="bottom"/>
          </w:tcPr>
          <w:p>
            <w:pPr>
              <w:jc w:val="right"/>
              <w:ind w:right="233"/>
              <w:spacing w:after="0" w:line="202" w:lineRule="exact"/>
              <w:rPr>
                <w:sz w:val="20"/>
                <w:szCs w:val="20"/>
                <w:color w:val="auto"/>
              </w:rPr>
            </w:pPr>
            <w:r>
              <w:rPr>
                <w:rFonts w:ascii="Arial" w:cs="Arial" w:eastAsia="Arial" w:hAnsi="Arial"/>
                <w:sz w:val="18"/>
                <w:szCs w:val="18"/>
                <w:color w:val="auto"/>
              </w:rPr>
              <w:t>0.35</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260" w:type="dxa"/>
            <w:vAlign w:val="bottom"/>
          </w:tcPr>
          <w:p>
            <w:pPr>
              <w:jc w:val="right"/>
              <w:ind w:right="253"/>
              <w:spacing w:after="0" w:line="202" w:lineRule="exact"/>
              <w:rPr>
                <w:sz w:val="20"/>
                <w:szCs w:val="20"/>
                <w:color w:val="auto"/>
              </w:rPr>
            </w:pPr>
            <w:r>
              <w:rPr>
                <w:rFonts w:ascii="Arial" w:cs="Arial" w:eastAsia="Arial" w:hAnsi="Arial"/>
                <w:sz w:val="18"/>
                <w:szCs w:val="18"/>
                <w:color w:val="auto"/>
              </w:rPr>
              <w:t>3.03</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140" w:type="dxa"/>
            <w:vAlign w:val="bottom"/>
          </w:tcPr>
          <w:p>
            <w:pPr>
              <w:jc w:val="right"/>
              <w:ind w:right="113"/>
              <w:spacing w:after="0" w:line="202" w:lineRule="exact"/>
              <w:rPr>
                <w:sz w:val="20"/>
                <w:szCs w:val="20"/>
                <w:color w:val="auto"/>
              </w:rPr>
            </w:pPr>
            <w:r>
              <w:rPr>
                <w:rFonts w:ascii="Arial" w:cs="Arial" w:eastAsia="Arial" w:hAnsi="Arial"/>
                <w:sz w:val="18"/>
                <w:szCs w:val="18"/>
                <w:color w:val="auto"/>
              </w:rPr>
              <w:t>1.95</w:t>
            </w:r>
          </w:p>
        </w:tc>
        <w:tc>
          <w:tcPr>
            <w:tcW w:w="2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60" w:type="dxa"/>
            <w:vAlign w:val="bottom"/>
          </w:tcPr>
          <w:p>
            <w:pPr>
              <w:jc w:val="right"/>
              <w:ind w:right="33"/>
              <w:spacing w:after="0" w:line="202" w:lineRule="exact"/>
              <w:rPr>
                <w:sz w:val="20"/>
                <w:szCs w:val="20"/>
                <w:color w:val="auto"/>
              </w:rPr>
            </w:pPr>
            <w:r>
              <w:rPr>
                <w:rFonts w:ascii="Arial" w:cs="Arial" w:eastAsia="Arial" w:hAnsi="Arial"/>
                <w:sz w:val="18"/>
                <w:szCs w:val="18"/>
                <w:color w:val="auto"/>
              </w:rPr>
              <w:t>1.87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40" w:type="dxa"/>
            <w:vAlign w:val="bottom"/>
            <w:shd w:val="clear" w:color="auto" w:fill="E6E6E6"/>
          </w:tcPr>
          <w:p>
            <w:pPr>
              <w:ind w:left="140"/>
              <w:spacing w:after="0" w:line="202" w:lineRule="exact"/>
              <w:rPr>
                <w:sz w:val="20"/>
                <w:szCs w:val="20"/>
                <w:color w:val="auto"/>
              </w:rPr>
            </w:pPr>
            <w:r>
              <w:rPr>
                <w:rFonts w:ascii="Arial" w:cs="Arial" w:eastAsia="Arial" w:hAnsi="Arial"/>
                <w:sz w:val="18"/>
                <w:szCs w:val="18"/>
                <w:color w:val="auto"/>
              </w:rPr>
              <w:t>Diluted</w:t>
            </w:r>
          </w:p>
        </w:tc>
        <w:tc>
          <w:tcPr>
            <w:tcW w:w="40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w:t>
            </w:r>
          </w:p>
        </w:tc>
        <w:tc>
          <w:tcPr>
            <w:tcW w:w="1260" w:type="dxa"/>
            <w:vAlign w:val="bottom"/>
            <w:shd w:val="clear" w:color="auto" w:fill="E6E6E6"/>
          </w:tcPr>
          <w:p>
            <w:pPr>
              <w:jc w:val="right"/>
              <w:ind w:right="253"/>
              <w:spacing w:after="0" w:line="202" w:lineRule="exact"/>
              <w:rPr>
                <w:sz w:val="20"/>
                <w:szCs w:val="20"/>
                <w:color w:val="auto"/>
              </w:rPr>
            </w:pPr>
            <w:r>
              <w:rPr>
                <w:rFonts w:ascii="Arial" w:cs="Arial" w:eastAsia="Arial" w:hAnsi="Arial"/>
                <w:sz w:val="18"/>
                <w:szCs w:val="18"/>
                <w:color w:val="auto"/>
              </w:rPr>
              <w:t>1.59</w:t>
            </w:r>
          </w:p>
        </w:tc>
        <w:tc>
          <w:tcPr>
            <w:tcW w:w="13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w w:val="79"/>
              </w:rPr>
              <w:t>$</w:t>
            </w:r>
          </w:p>
        </w:tc>
        <w:tc>
          <w:tcPr>
            <w:tcW w:w="1230" w:type="dxa"/>
            <w:vAlign w:val="bottom"/>
            <w:shd w:val="clear" w:color="auto" w:fill="E6E6E6"/>
          </w:tcPr>
          <w:p>
            <w:pPr>
              <w:jc w:val="right"/>
              <w:ind w:right="233"/>
              <w:spacing w:after="0" w:line="202" w:lineRule="exact"/>
              <w:rPr>
                <w:sz w:val="20"/>
                <w:szCs w:val="20"/>
                <w:color w:val="auto"/>
              </w:rPr>
            </w:pPr>
            <w:r>
              <w:rPr>
                <w:rFonts w:ascii="Arial" w:cs="Arial" w:eastAsia="Arial" w:hAnsi="Arial"/>
                <w:sz w:val="18"/>
                <w:szCs w:val="18"/>
                <w:color w:val="auto"/>
              </w:rPr>
              <w:t>0.35</w:t>
            </w:r>
          </w:p>
        </w:tc>
        <w:tc>
          <w:tcPr>
            <w:tcW w:w="12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w w:val="79"/>
              </w:rPr>
              <w:t>$</w:t>
            </w:r>
          </w:p>
        </w:tc>
        <w:tc>
          <w:tcPr>
            <w:tcW w:w="1260" w:type="dxa"/>
            <w:vAlign w:val="bottom"/>
            <w:shd w:val="clear" w:color="auto" w:fill="E6E6E6"/>
          </w:tcPr>
          <w:p>
            <w:pPr>
              <w:jc w:val="right"/>
              <w:ind w:right="253"/>
              <w:spacing w:after="0" w:line="202" w:lineRule="exact"/>
              <w:rPr>
                <w:sz w:val="20"/>
                <w:szCs w:val="20"/>
                <w:color w:val="auto"/>
              </w:rPr>
            </w:pPr>
            <w:r>
              <w:rPr>
                <w:rFonts w:ascii="Arial" w:cs="Arial" w:eastAsia="Arial" w:hAnsi="Arial"/>
                <w:sz w:val="18"/>
                <w:szCs w:val="18"/>
                <w:color w:val="auto"/>
              </w:rPr>
              <w:t>2.99</w:t>
            </w:r>
          </w:p>
        </w:tc>
        <w:tc>
          <w:tcPr>
            <w:tcW w:w="10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w w:val="79"/>
              </w:rPr>
              <w:t>$</w:t>
            </w:r>
          </w:p>
        </w:tc>
        <w:tc>
          <w:tcPr>
            <w:tcW w:w="1140" w:type="dxa"/>
            <w:vAlign w:val="bottom"/>
            <w:shd w:val="clear" w:color="auto" w:fill="E6E6E6"/>
          </w:tcPr>
          <w:p>
            <w:pPr>
              <w:jc w:val="right"/>
              <w:ind w:right="113"/>
              <w:spacing w:after="0" w:line="202" w:lineRule="exact"/>
              <w:rPr>
                <w:sz w:val="20"/>
                <w:szCs w:val="20"/>
                <w:color w:val="auto"/>
              </w:rPr>
            </w:pPr>
            <w:r>
              <w:rPr>
                <w:rFonts w:ascii="Arial" w:cs="Arial" w:eastAsia="Arial" w:hAnsi="Arial"/>
                <w:sz w:val="18"/>
                <w:szCs w:val="18"/>
                <w:color w:val="auto"/>
              </w:rPr>
              <w:t>1.92</w:t>
            </w:r>
          </w:p>
        </w:tc>
        <w:tc>
          <w:tcPr>
            <w:tcW w:w="26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w:t>
            </w:r>
          </w:p>
        </w:tc>
        <w:tc>
          <w:tcPr>
            <w:tcW w:w="1060" w:type="dxa"/>
            <w:vAlign w:val="bottom"/>
            <w:shd w:val="clear" w:color="auto" w:fill="E6E6E6"/>
          </w:tcPr>
          <w:p>
            <w:pPr>
              <w:jc w:val="right"/>
              <w:ind w:right="33"/>
              <w:spacing w:after="0" w:line="202" w:lineRule="exact"/>
              <w:rPr>
                <w:sz w:val="20"/>
                <w:szCs w:val="20"/>
                <w:color w:val="auto"/>
              </w:rPr>
            </w:pPr>
            <w:r>
              <w:rPr>
                <w:rFonts w:ascii="Arial" w:cs="Arial" w:eastAsia="Arial" w:hAnsi="Arial"/>
                <w:sz w:val="18"/>
                <w:szCs w:val="18"/>
                <w:color w:val="auto"/>
              </w:rPr>
              <w:t>1.84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60" w:type="dxa"/>
            <w:vAlign w:val="bottom"/>
            <w:gridSpan w:val="2"/>
          </w:tcPr>
          <w:p>
            <w:pPr>
              <w:spacing w:after="0" w:line="202" w:lineRule="exact"/>
              <w:rPr>
                <w:sz w:val="20"/>
                <w:szCs w:val="20"/>
                <w:color w:val="auto"/>
              </w:rPr>
            </w:pPr>
            <w:r>
              <w:rPr>
                <w:rFonts w:ascii="Arial" w:cs="Arial" w:eastAsia="Arial" w:hAnsi="Arial"/>
                <w:sz w:val="18"/>
                <w:szCs w:val="18"/>
                <w:color w:val="auto"/>
              </w:rPr>
              <w:t>Loss from discontinued operations:</w:t>
            </w:r>
          </w:p>
        </w:tc>
        <w:tc>
          <w:tcPr>
            <w:tcW w:w="4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30" w:type="dxa"/>
            <w:vAlign w:val="bottom"/>
          </w:tcPr>
          <w:p>
            <w:pPr>
              <w:spacing w:after="0"/>
              <w:rPr>
                <w:sz w:val="17"/>
                <w:szCs w:val="17"/>
                <w:color w:val="auto"/>
              </w:rPr>
            </w:pPr>
          </w:p>
        </w:tc>
        <w:tc>
          <w:tcPr>
            <w:tcW w:w="123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40" w:type="dxa"/>
            <w:vAlign w:val="bottom"/>
            <w:shd w:val="clear" w:color="auto" w:fill="E6E6E6"/>
          </w:tcPr>
          <w:p>
            <w:pPr>
              <w:ind w:left="140"/>
              <w:spacing w:after="0" w:line="202" w:lineRule="exact"/>
              <w:rPr>
                <w:sz w:val="20"/>
                <w:szCs w:val="20"/>
                <w:color w:val="auto"/>
              </w:rPr>
            </w:pPr>
            <w:r>
              <w:rPr>
                <w:rFonts w:ascii="Arial" w:cs="Arial" w:eastAsia="Arial" w:hAnsi="Arial"/>
                <w:sz w:val="18"/>
                <w:szCs w:val="18"/>
                <w:color w:val="auto"/>
              </w:rPr>
              <w:t>Basic</w:t>
            </w:r>
          </w:p>
        </w:tc>
        <w:tc>
          <w:tcPr>
            <w:tcW w:w="40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w:t>
            </w:r>
          </w:p>
        </w:tc>
        <w:tc>
          <w:tcPr>
            <w:tcW w:w="1260" w:type="dxa"/>
            <w:vAlign w:val="bottom"/>
            <w:shd w:val="clear" w:color="auto" w:fill="E6E6E6"/>
          </w:tcPr>
          <w:p>
            <w:pPr>
              <w:jc w:val="right"/>
              <w:ind w:right="193"/>
              <w:spacing w:after="0" w:line="202" w:lineRule="exact"/>
              <w:rPr>
                <w:sz w:val="20"/>
                <w:szCs w:val="20"/>
                <w:color w:val="auto"/>
              </w:rPr>
            </w:pPr>
            <w:r>
              <w:rPr>
                <w:rFonts w:ascii="Arial" w:cs="Arial" w:eastAsia="Arial" w:hAnsi="Arial"/>
                <w:sz w:val="18"/>
                <w:szCs w:val="18"/>
                <w:color w:val="auto"/>
              </w:rPr>
              <w:t>(0.07)</w:t>
            </w:r>
          </w:p>
        </w:tc>
        <w:tc>
          <w:tcPr>
            <w:tcW w:w="13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w w:val="79"/>
              </w:rPr>
              <w:t>$</w:t>
            </w:r>
          </w:p>
        </w:tc>
        <w:tc>
          <w:tcPr>
            <w:tcW w:w="1230" w:type="dxa"/>
            <w:vAlign w:val="bottom"/>
            <w:shd w:val="clear" w:color="auto" w:fill="E6E6E6"/>
          </w:tcPr>
          <w:p>
            <w:pPr>
              <w:jc w:val="right"/>
              <w:ind w:right="173"/>
              <w:spacing w:after="0" w:line="202" w:lineRule="exact"/>
              <w:rPr>
                <w:sz w:val="20"/>
                <w:szCs w:val="20"/>
                <w:color w:val="auto"/>
              </w:rPr>
            </w:pPr>
            <w:r>
              <w:rPr>
                <w:rFonts w:ascii="Arial" w:cs="Arial" w:eastAsia="Arial" w:hAnsi="Arial"/>
                <w:sz w:val="18"/>
                <w:szCs w:val="18"/>
                <w:color w:val="auto"/>
              </w:rPr>
              <w:t>(0.74)</w:t>
            </w:r>
          </w:p>
        </w:tc>
        <w:tc>
          <w:tcPr>
            <w:tcW w:w="12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w w:val="79"/>
              </w:rPr>
              <w:t>$</w:t>
            </w:r>
          </w:p>
        </w:tc>
        <w:tc>
          <w:tcPr>
            <w:tcW w:w="1260" w:type="dxa"/>
            <w:vAlign w:val="bottom"/>
            <w:shd w:val="clear" w:color="auto" w:fill="E6E6E6"/>
          </w:tcPr>
          <w:p>
            <w:pPr>
              <w:jc w:val="right"/>
              <w:ind w:right="193"/>
              <w:spacing w:after="0" w:line="202" w:lineRule="exact"/>
              <w:rPr>
                <w:sz w:val="20"/>
                <w:szCs w:val="20"/>
                <w:color w:val="auto"/>
              </w:rPr>
            </w:pPr>
            <w:r>
              <w:rPr>
                <w:rFonts w:ascii="Arial" w:cs="Arial" w:eastAsia="Arial" w:hAnsi="Arial"/>
                <w:sz w:val="18"/>
                <w:szCs w:val="18"/>
                <w:color w:val="auto"/>
              </w:rPr>
              <w:t>(3.47)</w:t>
            </w:r>
          </w:p>
        </w:tc>
        <w:tc>
          <w:tcPr>
            <w:tcW w:w="10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w w:val="79"/>
              </w:rPr>
              <w:t>$</w:t>
            </w:r>
          </w:p>
        </w:tc>
        <w:tc>
          <w:tcPr>
            <w:tcW w:w="1140" w:type="dxa"/>
            <w:vAlign w:val="bottom"/>
            <w:shd w:val="clear" w:color="auto" w:fill="E6E6E6"/>
          </w:tcPr>
          <w:p>
            <w:pPr>
              <w:jc w:val="right"/>
              <w:ind w:right="53"/>
              <w:spacing w:after="0" w:line="202" w:lineRule="exact"/>
              <w:rPr>
                <w:sz w:val="20"/>
                <w:szCs w:val="20"/>
                <w:color w:val="auto"/>
              </w:rPr>
            </w:pPr>
            <w:r>
              <w:rPr>
                <w:rFonts w:ascii="Arial" w:cs="Arial" w:eastAsia="Arial" w:hAnsi="Arial"/>
                <w:sz w:val="18"/>
                <w:szCs w:val="18"/>
                <w:color w:val="auto"/>
              </w:rPr>
              <w:t>(0.52)</w:t>
            </w:r>
          </w:p>
        </w:tc>
        <w:tc>
          <w:tcPr>
            <w:tcW w:w="26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w:t>
            </w:r>
          </w:p>
        </w:tc>
        <w:tc>
          <w:tcPr>
            <w:tcW w:w="106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(0.22)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40" w:type="dxa"/>
            <w:vAlign w:val="bottom"/>
          </w:tcPr>
          <w:p>
            <w:pPr>
              <w:ind w:left="140"/>
              <w:spacing w:after="0" w:line="202" w:lineRule="exact"/>
              <w:rPr>
                <w:sz w:val="20"/>
                <w:szCs w:val="20"/>
                <w:color w:val="auto"/>
              </w:rPr>
            </w:pPr>
            <w:r>
              <w:rPr>
                <w:rFonts w:ascii="Arial" w:cs="Arial" w:eastAsia="Arial" w:hAnsi="Arial"/>
                <w:sz w:val="18"/>
                <w:szCs w:val="18"/>
                <w:color w:val="auto"/>
              </w:rPr>
              <w:t>Diluted</w:t>
            </w:r>
          </w:p>
        </w:tc>
        <w:tc>
          <w:tcPr>
            <w:tcW w:w="4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260" w:type="dxa"/>
            <w:vAlign w:val="bottom"/>
          </w:tcPr>
          <w:p>
            <w:pPr>
              <w:jc w:val="right"/>
              <w:ind w:right="193"/>
              <w:spacing w:after="0" w:line="202" w:lineRule="exact"/>
              <w:rPr>
                <w:sz w:val="20"/>
                <w:szCs w:val="20"/>
                <w:color w:val="auto"/>
              </w:rPr>
            </w:pPr>
            <w:r>
              <w:rPr>
                <w:rFonts w:ascii="Arial" w:cs="Arial" w:eastAsia="Arial" w:hAnsi="Arial"/>
                <w:sz w:val="18"/>
                <w:szCs w:val="18"/>
                <w:color w:val="auto"/>
              </w:rPr>
              <w:t>(0.07)</w:t>
            </w:r>
          </w:p>
        </w:tc>
        <w:tc>
          <w:tcPr>
            <w:tcW w:w="13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230" w:type="dxa"/>
            <w:vAlign w:val="bottom"/>
          </w:tcPr>
          <w:p>
            <w:pPr>
              <w:jc w:val="right"/>
              <w:ind w:right="173"/>
              <w:spacing w:after="0" w:line="202" w:lineRule="exact"/>
              <w:rPr>
                <w:sz w:val="20"/>
                <w:szCs w:val="20"/>
                <w:color w:val="auto"/>
              </w:rPr>
            </w:pPr>
            <w:r>
              <w:rPr>
                <w:rFonts w:ascii="Arial" w:cs="Arial" w:eastAsia="Arial" w:hAnsi="Arial"/>
                <w:sz w:val="18"/>
                <w:szCs w:val="18"/>
                <w:color w:val="auto"/>
              </w:rPr>
              <w:t>(0.73)</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260" w:type="dxa"/>
            <w:vAlign w:val="bottom"/>
          </w:tcPr>
          <w:p>
            <w:pPr>
              <w:jc w:val="right"/>
              <w:ind w:right="193"/>
              <w:spacing w:after="0" w:line="202" w:lineRule="exact"/>
              <w:rPr>
                <w:sz w:val="20"/>
                <w:szCs w:val="20"/>
                <w:color w:val="auto"/>
              </w:rPr>
            </w:pPr>
            <w:r>
              <w:rPr>
                <w:rFonts w:ascii="Arial" w:cs="Arial" w:eastAsia="Arial" w:hAnsi="Arial"/>
                <w:sz w:val="18"/>
                <w:szCs w:val="18"/>
                <w:color w:val="auto"/>
              </w:rPr>
              <w:t>(3.43)</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140" w:type="dxa"/>
            <w:vAlign w:val="bottom"/>
          </w:tcPr>
          <w:p>
            <w:pPr>
              <w:jc w:val="right"/>
              <w:ind w:right="53"/>
              <w:spacing w:after="0" w:line="202" w:lineRule="exact"/>
              <w:rPr>
                <w:sz w:val="20"/>
                <w:szCs w:val="20"/>
                <w:color w:val="auto"/>
              </w:rPr>
            </w:pPr>
            <w:r>
              <w:rPr>
                <w:rFonts w:ascii="Arial" w:cs="Arial" w:eastAsia="Arial" w:hAnsi="Arial"/>
                <w:sz w:val="18"/>
                <w:szCs w:val="18"/>
                <w:color w:val="auto"/>
              </w:rPr>
              <w:t>(0.50)</w:t>
            </w:r>
          </w:p>
        </w:tc>
        <w:tc>
          <w:tcPr>
            <w:tcW w:w="2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(0.21)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4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Net income (loss):</w:t>
            </w:r>
          </w:p>
        </w:tc>
        <w:tc>
          <w:tcPr>
            <w:tcW w:w="400" w:type="dxa"/>
            <w:vAlign w:val="bottom"/>
            <w:shd w:val="clear" w:color="auto" w:fill="E6E6E6"/>
          </w:tcPr>
          <w:p>
            <w:pPr>
              <w:spacing w:after="0"/>
              <w:rPr>
                <w:sz w:val="17"/>
                <w:szCs w:val="17"/>
                <w:color w:val="auto"/>
              </w:rPr>
            </w:pPr>
          </w:p>
        </w:tc>
        <w:tc>
          <w:tcPr>
            <w:tcW w:w="1260" w:type="dxa"/>
            <w:vAlign w:val="bottom"/>
            <w:shd w:val="clear" w:color="auto" w:fill="E6E6E6"/>
          </w:tcPr>
          <w:p>
            <w:pPr>
              <w:spacing w:after="0"/>
              <w:rPr>
                <w:sz w:val="17"/>
                <w:szCs w:val="17"/>
                <w:color w:val="auto"/>
              </w:rPr>
            </w:pPr>
          </w:p>
        </w:tc>
        <w:tc>
          <w:tcPr>
            <w:tcW w:w="130" w:type="dxa"/>
            <w:vAlign w:val="bottom"/>
            <w:shd w:val="clear" w:color="auto" w:fill="E6E6E6"/>
          </w:tcPr>
          <w:p>
            <w:pPr>
              <w:spacing w:after="0"/>
              <w:rPr>
                <w:sz w:val="17"/>
                <w:szCs w:val="17"/>
                <w:color w:val="auto"/>
              </w:rPr>
            </w:pPr>
          </w:p>
        </w:tc>
        <w:tc>
          <w:tcPr>
            <w:tcW w:w="1230" w:type="dxa"/>
            <w:vAlign w:val="bottom"/>
            <w:shd w:val="clear" w:color="auto" w:fill="E6E6E6"/>
          </w:tcPr>
          <w:p>
            <w:pPr>
              <w:spacing w:after="0"/>
              <w:rPr>
                <w:sz w:val="17"/>
                <w:szCs w:val="17"/>
                <w:color w:val="auto"/>
              </w:rPr>
            </w:pPr>
          </w:p>
        </w:tc>
        <w:tc>
          <w:tcPr>
            <w:tcW w:w="120" w:type="dxa"/>
            <w:vAlign w:val="bottom"/>
            <w:shd w:val="clear" w:color="auto" w:fill="E6E6E6"/>
          </w:tcPr>
          <w:p>
            <w:pPr>
              <w:spacing w:after="0"/>
              <w:rPr>
                <w:sz w:val="17"/>
                <w:szCs w:val="17"/>
                <w:color w:val="auto"/>
              </w:rPr>
            </w:pPr>
          </w:p>
        </w:tc>
        <w:tc>
          <w:tcPr>
            <w:tcW w:w="1260" w:type="dxa"/>
            <w:vAlign w:val="bottom"/>
            <w:shd w:val="clear" w:color="auto" w:fill="E6E6E6"/>
          </w:tcPr>
          <w:p>
            <w:pPr>
              <w:spacing w:after="0"/>
              <w:rPr>
                <w:sz w:val="17"/>
                <w:szCs w:val="17"/>
                <w:color w:val="auto"/>
              </w:rPr>
            </w:pPr>
          </w:p>
        </w:tc>
        <w:tc>
          <w:tcPr>
            <w:tcW w:w="100" w:type="dxa"/>
            <w:vAlign w:val="bottom"/>
            <w:shd w:val="clear" w:color="auto" w:fill="E6E6E6"/>
          </w:tcPr>
          <w:p>
            <w:pPr>
              <w:spacing w:after="0"/>
              <w:rPr>
                <w:sz w:val="17"/>
                <w:szCs w:val="17"/>
                <w:color w:val="auto"/>
              </w:rPr>
            </w:pPr>
          </w:p>
        </w:tc>
        <w:tc>
          <w:tcPr>
            <w:tcW w:w="1140" w:type="dxa"/>
            <w:vAlign w:val="bottom"/>
            <w:shd w:val="clear" w:color="auto" w:fill="E6E6E6"/>
          </w:tcPr>
          <w:p>
            <w:pPr>
              <w:spacing w:after="0"/>
              <w:rPr>
                <w:sz w:val="17"/>
                <w:szCs w:val="17"/>
                <w:color w:val="auto"/>
              </w:rPr>
            </w:pPr>
          </w:p>
        </w:tc>
        <w:tc>
          <w:tcPr>
            <w:tcW w:w="260" w:type="dxa"/>
            <w:vAlign w:val="bottom"/>
            <w:shd w:val="clear" w:color="auto" w:fill="E6E6E6"/>
          </w:tcPr>
          <w:p>
            <w:pPr>
              <w:spacing w:after="0"/>
              <w:rPr>
                <w:sz w:val="17"/>
                <w:szCs w:val="17"/>
                <w:color w:val="auto"/>
              </w:rPr>
            </w:pPr>
          </w:p>
        </w:tc>
        <w:tc>
          <w:tcPr>
            <w:tcW w:w="1060" w:type="dxa"/>
            <w:vAlign w:val="bottom"/>
            <w:shd w:val="clear" w:color="auto" w:fill="E6E6E6"/>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40" w:type="dxa"/>
            <w:vAlign w:val="bottom"/>
          </w:tcPr>
          <w:p>
            <w:pPr>
              <w:ind w:left="140"/>
              <w:spacing w:after="0" w:line="202" w:lineRule="exact"/>
              <w:rPr>
                <w:sz w:val="20"/>
                <w:szCs w:val="20"/>
                <w:color w:val="auto"/>
              </w:rPr>
            </w:pPr>
            <w:r>
              <w:rPr>
                <w:rFonts w:ascii="Arial" w:cs="Arial" w:eastAsia="Arial" w:hAnsi="Arial"/>
                <w:sz w:val="18"/>
                <w:szCs w:val="18"/>
                <w:color w:val="auto"/>
              </w:rPr>
              <w:t>Basic</w:t>
            </w:r>
          </w:p>
        </w:tc>
        <w:tc>
          <w:tcPr>
            <w:tcW w:w="4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260" w:type="dxa"/>
            <w:vAlign w:val="bottom"/>
          </w:tcPr>
          <w:p>
            <w:pPr>
              <w:jc w:val="right"/>
              <w:ind w:right="253"/>
              <w:spacing w:after="0" w:line="202" w:lineRule="exact"/>
              <w:rPr>
                <w:sz w:val="20"/>
                <w:szCs w:val="20"/>
                <w:color w:val="auto"/>
              </w:rPr>
            </w:pPr>
            <w:r>
              <w:rPr>
                <w:rFonts w:ascii="Arial" w:cs="Arial" w:eastAsia="Arial" w:hAnsi="Arial"/>
                <w:sz w:val="18"/>
                <w:szCs w:val="18"/>
                <w:color w:val="auto"/>
              </w:rPr>
              <w:t>1.54</w:t>
            </w:r>
          </w:p>
        </w:tc>
        <w:tc>
          <w:tcPr>
            <w:tcW w:w="13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230" w:type="dxa"/>
            <w:vAlign w:val="bottom"/>
          </w:tcPr>
          <w:p>
            <w:pPr>
              <w:jc w:val="right"/>
              <w:ind w:right="173"/>
              <w:spacing w:after="0" w:line="202" w:lineRule="exact"/>
              <w:rPr>
                <w:sz w:val="20"/>
                <w:szCs w:val="20"/>
                <w:color w:val="auto"/>
              </w:rPr>
            </w:pPr>
            <w:r>
              <w:rPr>
                <w:rFonts w:ascii="Arial" w:cs="Arial" w:eastAsia="Arial" w:hAnsi="Arial"/>
                <w:sz w:val="18"/>
                <w:szCs w:val="18"/>
                <w:color w:val="auto"/>
              </w:rPr>
              <w:t>(0.39)</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260" w:type="dxa"/>
            <w:vAlign w:val="bottom"/>
          </w:tcPr>
          <w:p>
            <w:pPr>
              <w:jc w:val="right"/>
              <w:ind w:right="193"/>
              <w:spacing w:after="0" w:line="202" w:lineRule="exact"/>
              <w:rPr>
                <w:sz w:val="20"/>
                <w:szCs w:val="20"/>
                <w:color w:val="auto"/>
              </w:rPr>
            </w:pPr>
            <w:r>
              <w:rPr>
                <w:rFonts w:ascii="Arial" w:cs="Arial" w:eastAsia="Arial" w:hAnsi="Arial"/>
                <w:sz w:val="18"/>
                <w:szCs w:val="18"/>
                <w:color w:val="auto"/>
              </w:rPr>
              <w:t>(0.44)</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140" w:type="dxa"/>
            <w:vAlign w:val="bottom"/>
          </w:tcPr>
          <w:p>
            <w:pPr>
              <w:jc w:val="right"/>
              <w:ind w:right="113"/>
              <w:spacing w:after="0" w:line="202" w:lineRule="exact"/>
              <w:rPr>
                <w:sz w:val="20"/>
                <w:szCs w:val="20"/>
                <w:color w:val="auto"/>
              </w:rPr>
            </w:pPr>
            <w:r>
              <w:rPr>
                <w:rFonts w:ascii="Arial" w:cs="Arial" w:eastAsia="Arial" w:hAnsi="Arial"/>
                <w:sz w:val="18"/>
                <w:szCs w:val="18"/>
                <w:color w:val="auto"/>
              </w:rPr>
              <w:t>1.43</w:t>
            </w:r>
          </w:p>
        </w:tc>
        <w:tc>
          <w:tcPr>
            <w:tcW w:w="2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60" w:type="dxa"/>
            <w:vAlign w:val="bottom"/>
          </w:tcPr>
          <w:p>
            <w:pPr>
              <w:jc w:val="right"/>
              <w:ind w:right="33"/>
              <w:spacing w:after="0" w:line="202" w:lineRule="exact"/>
              <w:rPr>
                <w:sz w:val="20"/>
                <w:szCs w:val="20"/>
                <w:color w:val="auto"/>
              </w:rPr>
            </w:pPr>
            <w:r>
              <w:rPr>
                <w:rFonts w:ascii="Arial" w:cs="Arial" w:eastAsia="Arial" w:hAnsi="Arial"/>
                <w:sz w:val="18"/>
                <w:szCs w:val="18"/>
                <w:color w:val="auto"/>
              </w:rPr>
              <w:t>1.65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40" w:type="dxa"/>
            <w:vAlign w:val="bottom"/>
            <w:shd w:val="clear" w:color="auto" w:fill="E6E6E6"/>
          </w:tcPr>
          <w:p>
            <w:pPr>
              <w:ind w:left="140"/>
              <w:spacing w:after="0" w:line="202" w:lineRule="exact"/>
              <w:rPr>
                <w:sz w:val="20"/>
                <w:szCs w:val="20"/>
                <w:color w:val="auto"/>
              </w:rPr>
            </w:pPr>
            <w:r>
              <w:rPr>
                <w:rFonts w:ascii="Arial" w:cs="Arial" w:eastAsia="Arial" w:hAnsi="Arial"/>
                <w:sz w:val="18"/>
                <w:szCs w:val="18"/>
                <w:color w:val="auto"/>
              </w:rPr>
              <w:t>Diluted</w:t>
            </w:r>
          </w:p>
        </w:tc>
        <w:tc>
          <w:tcPr>
            <w:tcW w:w="40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w:t>
            </w:r>
          </w:p>
        </w:tc>
        <w:tc>
          <w:tcPr>
            <w:tcW w:w="1260" w:type="dxa"/>
            <w:vAlign w:val="bottom"/>
            <w:shd w:val="clear" w:color="auto" w:fill="E6E6E6"/>
          </w:tcPr>
          <w:p>
            <w:pPr>
              <w:jc w:val="right"/>
              <w:ind w:right="253"/>
              <w:spacing w:after="0" w:line="202" w:lineRule="exact"/>
              <w:rPr>
                <w:sz w:val="20"/>
                <w:szCs w:val="20"/>
                <w:color w:val="auto"/>
              </w:rPr>
            </w:pPr>
            <w:r>
              <w:rPr>
                <w:rFonts w:ascii="Arial" w:cs="Arial" w:eastAsia="Arial" w:hAnsi="Arial"/>
                <w:sz w:val="18"/>
                <w:szCs w:val="18"/>
                <w:color w:val="auto"/>
              </w:rPr>
              <w:t>1.52</w:t>
            </w:r>
          </w:p>
        </w:tc>
        <w:tc>
          <w:tcPr>
            <w:tcW w:w="13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w w:val="79"/>
              </w:rPr>
              <w:t>$</w:t>
            </w:r>
          </w:p>
        </w:tc>
        <w:tc>
          <w:tcPr>
            <w:tcW w:w="1230" w:type="dxa"/>
            <w:vAlign w:val="bottom"/>
            <w:shd w:val="clear" w:color="auto" w:fill="E6E6E6"/>
          </w:tcPr>
          <w:p>
            <w:pPr>
              <w:jc w:val="right"/>
              <w:ind w:right="173"/>
              <w:spacing w:after="0" w:line="202" w:lineRule="exact"/>
              <w:rPr>
                <w:sz w:val="20"/>
                <w:szCs w:val="20"/>
                <w:color w:val="auto"/>
              </w:rPr>
            </w:pPr>
            <w:r>
              <w:rPr>
                <w:rFonts w:ascii="Arial" w:cs="Arial" w:eastAsia="Arial" w:hAnsi="Arial"/>
                <w:sz w:val="18"/>
                <w:szCs w:val="18"/>
                <w:color w:val="auto"/>
              </w:rPr>
              <w:t>(0.38)</w:t>
            </w:r>
          </w:p>
        </w:tc>
        <w:tc>
          <w:tcPr>
            <w:tcW w:w="12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w w:val="79"/>
              </w:rPr>
              <w:t>$</w:t>
            </w:r>
          </w:p>
        </w:tc>
        <w:tc>
          <w:tcPr>
            <w:tcW w:w="1260" w:type="dxa"/>
            <w:vAlign w:val="bottom"/>
            <w:shd w:val="clear" w:color="auto" w:fill="E6E6E6"/>
          </w:tcPr>
          <w:p>
            <w:pPr>
              <w:jc w:val="right"/>
              <w:ind w:right="193"/>
              <w:spacing w:after="0" w:line="202" w:lineRule="exact"/>
              <w:rPr>
                <w:sz w:val="20"/>
                <w:szCs w:val="20"/>
                <w:color w:val="auto"/>
              </w:rPr>
            </w:pPr>
            <w:r>
              <w:rPr>
                <w:rFonts w:ascii="Arial" w:cs="Arial" w:eastAsia="Arial" w:hAnsi="Arial"/>
                <w:sz w:val="18"/>
                <w:szCs w:val="18"/>
                <w:color w:val="auto"/>
              </w:rPr>
              <w:t>(0.44)</w:t>
            </w:r>
          </w:p>
        </w:tc>
        <w:tc>
          <w:tcPr>
            <w:tcW w:w="10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w w:val="79"/>
              </w:rPr>
              <w:t>$</w:t>
            </w:r>
          </w:p>
        </w:tc>
        <w:tc>
          <w:tcPr>
            <w:tcW w:w="1140" w:type="dxa"/>
            <w:vAlign w:val="bottom"/>
            <w:shd w:val="clear" w:color="auto" w:fill="E6E6E6"/>
          </w:tcPr>
          <w:p>
            <w:pPr>
              <w:jc w:val="right"/>
              <w:ind w:right="113"/>
              <w:spacing w:after="0" w:line="202" w:lineRule="exact"/>
              <w:rPr>
                <w:sz w:val="20"/>
                <w:szCs w:val="20"/>
                <w:color w:val="auto"/>
              </w:rPr>
            </w:pPr>
            <w:r>
              <w:rPr>
                <w:rFonts w:ascii="Arial" w:cs="Arial" w:eastAsia="Arial" w:hAnsi="Arial"/>
                <w:sz w:val="18"/>
                <w:szCs w:val="18"/>
                <w:color w:val="auto"/>
              </w:rPr>
              <w:t>1.42</w:t>
            </w:r>
          </w:p>
        </w:tc>
        <w:tc>
          <w:tcPr>
            <w:tcW w:w="26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w:t>
            </w:r>
          </w:p>
        </w:tc>
        <w:tc>
          <w:tcPr>
            <w:tcW w:w="1060" w:type="dxa"/>
            <w:vAlign w:val="bottom"/>
            <w:shd w:val="clear" w:color="auto" w:fill="E6E6E6"/>
          </w:tcPr>
          <w:p>
            <w:pPr>
              <w:jc w:val="right"/>
              <w:ind w:right="33"/>
              <w:spacing w:after="0" w:line="202" w:lineRule="exact"/>
              <w:rPr>
                <w:sz w:val="20"/>
                <w:szCs w:val="20"/>
                <w:color w:val="auto"/>
              </w:rPr>
            </w:pPr>
            <w:r>
              <w:rPr>
                <w:rFonts w:ascii="Arial" w:cs="Arial" w:eastAsia="Arial" w:hAnsi="Arial"/>
                <w:sz w:val="18"/>
                <w:szCs w:val="18"/>
                <w:color w:val="auto"/>
              </w:rPr>
              <w:t>1.63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60" w:type="dxa"/>
            <w:vAlign w:val="bottom"/>
            <w:gridSpan w:val="2"/>
          </w:tcPr>
          <w:p>
            <w:pPr>
              <w:spacing w:after="0" w:line="202" w:lineRule="exact"/>
              <w:rPr>
                <w:sz w:val="20"/>
                <w:szCs w:val="20"/>
                <w:color w:val="auto"/>
              </w:rPr>
            </w:pPr>
            <w:r>
              <w:rPr>
                <w:rFonts w:ascii="Arial" w:cs="Arial" w:eastAsia="Arial" w:hAnsi="Arial"/>
                <w:sz w:val="18"/>
                <w:szCs w:val="18"/>
                <w:color w:val="auto"/>
              </w:rPr>
              <w:t>Weighted average shares outstanding – basic</w:t>
            </w:r>
          </w:p>
        </w:tc>
        <w:tc>
          <w:tcPr>
            <w:tcW w:w="400" w:type="dxa"/>
            <w:vAlign w:val="bottom"/>
          </w:tcPr>
          <w:p>
            <w:pPr>
              <w:spacing w:after="0"/>
              <w:rPr>
                <w:sz w:val="17"/>
                <w:szCs w:val="17"/>
                <w:color w:val="auto"/>
              </w:rPr>
            </w:pPr>
          </w:p>
        </w:tc>
        <w:tc>
          <w:tcPr>
            <w:tcW w:w="1260" w:type="dxa"/>
            <w:vAlign w:val="bottom"/>
          </w:tcPr>
          <w:p>
            <w:pPr>
              <w:jc w:val="right"/>
              <w:ind w:right="253"/>
              <w:spacing w:after="0" w:line="202" w:lineRule="exact"/>
              <w:rPr>
                <w:sz w:val="20"/>
                <w:szCs w:val="20"/>
                <w:color w:val="auto"/>
              </w:rPr>
            </w:pPr>
            <w:r>
              <w:rPr>
                <w:rFonts w:ascii="Arial" w:cs="Arial" w:eastAsia="Arial" w:hAnsi="Arial"/>
                <w:sz w:val="18"/>
                <w:szCs w:val="18"/>
                <w:color w:val="auto"/>
              </w:rPr>
              <w:t>36.5</w:t>
            </w:r>
          </w:p>
        </w:tc>
        <w:tc>
          <w:tcPr>
            <w:tcW w:w="130" w:type="dxa"/>
            <w:vAlign w:val="bottom"/>
          </w:tcPr>
          <w:p>
            <w:pPr>
              <w:spacing w:after="0"/>
              <w:rPr>
                <w:sz w:val="17"/>
                <w:szCs w:val="17"/>
                <w:color w:val="auto"/>
              </w:rPr>
            </w:pPr>
          </w:p>
        </w:tc>
        <w:tc>
          <w:tcPr>
            <w:tcW w:w="1230" w:type="dxa"/>
            <w:vAlign w:val="bottom"/>
          </w:tcPr>
          <w:p>
            <w:pPr>
              <w:jc w:val="right"/>
              <w:ind w:right="233"/>
              <w:spacing w:after="0" w:line="202" w:lineRule="exact"/>
              <w:rPr>
                <w:sz w:val="20"/>
                <w:szCs w:val="20"/>
                <w:color w:val="auto"/>
              </w:rPr>
            </w:pPr>
            <w:r>
              <w:rPr>
                <w:rFonts w:ascii="Arial" w:cs="Arial" w:eastAsia="Arial" w:hAnsi="Arial"/>
                <w:sz w:val="18"/>
                <w:szCs w:val="18"/>
                <w:color w:val="auto"/>
              </w:rPr>
              <w:t>37.2</w:t>
            </w:r>
          </w:p>
        </w:tc>
        <w:tc>
          <w:tcPr>
            <w:tcW w:w="120" w:type="dxa"/>
            <w:vAlign w:val="bottom"/>
          </w:tcPr>
          <w:p>
            <w:pPr>
              <w:spacing w:after="0"/>
              <w:rPr>
                <w:sz w:val="17"/>
                <w:szCs w:val="17"/>
                <w:color w:val="auto"/>
              </w:rPr>
            </w:pPr>
          </w:p>
        </w:tc>
        <w:tc>
          <w:tcPr>
            <w:tcW w:w="1260" w:type="dxa"/>
            <w:vAlign w:val="bottom"/>
          </w:tcPr>
          <w:p>
            <w:pPr>
              <w:jc w:val="right"/>
              <w:ind w:right="253"/>
              <w:spacing w:after="0" w:line="202" w:lineRule="exact"/>
              <w:rPr>
                <w:sz w:val="20"/>
                <w:szCs w:val="20"/>
                <w:color w:val="auto"/>
              </w:rPr>
            </w:pPr>
            <w:r>
              <w:rPr>
                <w:rFonts w:ascii="Arial" w:cs="Arial" w:eastAsia="Arial" w:hAnsi="Arial"/>
                <w:sz w:val="18"/>
                <w:szCs w:val="18"/>
                <w:color w:val="auto"/>
              </w:rPr>
              <w:t>38.7</w:t>
            </w:r>
          </w:p>
        </w:tc>
        <w:tc>
          <w:tcPr>
            <w:tcW w:w="100" w:type="dxa"/>
            <w:vAlign w:val="bottom"/>
          </w:tcPr>
          <w:p>
            <w:pPr>
              <w:spacing w:after="0"/>
              <w:rPr>
                <w:sz w:val="17"/>
                <w:szCs w:val="17"/>
                <w:color w:val="auto"/>
              </w:rPr>
            </w:pPr>
          </w:p>
        </w:tc>
        <w:tc>
          <w:tcPr>
            <w:tcW w:w="1140" w:type="dxa"/>
            <w:vAlign w:val="bottom"/>
          </w:tcPr>
          <w:p>
            <w:pPr>
              <w:jc w:val="right"/>
              <w:ind w:right="113"/>
              <w:spacing w:after="0" w:line="202" w:lineRule="exact"/>
              <w:rPr>
                <w:sz w:val="20"/>
                <w:szCs w:val="20"/>
                <w:color w:val="auto"/>
              </w:rPr>
            </w:pPr>
            <w:r>
              <w:rPr>
                <w:rFonts w:ascii="Arial" w:cs="Arial" w:eastAsia="Arial" w:hAnsi="Arial"/>
                <w:sz w:val="18"/>
                <w:szCs w:val="18"/>
                <w:color w:val="auto"/>
              </w:rPr>
              <w:t>42.5</w:t>
            </w:r>
          </w:p>
        </w:tc>
        <w:tc>
          <w:tcPr>
            <w:tcW w:w="260" w:type="dxa"/>
            <w:vAlign w:val="bottom"/>
          </w:tcPr>
          <w:p>
            <w:pPr>
              <w:spacing w:after="0"/>
              <w:rPr>
                <w:sz w:val="17"/>
                <w:szCs w:val="17"/>
                <w:color w:val="auto"/>
              </w:rPr>
            </w:pPr>
          </w:p>
        </w:tc>
        <w:tc>
          <w:tcPr>
            <w:tcW w:w="1060" w:type="dxa"/>
            <w:vAlign w:val="bottom"/>
          </w:tcPr>
          <w:p>
            <w:pPr>
              <w:jc w:val="right"/>
              <w:ind w:right="33"/>
              <w:spacing w:after="0" w:line="202" w:lineRule="exact"/>
              <w:rPr>
                <w:sz w:val="20"/>
                <w:szCs w:val="20"/>
                <w:color w:val="auto"/>
              </w:rPr>
            </w:pPr>
            <w:r>
              <w:rPr>
                <w:rFonts w:ascii="Arial" w:cs="Arial" w:eastAsia="Arial" w:hAnsi="Arial"/>
                <w:sz w:val="18"/>
                <w:szCs w:val="18"/>
                <w:color w:val="auto"/>
              </w:rPr>
              <w:t>41.6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4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Weighted average shares outstanding – diluted</w:t>
            </w:r>
          </w:p>
        </w:tc>
        <w:tc>
          <w:tcPr>
            <w:tcW w:w="400" w:type="dxa"/>
            <w:vAlign w:val="bottom"/>
            <w:shd w:val="clear" w:color="auto" w:fill="E6E6E6"/>
          </w:tcPr>
          <w:p>
            <w:pPr>
              <w:spacing w:after="0"/>
              <w:rPr>
                <w:sz w:val="17"/>
                <w:szCs w:val="17"/>
                <w:color w:val="auto"/>
              </w:rPr>
            </w:pPr>
          </w:p>
        </w:tc>
        <w:tc>
          <w:tcPr>
            <w:tcW w:w="1260" w:type="dxa"/>
            <w:vAlign w:val="bottom"/>
            <w:shd w:val="clear" w:color="auto" w:fill="E6E6E6"/>
          </w:tcPr>
          <w:p>
            <w:pPr>
              <w:jc w:val="right"/>
              <w:ind w:right="253"/>
              <w:spacing w:after="0" w:line="202" w:lineRule="exact"/>
              <w:rPr>
                <w:sz w:val="20"/>
                <w:szCs w:val="20"/>
                <w:color w:val="auto"/>
              </w:rPr>
            </w:pPr>
            <w:r>
              <w:rPr>
                <w:rFonts w:ascii="Arial" w:cs="Arial" w:eastAsia="Arial" w:hAnsi="Arial"/>
                <w:sz w:val="18"/>
                <w:szCs w:val="18"/>
                <w:color w:val="auto"/>
              </w:rPr>
              <w:t>36.8</w:t>
            </w:r>
          </w:p>
        </w:tc>
        <w:tc>
          <w:tcPr>
            <w:tcW w:w="130" w:type="dxa"/>
            <w:vAlign w:val="bottom"/>
            <w:shd w:val="clear" w:color="auto" w:fill="E6E6E6"/>
          </w:tcPr>
          <w:p>
            <w:pPr>
              <w:spacing w:after="0"/>
              <w:rPr>
                <w:sz w:val="17"/>
                <w:szCs w:val="17"/>
                <w:color w:val="auto"/>
              </w:rPr>
            </w:pPr>
          </w:p>
        </w:tc>
        <w:tc>
          <w:tcPr>
            <w:tcW w:w="1230" w:type="dxa"/>
            <w:vAlign w:val="bottom"/>
            <w:shd w:val="clear" w:color="auto" w:fill="E6E6E6"/>
          </w:tcPr>
          <w:p>
            <w:pPr>
              <w:jc w:val="right"/>
              <w:ind w:right="233"/>
              <w:spacing w:after="0" w:line="202" w:lineRule="exact"/>
              <w:rPr>
                <w:sz w:val="20"/>
                <w:szCs w:val="20"/>
                <w:color w:val="auto"/>
              </w:rPr>
            </w:pPr>
            <w:r>
              <w:rPr>
                <w:rFonts w:ascii="Arial" w:cs="Arial" w:eastAsia="Arial" w:hAnsi="Arial"/>
                <w:sz w:val="18"/>
                <w:szCs w:val="18"/>
                <w:color w:val="auto"/>
              </w:rPr>
              <w:t>37.4</w:t>
            </w:r>
          </w:p>
        </w:tc>
        <w:tc>
          <w:tcPr>
            <w:tcW w:w="120" w:type="dxa"/>
            <w:vAlign w:val="bottom"/>
            <w:shd w:val="clear" w:color="auto" w:fill="E6E6E6"/>
          </w:tcPr>
          <w:p>
            <w:pPr>
              <w:spacing w:after="0"/>
              <w:rPr>
                <w:sz w:val="17"/>
                <w:szCs w:val="17"/>
                <w:color w:val="auto"/>
              </w:rPr>
            </w:pPr>
          </w:p>
        </w:tc>
        <w:tc>
          <w:tcPr>
            <w:tcW w:w="1260" w:type="dxa"/>
            <w:vAlign w:val="bottom"/>
            <w:shd w:val="clear" w:color="auto" w:fill="E6E6E6"/>
          </w:tcPr>
          <w:p>
            <w:pPr>
              <w:jc w:val="right"/>
              <w:ind w:right="253"/>
              <w:spacing w:after="0" w:line="202" w:lineRule="exact"/>
              <w:rPr>
                <w:sz w:val="20"/>
                <w:szCs w:val="20"/>
                <w:color w:val="auto"/>
              </w:rPr>
            </w:pPr>
            <w:r>
              <w:rPr>
                <w:rFonts w:ascii="Arial" w:cs="Arial" w:eastAsia="Arial" w:hAnsi="Arial"/>
                <w:sz w:val="18"/>
                <w:szCs w:val="18"/>
                <w:color w:val="auto"/>
              </w:rPr>
              <w:t>39.2</w:t>
            </w:r>
          </w:p>
        </w:tc>
        <w:tc>
          <w:tcPr>
            <w:tcW w:w="100" w:type="dxa"/>
            <w:vAlign w:val="bottom"/>
            <w:shd w:val="clear" w:color="auto" w:fill="E6E6E6"/>
          </w:tcPr>
          <w:p>
            <w:pPr>
              <w:spacing w:after="0"/>
              <w:rPr>
                <w:sz w:val="17"/>
                <w:szCs w:val="17"/>
                <w:color w:val="auto"/>
              </w:rPr>
            </w:pPr>
          </w:p>
        </w:tc>
        <w:tc>
          <w:tcPr>
            <w:tcW w:w="1140" w:type="dxa"/>
            <w:vAlign w:val="bottom"/>
            <w:shd w:val="clear" w:color="auto" w:fill="E6E6E6"/>
          </w:tcPr>
          <w:p>
            <w:pPr>
              <w:jc w:val="right"/>
              <w:ind w:right="113"/>
              <w:spacing w:after="0" w:line="202" w:lineRule="exact"/>
              <w:rPr>
                <w:sz w:val="20"/>
                <w:szCs w:val="20"/>
                <w:color w:val="auto"/>
              </w:rPr>
            </w:pPr>
            <w:r>
              <w:rPr>
                <w:rFonts w:ascii="Arial" w:cs="Arial" w:eastAsia="Arial" w:hAnsi="Arial"/>
                <w:sz w:val="18"/>
                <w:szCs w:val="18"/>
                <w:color w:val="auto"/>
              </w:rPr>
              <w:t>43.0</w:t>
            </w:r>
          </w:p>
        </w:tc>
        <w:tc>
          <w:tcPr>
            <w:tcW w:w="260" w:type="dxa"/>
            <w:vAlign w:val="bottom"/>
            <w:shd w:val="clear" w:color="auto" w:fill="E6E6E6"/>
          </w:tcPr>
          <w:p>
            <w:pPr>
              <w:spacing w:after="0"/>
              <w:rPr>
                <w:sz w:val="17"/>
                <w:szCs w:val="17"/>
                <w:color w:val="auto"/>
              </w:rPr>
            </w:pPr>
          </w:p>
        </w:tc>
        <w:tc>
          <w:tcPr>
            <w:tcW w:w="1060" w:type="dxa"/>
            <w:vAlign w:val="bottom"/>
            <w:shd w:val="clear" w:color="auto" w:fill="E6E6E6"/>
          </w:tcPr>
          <w:p>
            <w:pPr>
              <w:jc w:val="right"/>
              <w:ind w:right="33"/>
              <w:spacing w:after="0" w:line="202" w:lineRule="exact"/>
              <w:rPr>
                <w:sz w:val="20"/>
                <w:szCs w:val="20"/>
                <w:color w:val="auto"/>
              </w:rPr>
            </w:pPr>
            <w:r>
              <w:rPr>
                <w:rFonts w:ascii="Arial" w:cs="Arial" w:eastAsia="Arial" w:hAnsi="Arial"/>
                <w:sz w:val="18"/>
                <w:szCs w:val="18"/>
                <w:color w:val="auto"/>
              </w:rPr>
              <w:t>42.2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4460" w:type="dxa"/>
            <w:vAlign w:val="bottom"/>
            <w:gridSpan w:val="2"/>
          </w:tcPr>
          <w:p>
            <w:pPr>
              <w:spacing w:after="0"/>
              <w:rPr>
                <w:sz w:val="20"/>
                <w:szCs w:val="20"/>
                <w:color w:val="auto"/>
              </w:rPr>
            </w:pPr>
            <w:r>
              <w:rPr>
                <w:rFonts w:ascii="Arial" w:cs="Arial" w:eastAsia="Arial" w:hAnsi="Arial"/>
                <w:sz w:val="18"/>
                <w:szCs w:val="18"/>
                <w:color w:val="auto"/>
              </w:rPr>
              <w:t>Dividends declared per common share</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253"/>
              <w:spacing w:after="0"/>
              <w:rPr>
                <w:sz w:val="20"/>
                <w:szCs w:val="20"/>
                <w:color w:val="auto"/>
              </w:rPr>
            </w:pPr>
            <w:r>
              <w:rPr>
                <w:rFonts w:ascii="Arial" w:cs="Arial" w:eastAsia="Arial" w:hAnsi="Arial"/>
                <w:sz w:val="18"/>
                <w:szCs w:val="18"/>
                <w:color w:val="auto"/>
              </w:rPr>
              <w:t>0.30</w:t>
            </w:r>
          </w:p>
        </w:tc>
        <w:tc>
          <w:tcPr>
            <w:tcW w:w="13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30" w:type="dxa"/>
            <w:vAlign w:val="bottom"/>
          </w:tcPr>
          <w:p>
            <w:pPr>
              <w:jc w:val="right"/>
              <w:ind w:right="233"/>
              <w:spacing w:after="0"/>
              <w:rPr>
                <w:sz w:val="20"/>
                <w:szCs w:val="20"/>
                <w:color w:val="auto"/>
              </w:rPr>
            </w:pPr>
            <w:r>
              <w:rPr>
                <w:rFonts w:ascii="Arial" w:cs="Arial" w:eastAsia="Arial" w:hAnsi="Arial"/>
                <w:sz w:val="18"/>
                <w:szCs w:val="18"/>
                <w:color w:val="auto"/>
              </w:rPr>
              <w:t>0.30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253"/>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7"/>
        </w:trPr>
        <w:tc>
          <w:tcPr>
            <w:tcW w:w="20" w:type="dxa"/>
            <w:vAlign w:val="bottom"/>
            <w:tcBorders>
              <w:bottom w:val="single" w:sz="8" w:color="808080"/>
            </w:tcBorders>
          </w:tcPr>
          <w:p>
            <w:pPr>
              <w:spacing w:after="0"/>
              <w:rPr>
                <w:sz w:val="9"/>
                <w:szCs w:val="9"/>
                <w:color w:val="auto"/>
              </w:rPr>
            </w:pPr>
          </w:p>
        </w:tc>
        <w:tc>
          <w:tcPr>
            <w:tcW w:w="444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130" w:type="dxa"/>
            <w:vAlign w:val="bottom"/>
            <w:tcBorders>
              <w:bottom w:val="single" w:sz="8" w:color="808080"/>
            </w:tcBorders>
          </w:tcPr>
          <w:p>
            <w:pPr>
              <w:spacing w:after="0"/>
              <w:rPr>
                <w:sz w:val="9"/>
                <w:szCs w:val="9"/>
                <w:color w:val="auto"/>
              </w:rPr>
            </w:pPr>
          </w:p>
        </w:tc>
        <w:tc>
          <w:tcPr>
            <w:tcW w:w="123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4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30" w:type="dxa"/>
            <w:vAlign w:val="bottom"/>
          </w:tcPr>
          <w:p>
            <w:pPr>
              <w:spacing w:after="0"/>
              <w:rPr>
                <w:sz w:val="9"/>
                <w:szCs w:val="9"/>
                <w:color w:val="auto"/>
              </w:rPr>
            </w:pPr>
          </w:p>
        </w:tc>
        <w:tc>
          <w:tcPr>
            <w:tcW w:w="123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440" w:type="dxa"/>
            <w:vAlign w:val="bottom"/>
            <w:shd w:val="clear" w:color="auto" w:fill="E6E6E6"/>
          </w:tcPr>
          <w:p>
            <w:pPr>
              <w:spacing w:after="0" w:line="202" w:lineRule="exact"/>
              <w:rPr>
                <w:sz w:val="20"/>
                <w:szCs w:val="20"/>
                <w:color w:val="auto"/>
              </w:rPr>
            </w:pPr>
            <w:r>
              <w:rPr>
                <w:rFonts w:ascii="Arial" w:cs="Arial" w:eastAsia="Arial" w:hAnsi="Arial"/>
                <w:sz w:val="18"/>
                <w:szCs w:val="18"/>
                <w:b w:val="1"/>
                <w:bCs w:val="1"/>
                <w:color w:val="auto"/>
              </w:rPr>
              <w:t>Balance Sheet Data:</w:t>
            </w:r>
          </w:p>
        </w:tc>
        <w:tc>
          <w:tcPr>
            <w:tcW w:w="400" w:type="dxa"/>
            <w:vAlign w:val="bottom"/>
            <w:shd w:val="clear" w:color="auto" w:fill="E6E6E6"/>
          </w:tcPr>
          <w:p>
            <w:pPr>
              <w:spacing w:after="0"/>
              <w:rPr>
                <w:sz w:val="17"/>
                <w:szCs w:val="17"/>
                <w:color w:val="auto"/>
              </w:rPr>
            </w:pPr>
          </w:p>
        </w:tc>
        <w:tc>
          <w:tcPr>
            <w:tcW w:w="1260" w:type="dxa"/>
            <w:vAlign w:val="bottom"/>
            <w:shd w:val="clear" w:color="auto" w:fill="E6E6E6"/>
          </w:tcPr>
          <w:p>
            <w:pPr>
              <w:spacing w:after="0"/>
              <w:rPr>
                <w:sz w:val="17"/>
                <w:szCs w:val="17"/>
                <w:color w:val="auto"/>
              </w:rPr>
            </w:pPr>
          </w:p>
        </w:tc>
        <w:tc>
          <w:tcPr>
            <w:tcW w:w="130" w:type="dxa"/>
            <w:vAlign w:val="bottom"/>
            <w:shd w:val="clear" w:color="auto" w:fill="E6E6E6"/>
          </w:tcPr>
          <w:p>
            <w:pPr>
              <w:spacing w:after="0"/>
              <w:rPr>
                <w:sz w:val="17"/>
                <w:szCs w:val="17"/>
                <w:color w:val="auto"/>
              </w:rPr>
            </w:pPr>
          </w:p>
        </w:tc>
        <w:tc>
          <w:tcPr>
            <w:tcW w:w="1230" w:type="dxa"/>
            <w:vAlign w:val="bottom"/>
            <w:shd w:val="clear" w:color="auto" w:fill="E6E6E6"/>
          </w:tcPr>
          <w:p>
            <w:pPr>
              <w:spacing w:after="0"/>
              <w:rPr>
                <w:sz w:val="17"/>
                <w:szCs w:val="17"/>
                <w:color w:val="auto"/>
              </w:rPr>
            </w:pPr>
          </w:p>
        </w:tc>
        <w:tc>
          <w:tcPr>
            <w:tcW w:w="120" w:type="dxa"/>
            <w:vAlign w:val="bottom"/>
            <w:shd w:val="clear" w:color="auto" w:fill="E6E6E6"/>
          </w:tcPr>
          <w:p>
            <w:pPr>
              <w:spacing w:after="0"/>
              <w:rPr>
                <w:sz w:val="17"/>
                <w:szCs w:val="17"/>
                <w:color w:val="auto"/>
              </w:rPr>
            </w:pPr>
          </w:p>
        </w:tc>
        <w:tc>
          <w:tcPr>
            <w:tcW w:w="1260" w:type="dxa"/>
            <w:vAlign w:val="bottom"/>
            <w:shd w:val="clear" w:color="auto" w:fill="E6E6E6"/>
          </w:tcPr>
          <w:p>
            <w:pPr>
              <w:spacing w:after="0"/>
              <w:rPr>
                <w:sz w:val="17"/>
                <w:szCs w:val="17"/>
                <w:color w:val="auto"/>
              </w:rPr>
            </w:pPr>
          </w:p>
        </w:tc>
        <w:tc>
          <w:tcPr>
            <w:tcW w:w="100" w:type="dxa"/>
            <w:vAlign w:val="bottom"/>
            <w:shd w:val="clear" w:color="auto" w:fill="E6E6E6"/>
          </w:tcPr>
          <w:p>
            <w:pPr>
              <w:spacing w:after="0"/>
              <w:rPr>
                <w:sz w:val="17"/>
                <w:szCs w:val="17"/>
                <w:color w:val="auto"/>
              </w:rPr>
            </w:pPr>
          </w:p>
        </w:tc>
        <w:tc>
          <w:tcPr>
            <w:tcW w:w="1140" w:type="dxa"/>
            <w:vAlign w:val="bottom"/>
            <w:shd w:val="clear" w:color="auto" w:fill="E6E6E6"/>
          </w:tcPr>
          <w:p>
            <w:pPr>
              <w:spacing w:after="0"/>
              <w:rPr>
                <w:sz w:val="17"/>
                <w:szCs w:val="17"/>
                <w:color w:val="auto"/>
              </w:rPr>
            </w:pPr>
          </w:p>
        </w:tc>
        <w:tc>
          <w:tcPr>
            <w:tcW w:w="260" w:type="dxa"/>
            <w:vAlign w:val="bottom"/>
            <w:shd w:val="clear" w:color="auto" w:fill="E6E6E6"/>
          </w:tcPr>
          <w:p>
            <w:pPr>
              <w:spacing w:after="0"/>
              <w:rPr>
                <w:sz w:val="17"/>
                <w:szCs w:val="17"/>
                <w:color w:val="auto"/>
              </w:rPr>
            </w:pPr>
          </w:p>
        </w:tc>
        <w:tc>
          <w:tcPr>
            <w:tcW w:w="1060" w:type="dxa"/>
            <w:vAlign w:val="bottom"/>
            <w:shd w:val="clear" w:color="auto" w:fill="E6E6E6"/>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60" w:type="dxa"/>
            <w:vAlign w:val="bottom"/>
            <w:gridSpan w:val="2"/>
          </w:tcPr>
          <w:p>
            <w:pPr>
              <w:spacing w:after="0" w:line="202" w:lineRule="exact"/>
              <w:rPr>
                <w:sz w:val="20"/>
                <w:szCs w:val="20"/>
                <w:color w:val="auto"/>
              </w:rPr>
            </w:pPr>
            <w:r>
              <w:rPr>
                <w:rFonts w:ascii="Arial" w:cs="Arial" w:eastAsia="Arial" w:hAnsi="Arial"/>
                <w:sz w:val="18"/>
                <w:szCs w:val="18"/>
                <w:color w:val="auto"/>
              </w:rPr>
              <w:t>Working Capital</w:t>
            </w:r>
          </w:p>
        </w:tc>
        <w:tc>
          <w:tcPr>
            <w:tcW w:w="4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260" w:type="dxa"/>
            <w:vAlign w:val="bottom"/>
          </w:tcPr>
          <w:p>
            <w:pPr>
              <w:jc w:val="right"/>
              <w:ind w:right="253"/>
              <w:spacing w:after="0" w:line="202" w:lineRule="exact"/>
              <w:rPr>
                <w:sz w:val="20"/>
                <w:szCs w:val="20"/>
                <w:color w:val="auto"/>
              </w:rPr>
            </w:pPr>
            <w:r>
              <w:rPr>
                <w:rFonts w:ascii="Arial" w:cs="Arial" w:eastAsia="Arial" w:hAnsi="Arial"/>
                <w:sz w:val="18"/>
                <w:szCs w:val="18"/>
                <w:color w:val="auto"/>
              </w:rPr>
              <w:t>501.1</w:t>
            </w:r>
          </w:p>
        </w:tc>
        <w:tc>
          <w:tcPr>
            <w:tcW w:w="13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230" w:type="dxa"/>
            <w:vAlign w:val="bottom"/>
          </w:tcPr>
          <w:p>
            <w:pPr>
              <w:jc w:val="right"/>
              <w:ind w:right="233"/>
              <w:spacing w:after="0" w:line="202" w:lineRule="exact"/>
              <w:rPr>
                <w:sz w:val="20"/>
                <w:szCs w:val="20"/>
                <w:color w:val="auto"/>
              </w:rPr>
            </w:pPr>
            <w:r>
              <w:rPr>
                <w:rFonts w:ascii="Arial" w:cs="Arial" w:eastAsia="Arial" w:hAnsi="Arial"/>
                <w:sz w:val="18"/>
                <w:szCs w:val="18"/>
                <w:color w:val="auto"/>
              </w:rPr>
              <w:t>412.4</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260" w:type="dxa"/>
            <w:vAlign w:val="bottom"/>
          </w:tcPr>
          <w:p>
            <w:pPr>
              <w:jc w:val="right"/>
              <w:ind w:right="253"/>
              <w:spacing w:after="0" w:line="202" w:lineRule="exact"/>
              <w:rPr>
                <w:sz w:val="20"/>
                <w:szCs w:val="20"/>
                <w:color w:val="auto"/>
              </w:rPr>
            </w:pPr>
            <w:r>
              <w:rPr>
                <w:rFonts w:ascii="Arial" w:cs="Arial" w:eastAsia="Arial" w:hAnsi="Arial"/>
                <w:sz w:val="18"/>
                <w:szCs w:val="18"/>
                <w:color w:val="auto"/>
              </w:rPr>
              <w:t>475.9</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140" w:type="dxa"/>
            <w:vAlign w:val="bottom"/>
          </w:tcPr>
          <w:p>
            <w:pPr>
              <w:jc w:val="right"/>
              <w:ind w:right="113"/>
              <w:spacing w:after="0" w:line="202" w:lineRule="exact"/>
              <w:rPr>
                <w:sz w:val="20"/>
                <w:szCs w:val="20"/>
                <w:color w:val="auto"/>
              </w:rPr>
            </w:pPr>
            <w:r>
              <w:rPr>
                <w:rFonts w:ascii="Arial" w:cs="Arial" w:eastAsia="Arial" w:hAnsi="Arial"/>
                <w:sz w:val="18"/>
                <w:szCs w:val="18"/>
                <w:color w:val="auto"/>
              </w:rPr>
              <w:t>502.8</w:t>
            </w:r>
          </w:p>
        </w:tc>
        <w:tc>
          <w:tcPr>
            <w:tcW w:w="2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60" w:type="dxa"/>
            <w:vAlign w:val="bottom"/>
          </w:tcPr>
          <w:p>
            <w:pPr>
              <w:jc w:val="right"/>
              <w:ind w:right="33"/>
              <w:spacing w:after="0" w:line="202" w:lineRule="exact"/>
              <w:rPr>
                <w:sz w:val="20"/>
                <w:szCs w:val="20"/>
                <w:color w:val="auto"/>
              </w:rPr>
            </w:pPr>
            <w:r>
              <w:rPr>
                <w:rFonts w:ascii="Arial" w:cs="Arial" w:eastAsia="Arial" w:hAnsi="Arial"/>
                <w:sz w:val="18"/>
                <w:szCs w:val="18"/>
                <w:color w:val="auto"/>
              </w:rPr>
              <w:t>390.0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4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Cash and cash equivalents</w:t>
            </w:r>
          </w:p>
        </w:tc>
        <w:tc>
          <w:tcPr>
            <w:tcW w:w="400" w:type="dxa"/>
            <w:vAlign w:val="bottom"/>
            <w:shd w:val="clear" w:color="auto" w:fill="E6E6E6"/>
          </w:tcPr>
          <w:p>
            <w:pPr>
              <w:spacing w:after="0"/>
              <w:rPr>
                <w:sz w:val="17"/>
                <w:szCs w:val="17"/>
                <w:color w:val="auto"/>
              </w:rPr>
            </w:pPr>
          </w:p>
        </w:tc>
        <w:tc>
          <w:tcPr>
            <w:tcW w:w="1260" w:type="dxa"/>
            <w:vAlign w:val="bottom"/>
            <w:shd w:val="clear" w:color="auto" w:fill="E6E6E6"/>
          </w:tcPr>
          <w:p>
            <w:pPr>
              <w:jc w:val="right"/>
              <w:ind w:right="253"/>
              <w:spacing w:after="0" w:line="202" w:lineRule="exact"/>
              <w:rPr>
                <w:sz w:val="20"/>
                <w:szCs w:val="20"/>
                <w:color w:val="auto"/>
              </w:rPr>
            </w:pPr>
            <w:r>
              <w:rPr>
                <w:rFonts w:ascii="Arial" w:cs="Arial" w:eastAsia="Arial" w:hAnsi="Arial"/>
                <w:sz w:val="18"/>
                <w:szCs w:val="18"/>
                <w:color w:val="auto"/>
              </w:rPr>
              <w:t>244.1</w:t>
            </w:r>
          </w:p>
        </w:tc>
        <w:tc>
          <w:tcPr>
            <w:tcW w:w="130" w:type="dxa"/>
            <w:vAlign w:val="bottom"/>
            <w:shd w:val="clear" w:color="auto" w:fill="E6E6E6"/>
          </w:tcPr>
          <w:p>
            <w:pPr>
              <w:spacing w:after="0"/>
              <w:rPr>
                <w:sz w:val="17"/>
                <w:szCs w:val="17"/>
                <w:color w:val="auto"/>
              </w:rPr>
            </w:pPr>
          </w:p>
        </w:tc>
        <w:tc>
          <w:tcPr>
            <w:tcW w:w="1230" w:type="dxa"/>
            <w:vAlign w:val="bottom"/>
            <w:shd w:val="clear" w:color="auto" w:fill="E6E6E6"/>
          </w:tcPr>
          <w:p>
            <w:pPr>
              <w:jc w:val="right"/>
              <w:ind w:right="233"/>
              <w:spacing w:after="0" w:line="202" w:lineRule="exact"/>
              <w:rPr>
                <w:sz w:val="20"/>
                <w:szCs w:val="20"/>
                <w:color w:val="auto"/>
              </w:rPr>
            </w:pPr>
            <w:r>
              <w:rPr>
                <w:rFonts w:ascii="Arial" w:cs="Arial" w:eastAsia="Arial" w:hAnsi="Arial"/>
                <w:sz w:val="18"/>
                <w:szCs w:val="18"/>
                <w:color w:val="auto"/>
              </w:rPr>
              <w:t>143.6</w:t>
            </w:r>
          </w:p>
        </w:tc>
        <w:tc>
          <w:tcPr>
            <w:tcW w:w="120" w:type="dxa"/>
            <w:vAlign w:val="bottom"/>
            <w:shd w:val="clear" w:color="auto" w:fill="E6E6E6"/>
          </w:tcPr>
          <w:p>
            <w:pPr>
              <w:spacing w:after="0"/>
              <w:rPr>
                <w:sz w:val="17"/>
                <w:szCs w:val="17"/>
                <w:color w:val="auto"/>
              </w:rPr>
            </w:pPr>
          </w:p>
        </w:tc>
        <w:tc>
          <w:tcPr>
            <w:tcW w:w="1260" w:type="dxa"/>
            <w:vAlign w:val="bottom"/>
            <w:shd w:val="clear" w:color="auto" w:fill="E6E6E6"/>
          </w:tcPr>
          <w:p>
            <w:pPr>
              <w:jc w:val="right"/>
              <w:ind w:right="253"/>
              <w:spacing w:after="0" w:line="202" w:lineRule="exact"/>
              <w:rPr>
                <w:sz w:val="20"/>
                <w:szCs w:val="20"/>
                <w:color w:val="auto"/>
              </w:rPr>
            </w:pPr>
            <w:r>
              <w:rPr>
                <w:rFonts w:ascii="Arial" w:cs="Arial" w:eastAsia="Arial" w:hAnsi="Arial"/>
                <w:sz w:val="18"/>
                <w:szCs w:val="18"/>
                <w:color w:val="auto"/>
              </w:rPr>
              <w:t>116.1</w:t>
            </w:r>
          </w:p>
        </w:tc>
        <w:tc>
          <w:tcPr>
            <w:tcW w:w="100" w:type="dxa"/>
            <w:vAlign w:val="bottom"/>
            <w:shd w:val="clear" w:color="auto" w:fill="E6E6E6"/>
          </w:tcPr>
          <w:p>
            <w:pPr>
              <w:spacing w:after="0"/>
              <w:rPr>
                <w:sz w:val="17"/>
                <w:szCs w:val="17"/>
                <w:color w:val="auto"/>
              </w:rPr>
            </w:pPr>
          </w:p>
        </w:tc>
        <w:tc>
          <w:tcPr>
            <w:tcW w:w="1140" w:type="dxa"/>
            <w:vAlign w:val="bottom"/>
            <w:shd w:val="clear" w:color="auto" w:fill="E6E6E6"/>
          </w:tcPr>
          <w:p>
            <w:pPr>
              <w:jc w:val="right"/>
              <w:ind w:right="113"/>
              <w:spacing w:after="0" w:line="202" w:lineRule="exact"/>
              <w:rPr>
                <w:sz w:val="20"/>
                <w:szCs w:val="20"/>
                <w:color w:val="auto"/>
              </w:rPr>
            </w:pPr>
            <w:r>
              <w:rPr>
                <w:rFonts w:ascii="Arial" w:cs="Arial" w:eastAsia="Arial" w:hAnsi="Arial"/>
                <w:sz w:val="18"/>
                <w:szCs w:val="18"/>
                <w:color w:val="auto"/>
              </w:rPr>
              <w:t>19.8</w:t>
            </w:r>
          </w:p>
        </w:tc>
        <w:tc>
          <w:tcPr>
            <w:tcW w:w="260" w:type="dxa"/>
            <w:vAlign w:val="bottom"/>
            <w:shd w:val="clear" w:color="auto" w:fill="E6E6E6"/>
          </w:tcPr>
          <w:p>
            <w:pPr>
              <w:spacing w:after="0"/>
              <w:rPr>
                <w:sz w:val="17"/>
                <w:szCs w:val="17"/>
                <w:color w:val="auto"/>
              </w:rPr>
            </w:pPr>
          </w:p>
        </w:tc>
        <w:tc>
          <w:tcPr>
            <w:tcW w:w="1060" w:type="dxa"/>
            <w:vAlign w:val="bottom"/>
            <w:shd w:val="clear" w:color="auto" w:fill="E6E6E6"/>
          </w:tcPr>
          <w:p>
            <w:pPr>
              <w:jc w:val="right"/>
              <w:ind w:right="33"/>
              <w:spacing w:after="0" w:line="202" w:lineRule="exact"/>
              <w:rPr>
                <w:sz w:val="20"/>
                <w:szCs w:val="20"/>
                <w:color w:val="auto"/>
              </w:rPr>
            </w:pPr>
            <w:r>
              <w:rPr>
                <w:rFonts w:ascii="Arial" w:cs="Arial" w:eastAsia="Arial" w:hAnsi="Arial"/>
                <w:sz w:val="18"/>
                <w:szCs w:val="18"/>
                <w:color w:val="auto"/>
              </w:rPr>
              <w:t>199.4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60" w:type="dxa"/>
            <w:vAlign w:val="bottom"/>
            <w:gridSpan w:val="2"/>
          </w:tcPr>
          <w:p>
            <w:pPr>
              <w:spacing w:after="0" w:line="202" w:lineRule="exact"/>
              <w:rPr>
                <w:sz w:val="20"/>
                <w:szCs w:val="20"/>
                <w:color w:val="auto"/>
              </w:rPr>
            </w:pPr>
            <w:r>
              <w:rPr>
                <w:rFonts w:ascii="Arial" w:cs="Arial" w:eastAsia="Arial" w:hAnsi="Arial"/>
                <w:sz w:val="18"/>
                <w:szCs w:val="18"/>
                <w:color w:val="auto"/>
              </w:rPr>
              <w:t>Total assets</w:t>
            </w:r>
          </w:p>
        </w:tc>
        <w:tc>
          <w:tcPr>
            <w:tcW w:w="400" w:type="dxa"/>
            <w:vAlign w:val="bottom"/>
          </w:tcPr>
          <w:p>
            <w:pPr>
              <w:spacing w:after="0"/>
              <w:rPr>
                <w:sz w:val="17"/>
                <w:szCs w:val="17"/>
                <w:color w:val="auto"/>
              </w:rPr>
            </w:pPr>
          </w:p>
        </w:tc>
        <w:tc>
          <w:tcPr>
            <w:tcW w:w="1260" w:type="dxa"/>
            <w:vAlign w:val="bottom"/>
          </w:tcPr>
          <w:p>
            <w:pPr>
              <w:jc w:val="right"/>
              <w:ind w:right="253"/>
              <w:spacing w:after="0" w:line="202" w:lineRule="exact"/>
              <w:rPr>
                <w:sz w:val="20"/>
                <w:szCs w:val="20"/>
                <w:color w:val="auto"/>
              </w:rPr>
            </w:pPr>
            <w:r>
              <w:rPr>
                <w:rFonts w:ascii="Arial" w:cs="Arial" w:eastAsia="Arial" w:hAnsi="Arial"/>
                <w:sz w:val="18"/>
                <w:szCs w:val="18"/>
                <w:color w:val="auto"/>
              </w:rPr>
              <w:t>1,600.4</w:t>
            </w:r>
          </w:p>
        </w:tc>
        <w:tc>
          <w:tcPr>
            <w:tcW w:w="130" w:type="dxa"/>
            <w:vAlign w:val="bottom"/>
          </w:tcPr>
          <w:p>
            <w:pPr>
              <w:spacing w:after="0"/>
              <w:rPr>
                <w:sz w:val="17"/>
                <w:szCs w:val="17"/>
                <w:color w:val="auto"/>
              </w:rPr>
            </w:pPr>
          </w:p>
        </w:tc>
        <w:tc>
          <w:tcPr>
            <w:tcW w:w="1230" w:type="dxa"/>
            <w:vAlign w:val="bottom"/>
          </w:tcPr>
          <w:p>
            <w:pPr>
              <w:jc w:val="right"/>
              <w:ind w:right="233"/>
              <w:spacing w:after="0" w:line="202" w:lineRule="exact"/>
              <w:rPr>
                <w:sz w:val="20"/>
                <w:szCs w:val="20"/>
                <w:color w:val="auto"/>
              </w:rPr>
            </w:pPr>
            <w:r>
              <w:rPr>
                <w:rFonts w:ascii="Arial" w:cs="Arial" w:eastAsia="Arial" w:hAnsi="Arial"/>
                <w:sz w:val="18"/>
                <w:szCs w:val="18"/>
                <w:color w:val="auto"/>
              </w:rPr>
              <w:t>1,608.8</w:t>
            </w:r>
          </w:p>
        </w:tc>
        <w:tc>
          <w:tcPr>
            <w:tcW w:w="120" w:type="dxa"/>
            <w:vAlign w:val="bottom"/>
          </w:tcPr>
          <w:p>
            <w:pPr>
              <w:spacing w:after="0"/>
              <w:rPr>
                <w:sz w:val="17"/>
                <w:szCs w:val="17"/>
                <w:color w:val="auto"/>
              </w:rPr>
            </w:pPr>
          </w:p>
        </w:tc>
        <w:tc>
          <w:tcPr>
            <w:tcW w:w="1260" w:type="dxa"/>
            <w:vAlign w:val="bottom"/>
          </w:tcPr>
          <w:p>
            <w:pPr>
              <w:jc w:val="right"/>
              <w:ind w:right="253"/>
              <w:spacing w:after="0" w:line="202" w:lineRule="exact"/>
              <w:rPr>
                <w:sz w:val="20"/>
                <w:szCs w:val="20"/>
                <w:color w:val="auto"/>
              </w:rPr>
            </w:pPr>
            <w:r>
              <w:rPr>
                <w:rFonts w:ascii="Arial" w:cs="Arial" w:eastAsia="Arial" w:hAnsi="Arial"/>
                <w:sz w:val="18"/>
                <w:szCs w:val="18"/>
                <w:color w:val="auto"/>
              </w:rPr>
              <w:t>1,761.6</w:t>
            </w:r>
          </w:p>
        </w:tc>
        <w:tc>
          <w:tcPr>
            <w:tcW w:w="100" w:type="dxa"/>
            <w:vAlign w:val="bottom"/>
          </w:tcPr>
          <w:p>
            <w:pPr>
              <w:spacing w:after="0"/>
              <w:rPr>
                <w:sz w:val="17"/>
                <w:szCs w:val="17"/>
                <w:color w:val="auto"/>
              </w:rPr>
            </w:pPr>
          </w:p>
        </w:tc>
        <w:tc>
          <w:tcPr>
            <w:tcW w:w="1140" w:type="dxa"/>
            <w:vAlign w:val="bottom"/>
          </w:tcPr>
          <w:p>
            <w:pPr>
              <w:jc w:val="right"/>
              <w:ind w:right="113"/>
              <w:spacing w:after="0" w:line="202" w:lineRule="exact"/>
              <w:rPr>
                <w:sz w:val="20"/>
                <w:szCs w:val="20"/>
                <w:color w:val="auto"/>
              </w:rPr>
            </w:pPr>
            <w:r>
              <w:rPr>
                <w:rFonts w:ascii="Arial" w:cs="Arial" w:eastAsia="Arial" w:hAnsi="Arial"/>
                <w:sz w:val="18"/>
                <w:szCs w:val="18"/>
                <w:color w:val="auto"/>
              </w:rPr>
              <w:t>1,816.7</w:t>
            </w:r>
          </w:p>
        </w:tc>
        <w:tc>
          <w:tcPr>
            <w:tcW w:w="260" w:type="dxa"/>
            <w:vAlign w:val="bottom"/>
          </w:tcPr>
          <w:p>
            <w:pPr>
              <w:spacing w:after="0"/>
              <w:rPr>
                <w:sz w:val="17"/>
                <w:szCs w:val="17"/>
                <w:color w:val="auto"/>
              </w:rPr>
            </w:pPr>
          </w:p>
        </w:tc>
        <w:tc>
          <w:tcPr>
            <w:tcW w:w="1060" w:type="dxa"/>
            <w:vAlign w:val="bottom"/>
          </w:tcPr>
          <w:p>
            <w:pPr>
              <w:jc w:val="right"/>
              <w:ind w:right="33"/>
              <w:spacing w:after="0" w:line="202" w:lineRule="exact"/>
              <w:rPr>
                <w:sz w:val="20"/>
                <w:szCs w:val="20"/>
                <w:color w:val="auto"/>
              </w:rPr>
            </w:pPr>
            <w:r>
              <w:rPr>
                <w:rFonts w:ascii="Arial" w:cs="Arial" w:eastAsia="Arial" w:hAnsi="Arial"/>
                <w:sz w:val="18"/>
                <w:szCs w:val="18"/>
                <w:color w:val="auto"/>
              </w:rPr>
              <w:t>1,991.2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4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Long-term debt (excluding capital leases)</w:t>
            </w:r>
          </w:p>
        </w:tc>
        <w:tc>
          <w:tcPr>
            <w:tcW w:w="400" w:type="dxa"/>
            <w:vAlign w:val="bottom"/>
            <w:shd w:val="clear" w:color="auto" w:fill="E6E6E6"/>
          </w:tcPr>
          <w:p>
            <w:pPr>
              <w:spacing w:after="0"/>
              <w:rPr>
                <w:sz w:val="17"/>
                <w:szCs w:val="17"/>
                <w:color w:val="auto"/>
              </w:rPr>
            </w:pPr>
          </w:p>
        </w:tc>
        <w:tc>
          <w:tcPr>
            <w:tcW w:w="1260" w:type="dxa"/>
            <w:vAlign w:val="bottom"/>
            <w:shd w:val="clear" w:color="auto" w:fill="E6E6E6"/>
          </w:tcPr>
          <w:p>
            <w:pPr>
              <w:jc w:val="right"/>
              <w:ind w:right="253"/>
              <w:spacing w:after="0" w:line="202" w:lineRule="exact"/>
              <w:rPr>
                <w:sz w:val="20"/>
                <w:szCs w:val="20"/>
                <w:color w:val="auto"/>
              </w:rPr>
            </w:pPr>
            <w:r>
              <w:rPr>
                <w:rFonts w:ascii="Arial" w:cs="Arial" w:eastAsia="Arial" w:hAnsi="Arial"/>
                <w:sz w:val="18"/>
                <w:szCs w:val="18"/>
                <w:color w:val="auto"/>
              </w:rPr>
              <w:t>202.5</w:t>
            </w:r>
          </w:p>
        </w:tc>
        <w:tc>
          <w:tcPr>
            <w:tcW w:w="130" w:type="dxa"/>
            <w:vAlign w:val="bottom"/>
            <w:shd w:val="clear" w:color="auto" w:fill="E6E6E6"/>
          </w:tcPr>
          <w:p>
            <w:pPr>
              <w:spacing w:after="0"/>
              <w:rPr>
                <w:sz w:val="17"/>
                <w:szCs w:val="17"/>
                <w:color w:val="auto"/>
              </w:rPr>
            </w:pPr>
          </w:p>
        </w:tc>
        <w:tc>
          <w:tcPr>
            <w:tcW w:w="1230" w:type="dxa"/>
            <w:vAlign w:val="bottom"/>
            <w:shd w:val="clear" w:color="auto" w:fill="E6E6E6"/>
          </w:tcPr>
          <w:p>
            <w:pPr>
              <w:jc w:val="right"/>
              <w:ind w:right="233"/>
              <w:spacing w:after="0" w:line="202" w:lineRule="exact"/>
              <w:rPr>
                <w:sz w:val="20"/>
                <w:szCs w:val="20"/>
                <w:color w:val="auto"/>
              </w:rPr>
            </w:pPr>
            <w:r>
              <w:rPr>
                <w:rFonts w:ascii="Arial" w:cs="Arial" w:eastAsia="Arial" w:hAnsi="Arial"/>
                <w:sz w:val="18"/>
                <w:szCs w:val="18"/>
                <w:color w:val="auto"/>
              </w:rPr>
              <w:t>250.0</w:t>
            </w:r>
          </w:p>
        </w:tc>
        <w:tc>
          <w:tcPr>
            <w:tcW w:w="120" w:type="dxa"/>
            <w:vAlign w:val="bottom"/>
            <w:shd w:val="clear" w:color="auto" w:fill="E6E6E6"/>
          </w:tcPr>
          <w:p>
            <w:pPr>
              <w:spacing w:after="0"/>
              <w:rPr>
                <w:sz w:val="17"/>
                <w:szCs w:val="17"/>
                <w:color w:val="auto"/>
              </w:rPr>
            </w:pPr>
          </w:p>
        </w:tc>
        <w:tc>
          <w:tcPr>
            <w:tcW w:w="1260" w:type="dxa"/>
            <w:vAlign w:val="bottom"/>
            <w:shd w:val="clear" w:color="auto" w:fill="E6E6E6"/>
          </w:tcPr>
          <w:p>
            <w:pPr>
              <w:jc w:val="right"/>
              <w:ind w:right="253"/>
              <w:spacing w:after="0" w:line="202" w:lineRule="exact"/>
              <w:rPr>
                <w:sz w:val="20"/>
                <w:szCs w:val="20"/>
                <w:color w:val="auto"/>
              </w:rPr>
            </w:pPr>
            <w:r>
              <w:rPr>
                <w:rFonts w:ascii="Arial" w:cs="Arial" w:eastAsia="Arial" w:hAnsi="Arial"/>
                <w:sz w:val="18"/>
                <w:szCs w:val="18"/>
                <w:color w:val="auto"/>
              </w:rPr>
              <w:t>295.1</w:t>
            </w:r>
          </w:p>
        </w:tc>
        <w:tc>
          <w:tcPr>
            <w:tcW w:w="100" w:type="dxa"/>
            <w:vAlign w:val="bottom"/>
            <w:shd w:val="clear" w:color="auto" w:fill="E6E6E6"/>
          </w:tcPr>
          <w:p>
            <w:pPr>
              <w:spacing w:after="0"/>
              <w:rPr>
                <w:sz w:val="17"/>
                <w:szCs w:val="17"/>
                <w:color w:val="auto"/>
              </w:rPr>
            </w:pPr>
          </w:p>
        </w:tc>
        <w:tc>
          <w:tcPr>
            <w:tcW w:w="1140" w:type="dxa"/>
            <w:vAlign w:val="bottom"/>
            <w:shd w:val="clear" w:color="auto" w:fill="E6E6E6"/>
          </w:tcPr>
          <w:p>
            <w:pPr>
              <w:jc w:val="right"/>
              <w:ind w:right="113"/>
              <w:spacing w:after="0" w:line="202" w:lineRule="exact"/>
              <w:rPr>
                <w:sz w:val="20"/>
                <w:szCs w:val="20"/>
                <w:color w:val="auto"/>
              </w:rPr>
            </w:pPr>
            <w:r>
              <w:rPr>
                <w:rFonts w:ascii="Arial" w:cs="Arial" w:eastAsia="Arial" w:hAnsi="Arial"/>
                <w:sz w:val="18"/>
                <w:szCs w:val="18"/>
                <w:color w:val="auto"/>
              </w:rPr>
              <w:t>173.4</w:t>
            </w:r>
          </w:p>
        </w:tc>
        <w:tc>
          <w:tcPr>
            <w:tcW w:w="260" w:type="dxa"/>
            <w:vAlign w:val="bottom"/>
            <w:shd w:val="clear" w:color="auto" w:fill="E6E6E6"/>
          </w:tcPr>
          <w:p>
            <w:pPr>
              <w:spacing w:after="0"/>
              <w:rPr>
                <w:sz w:val="17"/>
                <w:szCs w:val="17"/>
                <w:color w:val="auto"/>
              </w:rPr>
            </w:pPr>
          </w:p>
        </w:tc>
        <w:tc>
          <w:tcPr>
            <w:tcW w:w="1060" w:type="dxa"/>
            <w:vAlign w:val="bottom"/>
            <w:shd w:val="clear" w:color="auto" w:fill="E6E6E6"/>
          </w:tcPr>
          <w:p>
            <w:pPr>
              <w:jc w:val="right"/>
              <w:ind w:right="33"/>
              <w:spacing w:after="0" w:line="202" w:lineRule="exact"/>
              <w:rPr>
                <w:sz w:val="20"/>
                <w:szCs w:val="20"/>
                <w:color w:val="auto"/>
              </w:rPr>
            </w:pPr>
            <w:r>
              <w:rPr>
                <w:rFonts w:ascii="Arial" w:cs="Arial" w:eastAsia="Arial" w:hAnsi="Arial"/>
                <w:sz w:val="18"/>
                <w:szCs w:val="18"/>
                <w:color w:val="auto"/>
              </w:rPr>
              <w:t>173.2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60" w:type="dxa"/>
            <w:vAlign w:val="bottom"/>
            <w:gridSpan w:val="2"/>
          </w:tcPr>
          <w:p>
            <w:pPr>
              <w:spacing w:after="0" w:line="202" w:lineRule="exact"/>
              <w:rPr>
                <w:sz w:val="20"/>
                <w:szCs w:val="20"/>
                <w:color w:val="auto"/>
              </w:rPr>
            </w:pPr>
            <w:r>
              <w:rPr>
                <w:rFonts w:ascii="Arial" w:cs="Arial" w:eastAsia="Arial" w:hAnsi="Arial"/>
                <w:sz w:val="18"/>
                <w:szCs w:val="18"/>
                <w:color w:val="auto"/>
              </w:rPr>
              <w:t>Total debt</w:t>
            </w:r>
          </w:p>
        </w:tc>
        <w:tc>
          <w:tcPr>
            <w:tcW w:w="400" w:type="dxa"/>
            <w:vAlign w:val="bottom"/>
          </w:tcPr>
          <w:p>
            <w:pPr>
              <w:spacing w:after="0"/>
              <w:rPr>
                <w:sz w:val="17"/>
                <w:szCs w:val="17"/>
                <w:color w:val="auto"/>
              </w:rPr>
            </w:pPr>
          </w:p>
        </w:tc>
        <w:tc>
          <w:tcPr>
            <w:tcW w:w="1260" w:type="dxa"/>
            <w:vAlign w:val="bottom"/>
          </w:tcPr>
          <w:p>
            <w:pPr>
              <w:jc w:val="right"/>
              <w:ind w:right="253"/>
              <w:spacing w:after="0" w:line="202" w:lineRule="exact"/>
              <w:rPr>
                <w:sz w:val="20"/>
                <w:szCs w:val="20"/>
                <w:color w:val="auto"/>
              </w:rPr>
            </w:pPr>
            <w:r>
              <w:rPr>
                <w:rFonts w:ascii="Arial" w:cs="Arial" w:eastAsia="Arial" w:hAnsi="Arial"/>
                <w:sz w:val="18"/>
                <w:szCs w:val="18"/>
                <w:color w:val="auto"/>
              </w:rPr>
              <w:t>252.8</w:t>
            </w:r>
          </w:p>
        </w:tc>
        <w:tc>
          <w:tcPr>
            <w:tcW w:w="130" w:type="dxa"/>
            <w:vAlign w:val="bottom"/>
          </w:tcPr>
          <w:p>
            <w:pPr>
              <w:spacing w:after="0"/>
              <w:rPr>
                <w:sz w:val="17"/>
                <w:szCs w:val="17"/>
                <w:color w:val="auto"/>
              </w:rPr>
            </w:pPr>
          </w:p>
        </w:tc>
        <w:tc>
          <w:tcPr>
            <w:tcW w:w="1230" w:type="dxa"/>
            <w:vAlign w:val="bottom"/>
          </w:tcPr>
          <w:p>
            <w:pPr>
              <w:jc w:val="right"/>
              <w:ind w:right="233"/>
              <w:spacing w:after="0" w:line="202" w:lineRule="exact"/>
              <w:rPr>
                <w:sz w:val="20"/>
                <w:szCs w:val="20"/>
                <w:color w:val="auto"/>
              </w:rPr>
            </w:pPr>
            <w:r>
              <w:rPr>
                <w:rFonts w:ascii="Arial" w:cs="Arial" w:eastAsia="Arial" w:hAnsi="Arial"/>
                <w:sz w:val="18"/>
                <w:szCs w:val="18"/>
                <w:color w:val="auto"/>
              </w:rPr>
              <w:t>303.7</w:t>
            </w:r>
          </w:p>
        </w:tc>
        <w:tc>
          <w:tcPr>
            <w:tcW w:w="120" w:type="dxa"/>
            <w:vAlign w:val="bottom"/>
          </w:tcPr>
          <w:p>
            <w:pPr>
              <w:spacing w:after="0"/>
              <w:rPr>
                <w:sz w:val="17"/>
                <w:szCs w:val="17"/>
                <w:color w:val="auto"/>
              </w:rPr>
            </w:pPr>
          </w:p>
        </w:tc>
        <w:tc>
          <w:tcPr>
            <w:tcW w:w="1260" w:type="dxa"/>
            <w:vAlign w:val="bottom"/>
          </w:tcPr>
          <w:p>
            <w:pPr>
              <w:jc w:val="right"/>
              <w:ind w:right="253"/>
              <w:spacing w:after="0" w:line="202" w:lineRule="exact"/>
              <w:rPr>
                <w:sz w:val="20"/>
                <w:szCs w:val="20"/>
                <w:color w:val="auto"/>
              </w:rPr>
            </w:pPr>
            <w:r>
              <w:rPr>
                <w:rFonts w:ascii="Arial" w:cs="Arial" w:eastAsia="Arial" w:hAnsi="Arial"/>
                <w:sz w:val="18"/>
                <w:szCs w:val="18"/>
                <w:color w:val="auto"/>
              </w:rPr>
              <w:t>349.7</w:t>
            </w:r>
          </w:p>
        </w:tc>
        <w:tc>
          <w:tcPr>
            <w:tcW w:w="100" w:type="dxa"/>
            <w:vAlign w:val="bottom"/>
          </w:tcPr>
          <w:p>
            <w:pPr>
              <w:spacing w:after="0"/>
              <w:rPr>
                <w:sz w:val="17"/>
                <w:szCs w:val="17"/>
                <w:color w:val="auto"/>
              </w:rPr>
            </w:pPr>
          </w:p>
        </w:tc>
        <w:tc>
          <w:tcPr>
            <w:tcW w:w="1140" w:type="dxa"/>
            <w:vAlign w:val="bottom"/>
          </w:tcPr>
          <w:p>
            <w:pPr>
              <w:jc w:val="right"/>
              <w:ind w:right="113"/>
              <w:spacing w:after="0" w:line="202" w:lineRule="exact"/>
              <w:rPr>
                <w:sz w:val="20"/>
                <w:szCs w:val="20"/>
                <w:color w:val="auto"/>
              </w:rPr>
            </w:pPr>
            <w:r>
              <w:rPr>
                <w:rFonts w:ascii="Arial" w:cs="Arial" w:eastAsia="Arial" w:hAnsi="Arial"/>
                <w:sz w:val="18"/>
                <w:szCs w:val="18"/>
                <w:color w:val="auto"/>
              </w:rPr>
              <w:t>239.6</w:t>
            </w:r>
          </w:p>
        </w:tc>
        <w:tc>
          <w:tcPr>
            <w:tcW w:w="260" w:type="dxa"/>
            <w:vAlign w:val="bottom"/>
          </w:tcPr>
          <w:p>
            <w:pPr>
              <w:spacing w:after="0"/>
              <w:rPr>
                <w:sz w:val="17"/>
                <w:szCs w:val="17"/>
                <w:color w:val="auto"/>
              </w:rPr>
            </w:pPr>
          </w:p>
        </w:tc>
        <w:tc>
          <w:tcPr>
            <w:tcW w:w="1060" w:type="dxa"/>
            <w:vAlign w:val="bottom"/>
          </w:tcPr>
          <w:p>
            <w:pPr>
              <w:jc w:val="right"/>
              <w:ind w:right="33"/>
              <w:spacing w:after="0" w:line="202" w:lineRule="exact"/>
              <w:rPr>
                <w:sz w:val="20"/>
                <w:szCs w:val="20"/>
                <w:color w:val="auto"/>
              </w:rPr>
            </w:pPr>
            <w:r>
              <w:rPr>
                <w:rFonts w:ascii="Arial" w:cs="Arial" w:eastAsia="Arial" w:hAnsi="Arial"/>
                <w:sz w:val="18"/>
                <w:szCs w:val="18"/>
                <w:color w:val="auto"/>
              </w:rPr>
              <w:t>502.4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4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Long-term capital lease obligations</w:t>
            </w:r>
          </w:p>
        </w:tc>
        <w:tc>
          <w:tcPr>
            <w:tcW w:w="400" w:type="dxa"/>
            <w:vAlign w:val="bottom"/>
            <w:shd w:val="clear" w:color="auto" w:fill="E6E6E6"/>
          </w:tcPr>
          <w:p>
            <w:pPr>
              <w:spacing w:after="0"/>
              <w:rPr>
                <w:sz w:val="17"/>
                <w:szCs w:val="17"/>
                <w:color w:val="auto"/>
              </w:rPr>
            </w:pPr>
          </w:p>
        </w:tc>
        <w:tc>
          <w:tcPr>
            <w:tcW w:w="1260" w:type="dxa"/>
            <w:vAlign w:val="bottom"/>
            <w:shd w:val="clear" w:color="auto" w:fill="E6E6E6"/>
          </w:tcPr>
          <w:p>
            <w:pPr>
              <w:jc w:val="right"/>
              <w:ind w:right="253"/>
              <w:spacing w:after="0" w:line="202" w:lineRule="exact"/>
              <w:rPr>
                <w:sz w:val="20"/>
                <w:szCs w:val="20"/>
                <w:color w:val="auto"/>
              </w:rPr>
            </w:pPr>
            <w:r>
              <w:rPr>
                <w:rFonts w:ascii="Arial" w:cs="Arial" w:eastAsia="Arial" w:hAnsi="Arial"/>
                <w:sz w:val="18"/>
                <w:szCs w:val="18"/>
                <w:color w:val="auto"/>
              </w:rPr>
              <w:t>55.0</w:t>
            </w:r>
          </w:p>
        </w:tc>
        <w:tc>
          <w:tcPr>
            <w:tcW w:w="130" w:type="dxa"/>
            <w:vAlign w:val="bottom"/>
            <w:shd w:val="clear" w:color="auto" w:fill="E6E6E6"/>
          </w:tcPr>
          <w:p>
            <w:pPr>
              <w:spacing w:after="0"/>
              <w:rPr>
                <w:sz w:val="17"/>
                <w:szCs w:val="17"/>
                <w:color w:val="auto"/>
              </w:rPr>
            </w:pPr>
          </w:p>
        </w:tc>
        <w:tc>
          <w:tcPr>
            <w:tcW w:w="1230" w:type="dxa"/>
            <w:vAlign w:val="bottom"/>
            <w:shd w:val="clear" w:color="auto" w:fill="E6E6E6"/>
          </w:tcPr>
          <w:p>
            <w:pPr>
              <w:jc w:val="right"/>
              <w:ind w:right="233"/>
              <w:spacing w:after="0" w:line="202" w:lineRule="exact"/>
              <w:rPr>
                <w:sz w:val="20"/>
                <w:szCs w:val="20"/>
                <w:color w:val="auto"/>
              </w:rPr>
            </w:pPr>
            <w:r>
              <w:rPr>
                <w:rFonts w:ascii="Arial" w:cs="Arial" w:eastAsia="Arial" w:hAnsi="Arial"/>
                <w:sz w:val="18"/>
                <w:szCs w:val="18"/>
                <w:color w:val="auto"/>
              </w:rPr>
              <w:t>54.5</w:t>
            </w:r>
          </w:p>
        </w:tc>
        <w:tc>
          <w:tcPr>
            <w:tcW w:w="120" w:type="dxa"/>
            <w:vAlign w:val="bottom"/>
            <w:shd w:val="clear" w:color="auto" w:fill="E6E6E6"/>
          </w:tcPr>
          <w:p>
            <w:pPr>
              <w:spacing w:after="0"/>
              <w:rPr>
                <w:sz w:val="17"/>
                <w:szCs w:val="17"/>
                <w:color w:val="auto"/>
              </w:rPr>
            </w:pPr>
          </w:p>
        </w:tc>
        <w:tc>
          <w:tcPr>
            <w:tcW w:w="1260" w:type="dxa"/>
            <w:vAlign w:val="bottom"/>
            <w:shd w:val="clear" w:color="auto" w:fill="E6E6E6"/>
          </w:tcPr>
          <w:p>
            <w:pPr>
              <w:jc w:val="right"/>
              <w:ind w:right="253"/>
              <w:spacing w:after="0" w:line="202" w:lineRule="exact"/>
              <w:rPr>
                <w:sz w:val="20"/>
                <w:szCs w:val="20"/>
                <w:color w:val="auto"/>
              </w:rPr>
            </w:pPr>
            <w:r>
              <w:rPr>
                <w:rFonts w:ascii="Arial" w:cs="Arial" w:eastAsia="Arial" w:hAnsi="Arial"/>
                <w:sz w:val="18"/>
                <w:szCs w:val="18"/>
                <w:color w:val="auto"/>
              </w:rPr>
              <w:t>56.7</w:t>
            </w:r>
          </w:p>
        </w:tc>
        <w:tc>
          <w:tcPr>
            <w:tcW w:w="100" w:type="dxa"/>
            <w:vAlign w:val="bottom"/>
            <w:shd w:val="clear" w:color="auto" w:fill="E6E6E6"/>
          </w:tcPr>
          <w:p>
            <w:pPr>
              <w:spacing w:after="0"/>
              <w:rPr>
                <w:sz w:val="17"/>
                <w:szCs w:val="17"/>
                <w:color w:val="auto"/>
              </w:rPr>
            </w:pPr>
          </w:p>
        </w:tc>
        <w:tc>
          <w:tcPr>
            <w:tcW w:w="1140" w:type="dxa"/>
            <w:vAlign w:val="bottom"/>
            <w:shd w:val="clear" w:color="auto" w:fill="E6E6E6"/>
          </w:tcPr>
          <w:p>
            <w:pPr>
              <w:jc w:val="right"/>
              <w:ind w:right="113"/>
              <w:spacing w:after="0" w:line="202" w:lineRule="exact"/>
              <w:rPr>
                <w:sz w:val="20"/>
                <w:szCs w:val="20"/>
                <w:color w:val="auto"/>
              </w:rPr>
            </w:pPr>
            <w:r>
              <w:rPr>
                <w:rFonts w:ascii="Arial" w:cs="Arial" w:eastAsia="Arial" w:hAnsi="Arial"/>
                <w:sz w:val="18"/>
                <w:szCs w:val="18"/>
                <w:color w:val="auto"/>
              </w:rPr>
              <w:t>59.8</w:t>
            </w:r>
          </w:p>
        </w:tc>
        <w:tc>
          <w:tcPr>
            <w:tcW w:w="260" w:type="dxa"/>
            <w:vAlign w:val="bottom"/>
            <w:shd w:val="clear" w:color="auto" w:fill="E6E6E6"/>
          </w:tcPr>
          <w:p>
            <w:pPr>
              <w:spacing w:after="0"/>
              <w:rPr>
                <w:sz w:val="17"/>
                <w:szCs w:val="17"/>
                <w:color w:val="auto"/>
              </w:rPr>
            </w:pPr>
          </w:p>
        </w:tc>
        <w:tc>
          <w:tcPr>
            <w:tcW w:w="1060" w:type="dxa"/>
            <w:vAlign w:val="bottom"/>
            <w:shd w:val="clear" w:color="auto" w:fill="E6E6E6"/>
          </w:tcPr>
          <w:p>
            <w:pPr>
              <w:jc w:val="right"/>
              <w:ind w:right="33"/>
              <w:spacing w:after="0" w:line="202" w:lineRule="exact"/>
              <w:rPr>
                <w:sz w:val="20"/>
                <w:szCs w:val="20"/>
                <w:color w:val="auto"/>
              </w:rPr>
            </w:pPr>
            <w:r>
              <w:rPr>
                <w:rFonts w:ascii="Arial" w:cs="Arial" w:eastAsia="Arial" w:hAnsi="Arial"/>
                <w:sz w:val="18"/>
                <w:szCs w:val="18"/>
                <w:color w:val="auto"/>
              </w:rPr>
              <w:t>61.4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60" w:type="dxa"/>
            <w:vAlign w:val="bottom"/>
            <w:gridSpan w:val="2"/>
          </w:tcPr>
          <w:p>
            <w:pPr>
              <w:spacing w:after="0" w:line="202" w:lineRule="exact"/>
              <w:rPr>
                <w:sz w:val="20"/>
                <w:szCs w:val="20"/>
                <w:color w:val="auto"/>
              </w:rPr>
            </w:pPr>
            <w:r>
              <w:rPr>
                <w:rFonts w:ascii="Arial" w:cs="Arial" w:eastAsia="Arial" w:hAnsi="Arial"/>
                <w:sz w:val="18"/>
                <w:szCs w:val="18"/>
                <w:color w:val="auto"/>
              </w:rPr>
              <w:t>Total capital lease obligations</w:t>
            </w:r>
          </w:p>
        </w:tc>
        <w:tc>
          <w:tcPr>
            <w:tcW w:w="400" w:type="dxa"/>
            <w:vAlign w:val="bottom"/>
          </w:tcPr>
          <w:p>
            <w:pPr>
              <w:spacing w:after="0"/>
              <w:rPr>
                <w:sz w:val="17"/>
                <w:szCs w:val="17"/>
                <w:color w:val="auto"/>
              </w:rPr>
            </w:pPr>
          </w:p>
        </w:tc>
        <w:tc>
          <w:tcPr>
            <w:tcW w:w="1260" w:type="dxa"/>
            <w:vAlign w:val="bottom"/>
          </w:tcPr>
          <w:p>
            <w:pPr>
              <w:jc w:val="right"/>
              <w:ind w:right="253"/>
              <w:spacing w:after="0" w:line="202" w:lineRule="exact"/>
              <w:rPr>
                <w:sz w:val="20"/>
                <w:szCs w:val="20"/>
                <w:color w:val="auto"/>
              </w:rPr>
            </w:pPr>
            <w:r>
              <w:rPr>
                <w:rFonts w:ascii="Arial" w:cs="Arial" w:eastAsia="Arial" w:hAnsi="Arial"/>
                <w:sz w:val="18"/>
                <w:szCs w:val="18"/>
                <w:color w:val="auto"/>
              </w:rPr>
              <w:t>55.9</w:t>
            </w:r>
          </w:p>
        </w:tc>
        <w:tc>
          <w:tcPr>
            <w:tcW w:w="130" w:type="dxa"/>
            <w:vAlign w:val="bottom"/>
          </w:tcPr>
          <w:p>
            <w:pPr>
              <w:spacing w:after="0"/>
              <w:rPr>
                <w:sz w:val="17"/>
                <w:szCs w:val="17"/>
                <w:color w:val="auto"/>
              </w:rPr>
            </w:pPr>
          </w:p>
        </w:tc>
        <w:tc>
          <w:tcPr>
            <w:tcW w:w="1230" w:type="dxa"/>
            <w:vAlign w:val="bottom"/>
          </w:tcPr>
          <w:p>
            <w:pPr>
              <w:jc w:val="right"/>
              <w:ind w:right="233"/>
              <w:spacing w:after="0" w:line="202" w:lineRule="exact"/>
              <w:rPr>
                <w:sz w:val="20"/>
                <w:szCs w:val="20"/>
                <w:color w:val="auto"/>
              </w:rPr>
            </w:pPr>
            <w:r>
              <w:rPr>
                <w:rFonts w:ascii="Arial" w:cs="Arial" w:eastAsia="Arial" w:hAnsi="Arial"/>
                <w:sz w:val="18"/>
                <w:szCs w:val="18"/>
                <w:color w:val="auto"/>
              </w:rPr>
              <w:t>57.9</w:t>
            </w:r>
          </w:p>
        </w:tc>
        <w:tc>
          <w:tcPr>
            <w:tcW w:w="120" w:type="dxa"/>
            <w:vAlign w:val="bottom"/>
          </w:tcPr>
          <w:p>
            <w:pPr>
              <w:spacing w:after="0"/>
              <w:rPr>
                <w:sz w:val="17"/>
                <w:szCs w:val="17"/>
                <w:color w:val="auto"/>
              </w:rPr>
            </w:pPr>
          </w:p>
        </w:tc>
        <w:tc>
          <w:tcPr>
            <w:tcW w:w="1260" w:type="dxa"/>
            <w:vAlign w:val="bottom"/>
          </w:tcPr>
          <w:p>
            <w:pPr>
              <w:jc w:val="right"/>
              <w:ind w:right="253"/>
              <w:spacing w:after="0" w:line="202" w:lineRule="exact"/>
              <w:rPr>
                <w:sz w:val="20"/>
                <w:szCs w:val="20"/>
                <w:color w:val="auto"/>
              </w:rPr>
            </w:pPr>
            <w:r>
              <w:rPr>
                <w:rFonts w:ascii="Arial" w:cs="Arial" w:eastAsia="Arial" w:hAnsi="Arial"/>
                <w:sz w:val="18"/>
                <w:szCs w:val="18"/>
                <w:color w:val="auto"/>
              </w:rPr>
              <w:t>61.6</w:t>
            </w:r>
          </w:p>
        </w:tc>
        <w:tc>
          <w:tcPr>
            <w:tcW w:w="100" w:type="dxa"/>
            <w:vAlign w:val="bottom"/>
          </w:tcPr>
          <w:p>
            <w:pPr>
              <w:spacing w:after="0"/>
              <w:rPr>
                <w:sz w:val="17"/>
                <w:szCs w:val="17"/>
                <w:color w:val="auto"/>
              </w:rPr>
            </w:pPr>
          </w:p>
        </w:tc>
        <w:tc>
          <w:tcPr>
            <w:tcW w:w="1140" w:type="dxa"/>
            <w:vAlign w:val="bottom"/>
          </w:tcPr>
          <w:p>
            <w:pPr>
              <w:jc w:val="right"/>
              <w:ind w:right="113"/>
              <w:spacing w:after="0" w:line="202" w:lineRule="exact"/>
              <w:rPr>
                <w:sz w:val="20"/>
                <w:szCs w:val="20"/>
                <w:color w:val="auto"/>
              </w:rPr>
            </w:pPr>
            <w:r>
              <w:rPr>
                <w:rFonts w:ascii="Arial" w:cs="Arial" w:eastAsia="Arial" w:hAnsi="Arial"/>
                <w:sz w:val="18"/>
                <w:szCs w:val="18"/>
                <w:color w:val="auto"/>
              </w:rPr>
              <w:t>65.3</w:t>
            </w:r>
          </w:p>
        </w:tc>
        <w:tc>
          <w:tcPr>
            <w:tcW w:w="260" w:type="dxa"/>
            <w:vAlign w:val="bottom"/>
          </w:tcPr>
          <w:p>
            <w:pPr>
              <w:spacing w:after="0"/>
              <w:rPr>
                <w:sz w:val="17"/>
                <w:szCs w:val="17"/>
                <w:color w:val="auto"/>
              </w:rPr>
            </w:pPr>
          </w:p>
        </w:tc>
        <w:tc>
          <w:tcPr>
            <w:tcW w:w="1060" w:type="dxa"/>
            <w:vAlign w:val="bottom"/>
          </w:tcPr>
          <w:p>
            <w:pPr>
              <w:jc w:val="right"/>
              <w:ind w:right="33"/>
              <w:spacing w:after="0" w:line="202" w:lineRule="exact"/>
              <w:rPr>
                <w:sz w:val="20"/>
                <w:szCs w:val="20"/>
                <w:color w:val="auto"/>
              </w:rPr>
            </w:pPr>
            <w:r>
              <w:rPr>
                <w:rFonts w:ascii="Arial" w:cs="Arial" w:eastAsia="Arial" w:hAnsi="Arial"/>
                <w:sz w:val="18"/>
                <w:szCs w:val="18"/>
                <w:color w:val="auto"/>
              </w:rPr>
              <w:t>68.9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4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Total stockholders’ equity</w:t>
            </w:r>
          </w:p>
        </w:tc>
        <w:tc>
          <w:tcPr>
            <w:tcW w:w="400" w:type="dxa"/>
            <w:vAlign w:val="bottom"/>
            <w:shd w:val="clear" w:color="auto" w:fill="E6E6E6"/>
          </w:tcPr>
          <w:p>
            <w:pPr>
              <w:spacing w:after="0"/>
              <w:rPr>
                <w:sz w:val="17"/>
                <w:szCs w:val="17"/>
                <w:color w:val="auto"/>
              </w:rPr>
            </w:pPr>
          </w:p>
        </w:tc>
        <w:tc>
          <w:tcPr>
            <w:tcW w:w="1260" w:type="dxa"/>
            <w:vAlign w:val="bottom"/>
            <w:shd w:val="clear" w:color="auto" w:fill="E6E6E6"/>
          </w:tcPr>
          <w:p>
            <w:pPr>
              <w:jc w:val="right"/>
              <w:ind w:right="253"/>
              <w:spacing w:after="0" w:line="202" w:lineRule="exact"/>
              <w:rPr>
                <w:sz w:val="20"/>
                <w:szCs w:val="20"/>
                <w:color w:val="auto"/>
              </w:rPr>
            </w:pPr>
            <w:r>
              <w:rPr>
                <w:rFonts w:ascii="Arial" w:cs="Arial" w:eastAsia="Arial" w:hAnsi="Arial"/>
                <w:sz w:val="18"/>
                <w:szCs w:val="18"/>
                <w:color w:val="auto"/>
              </w:rPr>
              <w:t>830.4</w:t>
            </w:r>
          </w:p>
        </w:tc>
        <w:tc>
          <w:tcPr>
            <w:tcW w:w="130" w:type="dxa"/>
            <w:vAlign w:val="bottom"/>
            <w:shd w:val="clear" w:color="auto" w:fill="E6E6E6"/>
          </w:tcPr>
          <w:p>
            <w:pPr>
              <w:spacing w:after="0"/>
              <w:rPr>
                <w:sz w:val="17"/>
                <w:szCs w:val="17"/>
                <w:color w:val="auto"/>
              </w:rPr>
            </w:pPr>
          </w:p>
        </w:tc>
        <w:tc>
          <w:tcPr>
            <w:tcW w:w="1230" w:type="dxa"/>
            <w:vAlign w:val="bottom"/>
            <w:shd w:val="clear" w:color="auto" w:fill="E6E6E6"/>
          </w:tcPr>
          <w:p>
            <w:pPr>
              <w:jc w:val="right"/>
              <w:ind w:right="233"/>
              <w:spacing w:after="0" w:line="202" w:lineRule="exact"/>
              <w:rPr>
                <w:sz w:val="20"/>
                <w:szCs w:val="20"/>
                <w:color w:val="auto"/>
              </w:rPr>
            </w:pPr>
            <w:r>
              <w:rPr>
                <w:rFonts w:ascii="Arial" w:cs="Arial" w:eastAsia="Arial" w:hAnsi="Arial"/>
                <w:sz w:val="18"/>
                <w:szCs w:val="18"/>
                <w:color w:val="auto"/>
              </w:rPr>
              <w:t>785.0</w:t>
            </w:r>
          </w:p>
        </w:tc>
        <w:tc>
          <w:tcPr>
            <w:tcW w:w="120" w:type="dxa"/>
            <w:vAlign w:val="bottom"/>
            <w:shd w:val="clear" w:color="auto" w:fill="E6E6E6"/>
          </w:tcPr>
          <w:p>
            <w:pPr>
              <w:spacing w:after="0"/>
              <w:rPr>
                <w:sz w:val="17"/>
                <w:szCs w:val="17"/>
                <w:color w:val="auto"/>
              </w:rPr>
            </w:pPr>
          </w:p>
        </w:tc>
        <w:tc>
          <w:tcPr>
            <w:tcW w:w="1260" w:type="dxa"/>
            <w:vAlign w:val="bottom"/>
            <w:shd w:val="clear" w:color="auto" w:fill="E6E6E6"/>
          </w:tcPr>
          <w:p>
            <w:pPr>
              <w:jc w:val="right"/>
              <w:ind w:right="253"/>
              <w:spacing w:after="0" w:line="202" w:lineRule="exact"/>
              <w:rPr>
                <w:sz w:val="20"/>
                <w:szCs w:val="20"/>
                <w:color w:val="auto"/>
              </w:rPr>
            </w:pPr>
            <w:r>
              <w:rPr>
                <w:rFonts w:ascii="Arial" w:cs="Arial" w:eastAsia="Arial" w:hAnsi="Arial"/>
                <w:sz w:val="18"/>
                <w:szCs w:val="18"/>
                <w:color w:val="auto"/>
              </w:rPr>
              <w:t>873.1</w:t>
            </w:r>
          </w:p>
        </w:tc>
        <w:tc>
          <w:tcPr>
            <w:tcW w:w="100" w:type="dxa"/>
            <w:vAlign w:val="bottom"/>
            <w:shd w:val="clear" w:color="auto" w:fill="E6E6E6"/>
          </w:tcPr>
          <w:p>
            <w:pPr>
              <w:spacing w:after="0"/>
              <w:rPr>
                <w:sz w:val="17"/>
                <w:szCs w:val="17"/>
                <w:color w:val="auto"/>
              </w:rPr>
            </w:pPr>
          </w:p>
        </w:tc>
        <w:tc>
          <w:tcPr>
            <w:tcW w:w="1140" w:type="dxa"/>
            <w:vAlign w:val="bottom"/>
            <w:shd w:val="clear" w:color="auto" w:fill="E6E6E6"/>
          </w:tcPr>
          <w:p>
            <w:pPr>
              <w:jc w:val="right"/>
              <w:ind w:right="113"/>
              <w:spacing w:after="0" w:line="202" w:lineRule="exact"/>
              <w:rPr>
                <w:sz w:val="20"/>
                <w:szCs w:val="20"/>
                <w:color w:val="auto"/>
              </w:rPr>
            </w:pPr>
            <w:r>
              <w:rPr>
                <w:rFonts w:ascii="Arial" w:cs="Arial" w:eastAsia="Arial" w:hAnsi="Arial"/>
                <w:sz w:val="18"/>
                <w:szCs w:val="18"/>
                <w:color w:val="auto"/>
              </w:rPr>
              <w:t>1,068.0</w:t>
            </w:r>
          </w:p>
        </w:tc>
        <w:tc>
          <w:tcPr>
            <w:tcW w:w="260" w:type="dxa"/>
            <w:vAlign w:val="bottom"/>
            <w:shd w:val="clear" w:color="auto" w:fill="E6E6E6"/>
          </w:tcPr>
          <w:p>
            <w:pPr>
              <w:spacing w:after="0"/>
              <w:rPr>
                <w:sz w:val="17"/>
                <w:szCs w:val="17"/>
                <w:color w:val="auto"/>
              </w:rPr>
            </w:pPr>
          </w:p>
        </w:tc>
        <w:tc>
          <w:tcPr>
            <w:tcW w:w="1060" w:type="dxa"/>
            <w:vAlign w:val="bottom"/>
            <w:shd w:val="clear" w:color="auto" w:fill="E6E6E6"/>
          </w:tcPr>
          <w:p>
            <w:pPr>
              <w:jc w:val="right"/>
              <w:ind w:right="33"/>
              <w:spacing w:after="0" w:line="202" w:lineRule="exact"/>
              <w:rPr>
                <w:sz w:val="20"/>
                <w:szCs w:val="20"/>
                <w:color w:val="auto"/>
              </w:rPr>
            </w:pPr>
            <w:r>
              <w:rPr>
                <w:rFonts w:ascii="Arial" w:cs="Arial" w:eastAsia="Arial" w:hAnsi="Arial"/>
                <w:sz w:val="18"/>
                <w:szCs w:val="18"/>
                <w:color w:val="auto"/>
              </w:rPr>
              <w:t>988.3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44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130" w:type="dxa"/>
            <w:vAlign w:val="bottom"/>
            <w:tcBorders>
              <w:bottom w:val="single" w:sz="8" w:color="808080"/>
            </w:tcBorders>
          </w:tcPr>
          <w:p>
            <w:pPr>
              <w:spacing w:after="0"/>
              <w:rPr>
                <w:sz w:val="10"/>
                <w:szCs w:val="10"/>
                <w:color w:val="auto"/>
              </w:rPr>
            </w:pPr>
          </w:p>
        </w:tc>
        <w:tc>
          <w:tcPr>
            <w:tcW w:w="123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-3152775</wp:posOffset>
            </wp:positionV>
            <wp:extent cx="1270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2807335</wp:posOffset>
            </wp:positionH>
            <wp:positionV relativeFrom="paragraph">
              <wp:posOffset>-3152775</wp:posOffset>
            </wp:positionV>
            <wp:extent cx="1270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3021965</wp:posOffset>
            </wp:positionH>
            <wp:positionV relativeFrom="paragraph">
              <wp:posOffset>-3152775</wp:posOffset>
            </wp:positionV>
            <wp:extent cx="1270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3090545</wp:posOffset>
            </wp:positionH>
            <wp:positionV relativeFrom="paragraph">
              <wp:posOffset>-3152775</wp:posOffset>
            </wp:positionV>
            <wp:extent cx="1270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3673475</wp:posOffset>
            </wp:positionH>
            <wp:positionV relativeFrom="paragraph">
              <wp:posOffset>-3152775</wp:posOffset>
            </wp:positionV>
            <wp:extent cx="1270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-3152775</wp:posOffset>
            </wp:positionV>
            <wp:extent cx="1270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-3152775</wp:posOffset>
            </wp:positionV>
            <wp:extent cx="1270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-3152775</wp:posOffset>
            </wp:positionV>
            <wp:extent cx="1270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-3152775</wp:posOffset>
            </wp:positionV>
            <wp:extent cx="1270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-3152775</wp:posOffset>
            </wp:positionV>
            <wp:extent cx="1270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-3152775</wp:posOffset>
            </wp:positionV>
            <wp:extent cx="1270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5620385</wp:posOffset>
            </wp:positionH>
            <wp:positionV relativeFrom="paragraph">
              <wp:posOffset>-3152775</wp:posOffset>
            </wp:positionV>
            <wp:extent cx="1270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-3152775</wp:posOffset>
            </wp:positionV>
            <wp:extent cx="1270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6280785</wp:posOffset>
            </wp:positionH>
            <wp:positionV relativeFrom="paragraph">
              <wp:posOffset>-3152775</wp:posOffset>
            </wp:positionV>
            <wp:extent cx="1270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6503670</wp:posOffset>
            </wp:positionH>
            <wp:positionV relativeFrom="paragraph">
              <wp:posOffset>-3152775</wp:posOffset>
            </wp:positionV>
            <wp:extent cx="1270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-3152775</wp:posOffset>
            </wp:positionV>
            <wp:extent cx="1270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-3152775</wp:posOffset>
            </wp:positionV>
            <wp:extent cx="1270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-3152775</wp:posOffset>
            </wp:positionV>
            <wp:extent cx="1270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-1326515</wp:posOffset>
            </wp:positionV>
            <wp:extent cx="1270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2807335</wp:posOffset>
            </wp:positionH>
            <wp:positionV relativeFrom="paragraph">
              <wp:posOffset>-1326515</wp:posOffset>
            </wp:positionV>
            <wp:extent cx="1270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3021965</wp:posOffset>
            </wp:positionH>
            <wp:positionV relativeFrom="paragraph">
              <wp:posOffset>-1326515</wp:posOffset>
            </wp:positionV>
            <wp:extent cx="1270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3090545</wp:posOffset>
            </wp:positionH>
            <wp:positionV relativeFrom="paragraph">
              <wp:posOffset>-1326515</wp:posOffset>
            </wp:positionV>
            <wp:extent cx="1270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3673475</wp:posOffset>
            </wp:positionH>
            <wp:positionV relativeFrom="paragraph">
              <wp:posOffset>-1326515</wp:posOffset>
            </wp:positionV>
            <wp:extent cx="1270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-1326515</wp:posOffset>
            </wp:positionV>
            <wp:extent cx="1270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-1326515</wp:posOffset>
            </wp:positionV>
            <wp:extent cx="1270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-1326515</wp:posOffset>
            </wp:positionV>
            <wp:extent cx="1270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-1326515</wp:posOffset>
            </wp:positionV>
            <wp:extent cx="1270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-1326515</wp:posOffset>
            </wp:positionV>
            <wp:extent cx="1270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-1326515</wp:posOffset>
            </wp:positionV>
            <wp:extent cx="1270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5620385</wp:posOffset>
            </wp:positionH>
            <wp:positionV relativeFrom="paragraph">
              <wp:posOffset>-1326515</wp:posOffset>
            </wp:positionV>
            <wp:extent cx="1270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-1326515</wp:posOffset>
            </wp:positionV>
            <wp:extent cx="1270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6280785</wp:posOffset>
            </wp:positionH>
            <wp:positionV relativeFrom="paragraph">
              <wp:posOffset>-1326515</wp:posOffset>
            </wp:positionV>
            <wp:extent cx="1270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6503670</wp:posOffset>
            </wp:positionH>
            <wp:positionV relativeFrom="paragraph">
              <wp:posOffset>-1326515</wp:posOffset>
            </wp:positionV>
            <wp:extent cx="1270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-1326515</wp:posOffset>
            </wp:positionV>
            <wp:extent cx="1270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-1326515</wp:posOffset>
            </wp:positionV>
            <wp:extent cx="1270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-1326515</wp:posOffset>
            </wp:positionV>
            <wp:extent cx="1270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2807335</wp:posOffset>
            </wp:positionH>
            <wp:positionV relativeFrom="paragraph">
              <wp:posOffset>-14605</wp:posOffset>
            </wp:positionV>
            <wp:extent cx="1270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3021965</wp:posOffset>
            </wp:positionH>
            <wp:positionV relativeFrom="paragraph">
              <wp:posOffset>-14605</wp:posOffset>
            </wp:positionV>
            <wp:extent cx="1270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3090545</wp:posOffset>
            </wp:positionH>
            <wp:positionV relativeFrom="paragraph">
              <wp:posOffset>-14605</wp:posOffset>
            </wp:positionV>
            <wp:extent cx="1270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3673475</wp:posOffset>
            </wp:positionH>
            <wp:positionV relativeFrom="paragraph">
              <wp:posOffset>-14605</wp:posOffset>
            </wp:positionV>
            <wp:extent cx="1270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-14605</wp:posOffset>
            </wp:positionV>
            <wp:extent cx="1270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-14605</wp:posOffset>
            </wp:positionV>
            <wp:extent cx="1270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-14605</wp:posOffset>
            </wp:positionV>
            <wp:extent cx="1270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-14605</wp:posOffset>
            </wp:positionV>
            <wp:extent cx="1270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-14605</wp:posOffset>
            </wp:positionV>
            <wp:extent cx="1270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-14605</wp:posOffset>
            </wp:positionV>
            <wp:extent cx="1270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5620385</wp:posOffset>
            </wp:positionH>
            <wp:positionV relativeFrom="paragraph">
              <wp:posOffset>-14605</wp:posOffset>
            </wp:positionV>
            <wp:extent cx="1270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-14605</wp:posOffset>
            </wp:positionV>
            <wp:extent cx="1270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6280785</wp:posOffset>
            </wp:positionH>
            <wp:positionV relativeFrom="paragraph">
              <wp:posOffset>-14605</wp:posOffset>
            </wp:positionV>
            <wp:extent cx="1270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6503670</wp:posOffset>
            </wp:positionH>
            <wp:positionV relativeFrom="paragraph">
              <wp:posOffset>-14605</wp:posOffset>
            </wp:positionV>
            <wp:extent cx="1270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-14605</wp:posOffset>
            </wp:positionV>
            <wp:extent cx="1270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-14605</wp:posOffset>
            </wp:positionV>
            <wp:extent cx="1270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41"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4"/>
          <w:szCs w:val="14"/>
          <w:color w:val="auto"/>
        </w:rPr>
      </w:pPr>
      <w:r>
        <w:rPr>
          <w:rFonts w:ascii="Arial" w:cs="Arial" w:eastAsia="Arial" w:hAnsi="Arial"/>
          <w:sz w:val="14"/>
          <w:szCs w:val="14"/>
          <w:color w:val="auto"/>
        </w:rPr>
        <w:t>In fiscal 2006, the Company recorded pre-tax costs of $3.2, related to the write-down of certain print reference set assets.</w:t>
      </w:r>
    </w:p>
    <w:p>
      <w:pPr>
        <w:spacing w:after="0" w:line="136" w:lineRule="exact"/>
        <w:rPr>
          <w:rFonts w:ascii="Arial" w:cs="Arial" w:eastAsia="Arial" w:hAnsi="Arial"/>
          <w:sz w:val="14"/>
          <w:szCs w:val="14"/>
          <w:color w:val="auto"/>
        </w:rPr>
      </w:pPr>
    </w:p>
    <w:p>
      <w:pPr>
        <w:ind w:left="460" w:right="20" w:hanging="452"/>
        <w:spacing w:after="0" w:line="231" w:lineRule="auto"/>
        <w:tabs>
          <w:tab w:leader="none" w:pos="460" w:val="left"/>
        </w:tabs>
        <w:numPr>
          <w:ilvl w:val="0"/>
          <w:numId w:val="4"/>
        </w:numPr>
        <w:rPr>
          <w:rFonts w:ascii="Arial" w:cs="Arial" w:eastAsia="Arial" w:hAnsi="Arial"/>
          <w:sz w:val="14"/>
          <w:szCs w:val="14"/>
          <w:color w:val="auto"/>
        </w:rPr>
      </w:pPr>
      <w:r>
        <w:rPr>
          <w:rFonts w:ascii="Arial" w:cs="Arial" w:eastAsia="Arial" w:hAnsi="Arial"/>
          <w:sz w:val="14"/>
          <w:szCs w:val="14"/>
          <w:color w:val="auto"/>
        </w:rPr>
        <w:t>In fiscal 2010, the Company recorded a pre-tax charge of $7.5 associated with the settlement of a sales tax negotiation and a pre-tax charge of $4.7 associated with restructuring in the UK. In fiscal 2009, the Company recorded a pre-tax charge of $1.4, related to asset impairments.</w:t>
      </w:r>
    </w:p>
    <w:p>
      <w:pPr>
        <w:spacing w:after="0" w:line="135" w:lineRule="exact"/>
        <w:rPr>
          <w:rFonts w:ascii="Arial" w:cs="Arial" w:eastAsia="Arial" w:hAnsi="Arial"/>
          <w:sz w:val="14"/>
          <w:szCs w:val="14"/>
          <w:color w:val="auto"/>
        </w:rPr>
      </w:pPr>
    </w:p>
    <w:p>
      <w:pPr>
        <w:ind w:left="460" w:hanging="452"/>
        <w:spacing w:after="0"/>
        <w:tabs>
          <w:tab w:leader="none" w:pos="460" w:val="left"/>
        </w:tabs>
        <w:numPr>
          <w:ilvl w:val="0"/>
          <w:numId w:val="4"/>
        </w:numPr>
        <w:rPr>
          <w:rFonts w:ascii="Arial" w:cs="Arial" w:eastAsia="Arial" w:hAnsi="Arial"/>
          <w:sz w:val="14"/>
          <w:szCs w:val="14"/>
          <w:color w:val="auto"/>
        </w:rPr>
      </w:pPr>
      <w:r>
        <w:rPr>
          <w:rFonts w:ascii="Arial" w:cs="Arial" w:eastAsia="Arial" w:hAnsi="Arial"/>
          <w:sz w:val="14"/>
          <w:szCs w:val="14"/>
          <w:color w:val="auto"/>
        </w:rPr>
        <w:t>In fiscal 2006, the Company recorded pre-tax bad debt expense of $2.9, associated with the bankruptcy of a for-profit educational services customer.</w:t>
      </w:r>
    </w:p>
    <w:p>
      <w:pPr>
        <w:spacing w:after="0" w:line="136" w:lineRule="exact"/>
        <w:rPr>
          <w:rFonts w:ascii="Arial" w:cs="Arial" w:eastAsia="Arial" w:hAnsi="Arial"/>
          <w:sz w:val="14"/>
          <w:szCs w:val="14"/>
          <w:color w:val="auto"/>
        </w:rPr>
      </w:pPr>
    </w:p>
    <w:p>
      <w:pPr>
        <w:ind w:left="460" w:hanging="452"/>
        <w:spacing w:after="0"/>
        <w:tabs>
          <w:tab w:leader="none" w:pos="460" w:val="left"/>
        </w:tabs>
        <w:numPr>
          <w:ilvl w:val="0"/>
          <w:numId w:val="4"/>
        </w:numPr>
        <w:rPr>
          <w:rFonts w:ascii="Arial" w:cs="Arial" w:eastAsia="Arial" w:hAnsi="Arial"/>
          <w:sz w:val="14"/>
          <w:szCs w:val="14"/>
          <w:color w:val="auto"/>
        </w:rPr>
      </w:pPr>
      <w:r>
        <w:rPr>
          <w:rFonts w:ascii="Arial" w:cs="Arial" w:eastAsia="Arial" w:hAnsi="Arial"/>
          <w:sz w:val="14"/>
          <w:szCs w:val="14"/>
          <w:color w:val="auto"/>
        </w:rPr>
        <w:t>In fiscal 2008, the Company recorded a pre-tax charge of $3.8, related to the impairment of certain intangible assets and prepublication costs.</w:t>
      </w:r>
    </w:p>
    <w:p>
      <w:pPr>
        <w:spacing w:after="0" w:line="136" w:lineRule="exact"/>
        <w:rPr>
          <w:rFonts w:ascii="Arial" w:cs="Arial" w:eastAsia="Arial" w:hAnsi="Arial"/>
          <w:sz w:val="14"/>
          <w:szCs w:val="14"/>
          <w:color w:val="auto"/>
        </w:rPr>
      </w:pPr>
    </w:p>
    <w:p>
      <w:pPr>
        <w:ind w:left="460" w:right="260" w:hanging="452"/>
        <w:spacing w:after="0" w:line="231" w:lineRule="auto"/>
        <w:tabs>
          <w:tab w:leader="none" w:pos="460" w:val="left"/>
        </w:tabs>
        <w:numPr>
          <w:ilvl w:val="0"/>
          <w:numId w:val="4"/>
        </w:numPr>
        <w:rPr>
          <w:rFonts w:ascii="Arial" w:cs="Arial" w:eastAsia="Arial" w:hAnsi="Arial"/>
          <w:sz w:val="14"/>
          <w:szCs w:val="14"/>
          <w:color w:val="auto"/>
        </w:rPr>
      </w:pPr>
      <w:r>
        <w:rPr>
          <w:rFonts w:ascii="Arial" w:cs="Arial" w:eastAsia="Arial" w:hAnsi="Arial"/>
          <w:sz w:val="14"/>
          <w:szCs w:val="14"/>
          <w:color w:val="auto"/>
        </w:rPr>
        <w:t>In fiscal 2009, the Company recorded pre-tax severance expense of $18.1, which was primarily related to the Company’s previously announced voluntary retirement program and a workforce reduction program.</w:t>
      </w:r>
    </w:p>
    <w:p>
      <w:pPr>
        <w:spacing w:after="0" w:line="135" w:lineRule="exact"/>
        <w:rPr>
          <w:rFonts w:ascii="Arial" w:cs="Arial" w:eastAsia="Arial" w:hAnsi="Arial"/>
          <w:sz w:val="14"/>
          <w:szCs w:val="14"/>
          <w:color w:val="auto"/>
        </w:rPr>
      </w:pPr>
    </w:p>
    <w:p>
      <w:pPr>
        <w:jc w:val="both"/>
        <w:ind w:left="460" w:right="140" w:hanging="452"/>
        <w:spacing w:after="0" w:line="228" w:lineRule="auto"/>
        <w:tabs>
          <w:tab w:leader="none" w:pos="460" w:val="left"/>
        </w:tabs>
        <w:numPr>
          <w:ilvl w:val="0"/>
          <w:numId w:val="4"/>
        </w:numPr>
        <w:rPr>
          <w:rFonts w:ascii="Arial" w:cs="Arial" w:eastAsia="Arial" w:hAnsi="Arial"/>
          <w:sz w:val="14"/>
          <w:szCs w:val="14"/>
          <w:color w:val="auto"/>
        </w:rPr>
      </w:pPr>
      <w:r>
        <w:rPr>
          <w:rFonts w:ascii="Arial" w:cs="Arial" w:eastAsia="Arial" w:hAnsi="Arial"/>
          <w:sz w:val="14"/>
          <w:szCs w:val="14"/>
          <w:color w:val="auto"/>
        </w:rPr>
        <w:t>In fiscal 2010, the Company recorded a pre-tax asset impairment charge of $36.3 attributable to intangible assets and prepublication costs associated with the library business, a pre-tax charge of $3.8 associated with a customer list and a pre-tax charge of $3.0 for goodwill and intangible assets associated with the Company’s direct-to-home toy catalog business. In fiscal 2009, the Company recorded a pre-tax $17.0 goodwill impairment charge attributable to the Company’s UK operations.</w:t>
      </w:r>
    </w:p>
    <w:p>
      <w:pPr>
        <w:spacing w:after="0" w:line="135" w:lineRule="exact"/>
        <w:rPr>
          <w:rFonts w:ascii="Arial" w:cs="Arial" w:eastAsia="Arial" w:hAnsi="Arial"/>
          <w:sz w:val="14"/>
          <w:szCs w:val="14"/>
          <w:color w:val="auto"/>
        </w:rPr>
      </w:pPr>
    </w:p>
    <w:p>
      <w:pPr>
        <w:ind w:left="460" w:right="80" w:hanging="452"/>
        <w:spacing w:after="0" w:line="228" w:lineRule="auto"/>
        <w:tabs>
          <w:tab w:leader="none" w:pos="460" w:val="left"/>
        </w:tabs>
        <w:numPr>
          <w:ilvl w:val="0"/>
          <w:numId w:val="4"/>
        </w:numPr>
        <w:rPr>
          <w:rFonts w:ascii="Arial" w:cs="Arial" w:eastAsia="Arial" w:hAnsi="Arial"/>
          <w:sz w:val="14"/>
          <w:szCs w:val="14"/>
          <w:color w:val="auto"/>
        </w:rPr>
      </w:pPr>
      <w:r>
        <w:rPr>
          <w:rFonts w:ascii="Arial" w:cs="Arial" w:eastAsia="Arial" w:hAnsi="Arial"/>
          <w:sz w:val="14"/>
          <w:szCs w:val="14"/>
          <w:color w:val="auto"/>
        </w:rPr>
        <w:t>In fiscal 2010, the Company recorded a pre-tax gain of $0.9 on note repurchases of $4.1. In fiscal 2009, the Company recorded a pre-tax gain of $0.4 on note repurchases of $2.1 and a pre-tax gain of $0.3 related to an accelerated payment of a note. In fiscal 2008, the Company recorded a pre-tax gain on note repurchases of $2.1 and a pre-tax currency gain on settlement of a loan of $1.4, partially offset by $0.9 of pre-tax expense from an early termination of one of the Company’s subleases.</w:t>
      </w:r>
    </w:p>
    <w:p>
      <w:pPr>
        <w:spacing w:after="0" w:line="135" w:lineRule="exact"/>
        <w:rPr>
          <w:rFonts w:ascii="Arial" w:cs="Arial" w:eastAsia="Arial" w:hAnsi="Arial"/>
          <w:sz w:val="14"/>
          <w:szCs w:val="14"/>
          <w:color w:val="auto"/>
        </w:rPr>
      </w:pPr>
    </w:p>
    <w:p>
      <w:pPr>
        <w:ind w:left="460" w:right="320" w:hanging="452"/>
        <w:spacing w:after="0" w:line="231" w:lineRule="auto"/>
        <w:tabs>
          <w:tab w:leader="none" w:pos="460" w:val="left"/>
        </w:tabs>
        <w:numPr>
          <w:ilvl w:val="0"/>
          <w:numId w:val="4"/>
        </w:numPr>
        <w:rPr>
          <w:rFonts w:ascii="Arial" w:cs="Arial" w:eastAsia="Arial" w:hAnsi="Arial"/>
          <w:sz w:val="14"/>
          <w:szCs w:val="14"/>
          <w:color w:val="auto"/>
        </w:rPr>
      </w:pPr>
      <w:r>
        <w:rPr>
          <w:rFonts w:ascii="Arial" w:cs="Arial" w:eastAsia="Arial" w:hAnsi="Arial"/>
          <w:sz w:val="14"/>
          <w:szCs w:val="14"/>
          <w:color w:val="auto"/>
        </w:rPr>
        <w:t>In fiscal 2010, the Company recorded a pre-tax loss of $1.5 in a U.S. based cost method investment. In fiscal 2009, the Company recorded a pre-tax loss on investments of $13.5, related to investments in the United Kingdom. In fiscal 2007, the Company sold its remaining portion of an equity investment and recorded a pre-tax gain of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2663825</wp:posOffset>
            </wp:positionH>
            <wp:positionV relativeFrom="paragraph">
              <wp:posOffset>129540</wp:posOffset>
            </wp:positionV>
            <wp:extent cx="1929765" cy="23177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929765"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387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40"/>
          </w:cols>
          <w:pgMar w:left="240" w:top="755" w:right="219" w:bottom="924"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63765" cy="8890"/>
                    </a:xfrm>
                    <a:prstGeom prst="rect">
                      <a:avLst/>
                    </a:prstGeom>
                    <a:noFill/>
                  </pic:spPr>
                </pic:pic>
              </a:graphicData>
            </a:graphic>
          </wp:anchor>
        </w:drawing>
        <w:t>Item 7 | Management’s Discussion and Analysis of Financial Condition and Results of Operations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31"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color w:val="auto"/>
        </w:rPr>
        <w:t xml:space="preserve">The Company categorizes its businesses into four reportable segments: </w:t>
      </w:r>
      <w:r>
        <w:rPr>
          <w:rFonts w:ascii="Arial" w:cs="Arial" w:eastAsia="Arial" w:hAnsi="Arial"/>
          <w:sz w:val="16"/>
          <w:szCs w:val="16"/>
          <w:i w:val="1"/>
          <w:iCs w:val="1"/>
          <w:color w:val="auto"/>
        </w:rPr>
        <w:t>Children’s Book Publishing and Distribution; Educational Publishing; Media, Licensing</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and Advertising </w:t>
      </w:r>
      <w:r>
        <w:rPr>
          <w:rFonts w:ascii="Arial" w:cs="Arial" w:eastAsia="Arial" w:hAnsi="Arial"/>
          <w:sz w:val="16"/>
          <w:szCs w:val="16"/>
          <w:color w:val="auto"/>
        </w:rPr>
        <w:t>(which collectively represent the Company’s domestic operations); and</w:t>
      </w:r>
      <w:r>
        <w:rPr>
          <w:rFonts w:ascii="Arial" w:cs="Arial" w:eastAsia="Arial" w:hAnsi="Arial"/>
          <w:sz w:val="16"/>
          <w:szCs w:val="16"/>
          <w:i w:val="1"/>
          <w:iCs w:val="1"/>
          <w:color w:val="auto"/>
        </w:rPr>
        <w:t xml:space="preserve"> International</w:t>
      </w:r>
      <w:r>
        <w:rPr>
          <w:rFonts w:ascii="Arial" w:cs="Arial" w:eastAsia="Arial" w:hAnsi="Arial"/>
          <w:sz w:val="16"/>
          <w:szCs w:val="16"/>
          <w:color w:val="auto"/>
        </w:rPr>
        <w:t>. This classification reflects the nature of products and</w:t>
      </w:r>
      <w:r>
        <w:rPr>
          <w:rFonts w:ascii="Arial" w:cs="Arial" w:eastAsia="Arial" w:hAnsi="Arial"/>
          <w:sz w:val="16"/>
          <w:szCs w:val="16"/>
          <w:i w:val="1"/>
          <w:iCs w:val="1"/>
          <w:color w:val="auto"/>
        </w:rPr>
        <w:t xml:space="preserve"> </w:t>
      </w:r>
      <w:r>
        <w:rPr>
          <w:rFonts w:ascii="Arial" w:cs="Arial" w:eastAsia="Arial" w:hAnsi="Arial"/>
          <w:sz w:val="16"/>
          <w:szCs w:val="16"/>
          <w:color w:val="auto"/>
        </w:rPr>
        <w:t>services consistent with the method by which the Company’s chief operating decision-maker assesses operating performance and allocates resources.</w:t>
      </w:r>
    </w:p>
    <w:p>
      <w:pPr>
        <w:spacing w:after="0" w:line="161" w:lineRule="exact"/>
        <w:rPr>
          <w:sz w:val="20"/>
          <w:szCs w:val="20"/>
          <w:color w:val="auto"/>
        </w:rPr>
      </w:pPr>
    </w:p>
    <w:p>
      <w:pPr>
        <w:ind w:right="800"/>
        <w:spacing w:after="0" w:line="332" w:lineRule="auto"/>
        <w:rPr>
          <w:sz w:val="20"/>
          <w:szCs w:val="20"/>
          <w:color w:val="auto"/>
        </w:rPr>
      </w:pPr>
      <w:r>
        <w:rPr>
          <w:rFonts w:ascii="Arial" w:cs="Arial" w:eastAsia="Arial" w:hAnsi="Arial"/>
          <w:sz w:val="16"/>
          <w:szCs w:val="16"/>
          <w:color w:val="auto"/>
        </w:rPr>
        <w:t>The following discussion and analysis of the Company’s financial position and results of operations should be read in conjunction with the Company’s Consolidated Financial Statements and the related Notes included in Item 8, “Consolidated Financial Statements and Supplementary Data.”</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and Outlook</w:t>
      </w:r>
    </w:p>
    <w:p>
      <w:pPr>
        <w:spacing w:after="0" w:line="231"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 xml:space="preserve">During fiscal 2010, the Company generated strong results in the </w:t>
      </w:r>
      <w:r>
        <w:rPr>
          <w:rFonts w:ascii="Arial" w:cs="Arial" w:eastAsia="Arial" w:hAnsi="Arial"/>
          <w:sz w:val="16"/>
          <w:szCs w:val="16"/>
          <w:i w:val="1"/>
          <w:iCs w:val="1"/>
          <w:color w:val="auto"/>
        </w:rPr>
        <w:t>Educational Publishing</w:t>
      </w:r>
      <w:r>
        <w:rPr>
          <w:rFonts w:ascii="Arial" w:cs="Arial" w:eastAsia="Arial" w:hAnsi="Arial"/>
          <w:sz w:val="16"/>
          <w:szCs w:val="16"/>
          <w:color w:val="auto"/>
        </w:rPr>
        <w:t xml:space="preserve"> segment, more than offsetting revenue declines in certain businesses in the </w:t>
      </w:r>
      <w:r>
        <w:rPr>
          <w:rFonts w:ascii="Arial" w:cs="Arial" w:eastAsia="Arial" w:hAnsi="Arial"/>
          <w:sz w:val="16"/>
          <w:szCs w:val="16"/>
          <w:i w:val="1"/>
          <w:iCs w:val="1"/>
          <w:color w:val="auto"/>
        </w:rPr>
        <w:t>Children’s Book Publishing and Distribution</w:t>
      </w:r>
      <w:r>
        <w:rPr>
          <w:rFonts w:ascii="Arial" w:cs="Arial" w:eastAsia="Arial" w:hAnsi="Arial"/>
          <w:sz w:val="16"/>
          <w:szCs w:val="16"/>
          <w:color w:val="auto"/>
        </w:rPr>
        <w:t xml:space="preserve"> segment. The Company successfully achieved its long term operating margin goal by successfully executing its plan for growth in Scholastic Education, improving efficiencies in Children’s Books and tightly managing costs and cash. The Company also continued to strengthen its balance sheet through higher earnings and effective working capital management.</w:t>
      </w:r>
    </w:p>
    <w:p>
      <w:pPr>
        <w:spacing w:after="0" w:line="167" w:lineRule="exact"/>
        <w:rPr>
          <w:sz w:val="20"/>
          <w:szCs w:val="20"/>
          <w:color w:val="auto"/>
        </w:rPr>
      </w:pPr>
    </w:p>
    <w:p>
      <w:pPr>
        <w:ind w:right="320"/>
        <w:spacing w:after="0" w:line="306" w:lineRule="auto"/>
        <w:rPr>
          <w:sz w:val="20"/>
          <w:szCs w:val="20"/>
          <w:color w:val="auto"/>
        </w:rPr>
      </w:pPr>
      <w:r>
        <w:rPr>
          <w:rFonts w:ascii="Arial" w:cs="Arial" w:eastAsia="Arial" w:hAnsi="Arial"/>
          <w:sz w:val="16"/>
          <w:szCs w:val="16"/>
          <w:color w:val="auto"/>
        </w:rPr>
        <w:t xml:space="preserve">In fiscal 2010, revenue was $1,912.9 million, up 3.4% from $1,849.3 million a year ago, reflecting increased revenues in the </w:t>
      </w:r>
      <w:r>
        <w:rPr>
          <w:rFonts w:ascii="Arial" w:cs="Arial" w:eastAsia="Arial" w:hAnsi="Arial"/>
          <w:sz w:val="16"/>
          <w:szCs w:val="16"/>
          <w:i w:val="1"/>
          <w:iCs w:val="1"/>
          <w:color w:val="auto"/>
        </w:rPr>
        <w:t>Educational Publishing</w:t>
      </w:r>
      <w:r>
        <w:rPr>
          <w:rFonts w:ascii="Arial" w:cs="Arial" w:eastAsia="Arial" w:hAnsi="Arial"/>
          <w:sz w:val="16"/>
          <w:szCs w:val="16"/>
          <w:color w:val="auto"/>
        </w:rPr>
        <w:t xml:space="preserve"> segment related to higher sales of READ 180, System 44 and other educational technology products and related services in Scholastic Education, reflecting strong execution and the benefit of new products and adoptions, as well as the significant impact of federal stimulus funding for education.</w:t>
      </w:r>
    </w:p>
    <w:p>
      <w:pPr>
        <w:spacing w:after="0" w:line="16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 xml:space="preserve">In fiscal 2010, operating income was $128.4 million, which included one-time, primarily non-cash items of $55.3 million, associated with write-downs of unproductive assets of $43.1 million, the restructuring of the Company’s UK operations of $4.7 million and $7.5 million related to a sales tax settlement. This compares favorably to operating income of $70.4 million in the prior fiscal year, which included one-time, mostly non-cash charges of $38.2 million consisting of $19.8 million severance and other employee expenses related to the Company’s cost reduction plans and asset impairments of $18.4 million. These results reflect the increased revenues in the </w:t>
      </w:r>
      <w:r>
        <w:rPr>
          <w:rFonts w:ascii="Arial" w:cs="Arial" w:eastAsia="Arial" w:hAnsi="Arial"/>
          <w:sz w:val="18"/>
          <w:szCs w:val="18"/>
          <w:i w:val="1"/>
          <w:iCs w:val="1"/>
          <w:color w:val="auto"/>
        </w:rPr>
        <w:t>Educational Publishing</w:t>
      </w:r>
      <w:r>
        <w:rPr>
          <w:rFonts w:ascii="Arial" w:cs="Arial" w:eastAsia="Arial" w:hAnsi="Arial"/>
          <w:sz w:val="18"/>
          <w:szCs w:val="18"/>
          <w:color w:val="auto"/>
        </w:rPr>
        <w:t xml:space="preserve"> segment, overall effective cost management and improved efficiencies in the Company’s </w:t>
      </w:r>
      <w:r>
        <w:rPr>
          <w:rFonts w:ascii="Arial" w:cs="Arial" w:eastAsia="Arial" w:hAnsi="Arial"/>
          <w:sz w:val="18"/>
          <w:szCs w:val="18"/>
          <w:i w:val="1"/>
          <w:iCs w:val="1"/>
          <w:color w:val="auto"/>
        </w:rPr>
        <w:t>Children’s Book</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Publishing and Distribution </w:t>
      </w:r>
      <w:r>
        <w:rPr>
          <w:rFonts w:ascii="Arial" w:cs="Arial" w:eastAsia="Arial" w:hAnsi="Arial"/>
          <w:sz w:val="18"/>
          <w:szCs w:val="18"/>
          <w:color w:val="auto"/>
        </w:rPr>
        <w:t>segment.</w:t>
      </w:r>
    </w:p>
    <w:p>
      <w:pPr>
        <w:spacing w:after="0" w:line="198"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 xml:space="preserve">During fiscal 2011, the Company’s plan is to sustain last year’s strong operating income before spending approximately $20 million to invest in Children’s Books’ key digital opportunities, ecommerce and ebooks, reflecting the accelerating change and growth in these areas. In the </w:t>
      </w:r>
      <w:r>
        <w:rPr>
          <w:rFonts w:ascii="Arial" w:cs="Arial" w:eastAsia="Arial" w:hAnsi="Arial"/>
          <w:sz w:val="16"/>
          <w:szCs w:val="16"/>
          <w:i w:val="1"/>
          <w:iCs w:val="1"/>
          <w:color w:val="auto"/>
        </w:rPr>
        <w:t>Educational Publishing</w:t>
      </w:r>
      <w:r>
        <w:rPr>
          <w:rFonts w:ascii="Arial" w:cs="Arial" w:eastAsia="Arial" w:hAnsi="Arial"/>
          <w:sz w:val="16"/>
          <w:szCs w:val="16"/>
          <w:color w:val="auto"/>
        </w:rPr>
        <w:t xml:space="preserve"> segment, the Company will focus on consolidating last year’s record growth through strong renewals of services and follow-on product sales, as well as reaching new customers, while continuing to develop a strong pipeline of reading and math programs. The Company expects solid growth in the </w:t>
      </w:r>
      <w:r>
        <w:rPr>
          <w:rFonts w:ascii="Arial" w:cs="Arial" w:eastAsia="Arial" w:hAnsi="Arial"/>
          <w:sz w:val="16"/>
          <w:szCs w:val="16"/>
          <w:i w:val="1"/>
          <w:iCs w:val="1"/>
          <w:color w:val="auto"/>
        </w:rPr>
        <w:t>Children’s Book Publishing</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and Distribution </w:t>
      </w:r>
      <w:r>
        <w:rPr>
          <w:rFonts w:ascii="Arial" w:cs="Arial" w:eastAsia="Arial" w:hAnsi="Arial"/>
          <w:sz w:val="16"/>
          <w:szCs w:val="16"/>
          <w:color w:val="auto"/>
        </w:rPr>
        <w:t>segment in fiscal 2011, driven by strong performance in School Book Clubs and Book Fairs. Revenue in the</w:t>
      </w:r>
      <w:r>
        <w:rPr>
          <w:rFonts w:ascii="Arial" w:cs="Arial" w:eastAsia="Arial" w:hAnsi="Arial"/>
          <w:sz w:val="16"/>
          <w:szCs w:val="16"/>
          <w:i w:val="1"/>
          <w:iCs w:val="1"/>
          <w:color w:val="auto"/>
        </w:rPr>
        <w:t xml:space="preserve"> Educational Publishing </w:t>
      </w:r>
      <w:r>
        <w:rPr>
          <w:rFonts w:ascii="Arial" w:cs="Arial" w:eastAsia="Arial" w:hAnsi="Arial"/>
          <w:sz w:val="16"/>
          <w:szCs w:val="16"/>
          <w:color w:val="auto"/>
        </w:rPr>
        <w:t>segment is</w:t>
      </w:r>
      <w:r>
        <w:rPr>
          <w:rFonts w:ascii="Arial" w:cs="Arial" w:eastAsia="Arial" w:hAnsi="Arial"/>
          <w:sz w:val="16"/>
          <w:szCs w:val="16"/>
          <w:i w:val="1"/>
          <w:iCs w:val="1"/>
          <w:color w:val="auto"/>
        </w:rPr>
        <w:t xml:space="preserve"> </w:t>
      </w:r>
      <w:r>
        <w:rPr>
          <w:rFonts w:ascii="Arial" w:cs="Arial" w:eastAsia="Arial" w:hAnsi="Arial"/>
          <w:sz w:val="16"/>
          <w:szCs w:val="16"/>
          <w:color w:val="auto"/>
        </w:rPr>
        <w:t>expected to be in line with fiscal 2010, despite lower anticipated benefit from federal stimulus funding and fewer product introductions compared to last year.</w:t>
      </w:r>
    </w:p>
    <w:p>
      <w:pPr>
        <w:spacing w:after="0" w:line="174" w:lineRule="exact"/>
        <w:rPr>
          <w:sz w:val="20"/>
          <w:szCs w:val="20"/>
          <w:color w:val="auto"/>
        </w:rPr>
      </w:pPr>
    </w:p>
    <w:p>
      <w:pPr>
        <w:jc w:val="both"/>
        <w:ind w:right="480"/>
        <w:spacing w:after="0" w:line="259" w:lineRule="auto"/>
        <w:rPr>
          <w:sz w:val="20"/>
          <w:szCs w:val="20"/>
          <w:color w:val="auto"/>
        </w:rPr>
      </w:pPr>
      <w:r>
        <w:rPr>
          <w:rFonts w:ascii="Arial" w:cs="Arial" w:eastAsia="Arial" w:hAnsi="Arial"/>
          <w:sz w:val="18"/>
          <w:szCs w:val="18"/>
          <w:color w:val="auto"/>
        </w:rPr>
        <w:t>Across the Company, improved efficiencies are expected to offset higher commodity, manufacturing and medical costs, as well as merit pay increases. The Company expects to continue to generate free cash flow in excess of net income by aggressively managing working capital, effectively offsetting increased capital spending on new products and digital initiatives.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2"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The Company’s discussion and analysis of its financial condition and results of operations is based upon its consolidated financial statements, which have been prepared in accordance with accounting principles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2663825</wp:posOffset>
            </wp:positionH>
            <wp:positionV relativeFrom="paragraph">
              <wp:posOffset>123190</wp:posOffset>
            </wp:positionV>
            <wp:extent cx="1929765" cy="23177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929765"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387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755" w:right="259" w:bottom="1440" w:gutter="0" w:footer="0" w:header="0"/>
        </w:sectPr>
      </w:pPr>
    </w:p>
    <w:bookmarkStart w:id="21" w:name="page22"/>
    <w:bookmarkEnd w:id="21"/>
    <w:p>
      <w:pPr>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63765" cy="8890"/>
                    </a:xfrm>
                    <a:prstGeom prst="rect">
                      <a:avLst/>
                    </a:prstGeom>
                    <a:noFill/>
                  </pic:spPr>
                </pic:pic>
              </a:graphicData>
            </a:graphic>
          </wp:anchor>
        </w:drawing>
        <w:t>generally accepted in the United States. The preparation of these financial statements involves the use of estimates and assumptions by management, which affects the amounts reported in the consolidated financial statements and accompanying notes. The Company bases its estimates on historical experience, current business factors, future expectations and various other assumptions believed to be reasonable under the circumstances, all of which are necessary in order to form a basis for determining the carrying values of assets and liabilities. Actual results may differ from those estimates and assumptions. On an on-going basis, the Company evaluates the adequacy of its reserves and the estimates used in calculations, including, but not limited to: collectability of accounts receivable; sales returns; amortization periods; stock-based compensation expense; pension and other post-retirement obligations; tax rates; and recoverability of inventories, deferred income taxes and tax reserves, fixed assets, prepublication costs, and royalty advances, and the fair value of goodwill and other intangibles. For a complete description of the Company’s significant accounting policies, see Note 1 to the Consolidated Financial Statements in Item 8 of this Report. The following policies and account descriptions include all those identified by the Company as critical to its business operations and the understanding of its results of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The Company’s revenue recognition policies for its principal businesses are as follows: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School-Based Book Clubs </w:t>
      </w:r>
      <w:r>
        <w:rPr>
          <w:rFonts w:ascii="Arial" w:cs="Arial" w:eastAsia="Arial" w:hAnsi="Arial"/>
          <w:sz w:val="18"/>
          <w:szCs w:val="18"/>
          <w:color w:val="auto"/>
        </w:rPr>
        <w:t>– Revenue from school-based book clubs is recognized upon shipment of the products.</w:t>
      </w:r>
    </w:p>
    <w:p>
      <w:pPr>
        <w:spacing w:after="0" w:line="225" w:lineRule="exact"/>
        <w:rPr>
          <w:sz w:val="20"/>
          <w:szCs w:val="20"/>
          <w:color w:val="auto"/>
        </w:rPr>
      </w:pPr>
    </w:p>
    <w:p>
      <w:pPr>
        <w:jc w:val="both"/>
        <w:ind w:right="400"/>
        <w:spacing w:after="0" w:line="310" w:lineRule="auto"/>
        <w:rPr>
          <w:sz w:val="20"/>
          <w:szCs w:val="20"/>
          <w:color w:val="auto"/>
        </w:rPr>
      </w:pPr>
      <w:r>
        <w:rPr>
          <w:rFonts w:ascii="Arial" w:cs="Arial" w:eastAsia="Arial" w:hAnsi="Arial"/>
          <w:sz w:val="16"/>
          <w:szCs w:val="16"/>
          <w:b w:val="1"/>
          <w:bCs w:val="1"/>
          <w:color w:val="auto"/>
        </w:rPr>
        <w:t xml:space="preserve">School-Based Book Fairs </w:t>
      </w:r>
      <w:r>
        <w:rPr>
          <w:rFonts w:ascii="Arial" w:cs="Arial" w:eastAsia="Arial" w:hAnsi="Arial"/>
          <w:sz w:val="16"/>
          <w:szCs w:val="16"/>
          <w:color w:val="auto"/>
        </w:rPr>
        <w:t>– Revenues associated with school-based book fairs are related to sales of product. Book fairs are typically run by schools and/or</w:t>
      </w:r>
      <w:r>
        <w:rPr>
          <w:rFonts w:ascii="Arial" w:cs="Arial" w:eastAsia="Arial" w:hAnsi="Arial"/>
          <w:sz w:val="16"/>
          <w:szCs w:val="16"/>
          <w:b w:val="1"/>
          <w:bCs w:val="1"/>
          <w:color w:val="auto"/>
        </w:rPr>
        <w:t xml:space="preserve"> </w:t>
      </w:r>
      <w:r>
        <w:rPr>
          <w:rFonts w:ascii="Arial" w:cs="Arial" w:eastAsia="Arial" w:hAnsi="Arial"/>
          <w:sz w:val="16"/>
          <w:szCs w:val="16"/>
          <w:color w:val="auto"/>
        </w:rPr>
        <w:t>parent teacher organizations over a five business-day period. At the end of reporting periods, the Company defers revenue for those fairs that have not been completed as of the period end based on the number of fair days occurring after period end on a straight-line calculation of the full fair’s revenue.</w:t>
      </w:r>
    </w:p>
    <w:p>
      <w:pPr>
        <w:spacing w:after="0" w:line="151"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b w:val="1"/>
          <w:bCs w:val="1"/>
          <w:color w:val="auto"/>
        </w:rPr>
        <w:t xml:space="preserve">Trade </w:t>
      </w:r>
      <w:r>
        <w:rPr>
          <w:rFonts w:ascii="Arial" w:cs="Arial" w:eastAsia="Arial" w:hAnsi="Arial"/>
          <w:sz w:val="16"/>
          <w:szCs w:val="16"/>
          <w:color w:val="auto"/>
        </w:rPr>
        <w:t>– Revenue from the sale of children’s books for distribution in the retail channel is primarily recognized when risks and benefits transfer to the customer,</w:t>
      </w:r>
      <w:r>
        <w:rPr>
          <w:rFonts w:ascii="Arial" w:cs="Arial" w:eastAsia="Arial" w:hAnsi="Arial"/>
          <w:sz w:val="16"/>
          <w:szCs w:val="16"/>
          <w:b w:val="1"/>
          <w:bCs w:val="1"/>
          <w:color w:val="auto"/>
        </w:rPr>
        <w:t xml:space="preserve"> </w:t>
      </w:r>
      <w:r>
        <w:rPr>
          <w:rFonts w:ascii="Arial" w:cs="Arial" w:eastAsia="Arial" w:hAnsi="Arial"/>
          <w:sz w:val="16"/>
          <w:szCs w:val="16"/>
          <w:color w:val="auto"/>
        </w:rPr>
        <w:t>which generally is at the time of shipment, or when the product is on sale and available to the public. For newly published titles, the Company, on occasion, contractually agrees with its customers when the publication may be first offered for sale to the public, or an agreed upon “Strict Laydown Date”. For such titles, the risks and benefits of the publication are not deemed to be transferred to the customer until such time that the publication can contractually be sold to the public, and the Company defers revenue on sales of such titles until such time as the customer is permitted to sell the product to the public.</w:t>
      </w:r>
    </w:p>
    <w:p>
      <w:pPr>
        <w:spacing w:after="0" w:line="168"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A reserve for estimated returns is established at the time of sale and recorded as a reduction to revenue. Actual returns are charged to the reserve as received. The calculation of the reserve for estimated returns is based on historical return rates and sales patterns. Actual returns could differ from the Company’s estimate. A one percentage point change in the estimated reserve for returns rate would have resulted in an increase or decrease in operating income for the year ended May 31, 2010 of approximately $1.1 million. A reserve for estimated bad debts is established at the time of sale and is based on the aging of accounts receivable held by the Company’s third party administrator. While the Company uses a third party to invoice and collect for shipments made, the Company bears the majority of the responsibility in the case of uncollectible accounts.</w:t>
      </w:r>
    </w:p>
    <w:p>
      <w:pPr>
        <w:spacing w:after="0" w:line="168"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b w:val="1"/>
          <w:bCs w:val="1"/>
          <w:color w:val="auto"/>
        </w:rPr>
        <w:t xml:space="preserve">Educational Publishing </w:t>
      </w:r>
      <w:r>
        <w:rPr>
          <w:rFonts w:ascii="Arial" w:cs="Arial" w:eastAsia="Arial" w:hAnsi="Arial"/>
          <w:sz w:val="18"/>
          <w:szCs w:val="18"/>
          <w:color w:val="auto"/>
        </w:rPr>
        <w:t>– For shipments to schools, revenue is recognized when risks and benefits transfer to the customer. Shipments to depositories are on</w:t>
      </w:r>
      <w:r>
        <w:rPr>
          <w:rFonts w:ascii="Arial" w:cs="Arial" w:eastAsia="Arial" w:hAnsi="Arial"/>
          <w:sz w:val="18"/>
          <w:szCs w:val="18"/>
          <w:b w:val="1"/>
          <w:bCs w:val="1"/>
          <w:color w:val="auto"/>
        </w:rPr>
        <w:t xml:space="preserve"> </w:t>
      </w:r>
      <w:r>
        <w:rPr>
          <w:rFonts w:ascii="Arial" w:cs="Arial" w:eastAsia="Arial" w:hAnsi="Arial"/>
          <w:sz w:val="18"/>
          <w:szCs w:val="18"/>
          <w:color w:val="auto"/>
        </w:rPr>
        <w:t>consignment and revenue is recognized based on actual shipments from the depositories to the schools. For certain software-based products, the Company offers new customers installation and training with these products and, in such cases, revenue is deferred and recognized as services are delivered or over the life of the contract.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2663825</wp:posOffset>
            </wp:positionH>
            <wp:positionV relativeFrom="paragraph">
              <wp:posOffset>130175</wp:posOffset>
            </wp:positionV>
            <wp:extent cx="1929765" cy="23177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929765"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387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80"/>
          </w:cols>
          <w:pgMar w:left="240" w:top="766" w:right="279" w:bottom="1440" w:gutter="0" w:footer="0" w:header="0"/>
        </w:sectPr>
      </w:pPr>
    </w:p>
    <w:bookmarkStart w:id="22" w:name="page23"/>
    <w:bookmarkEnd w:id="22"/>
    <w:p>
      <w:pPr>
        <w:ind w:right="200"/>
        <w:spacing w:after="0" w:line="258"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63765" cy="8890"/>
                    </a:xfrm>
                    <a:prstGeom prst="rect">
                      <a:avLst/>
                    </a:prstGeom>
                    <a:noFill/>
                  </pic:spPr>
                </pic:pic>
              </a:graphicData>
            </a:graphic>
          </wp:anchor>
        </w:drawing>
        <w:t xml:space="preserve">Toy Catalog </w:t>
      </w:r>
      <w:r>
        <w:rPr>
          <w:rFonts w:ascii="Arial" w:cs="Arial" w:eastAsia="Arial" w:hAnsi="Arial"/>
          <w:sz w:val="18"/>
          <w:szCs w:val="18"/>
          <w:color w:val="auto"/>
        </w:rPr>
        <w:t>– Revenue from the sale of children’s toys to the home through catalogs is recognized when risks and benefits transfer to the customer, which is</w:t>
      </w:r>
      <w:r>
        <w:rPr>
          <w:rFonts w:ascii="Arial" w:cs="Arial" w:eastAsia="Arial" w:hAnsi="Arial"/>
          <w:sz w:val="18"/>
          <w:szCs w:val="18"/>
          <w:b w:val="1"/>
          <w:bCs w:val="1"/>
          <w:color w:val="auto"/>
        </w:rPr>
        <w:t xml:space="preserve"> </w:t>
      </w:r>
      <w:r>
        <w:rPr>
          <w:rFonts w:ascii="Arial" w:cs="Arial" w:eastAsia="Arial" w:hAnsi="Arial"/>
          <w:sz w:val="18"/>
          <w:szCs w:val="18"/>
          <w:color w:val="auto"/>
        </w:rPr>
        <w:t>generally at the time of shipment. A reserve for estimated returns is established at the time of sale and recorded as a reduction to revenue. Actual returns are charged to the reserve as received. The calculation of the reserve for estimated returns is based on historical return rates and sales patterns. Actual returns could differ from the Company’s estimate.</w:t>
      </w:r>
    </w:p>
    <w:p>
      <w:pPr>
        <w:spacing w:after="0" w:line="190"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b w:val="1"/>
          <w:bCs w:val="1"/>
          <w:color w:val="auto"/>
        </w:rPr>
        <w:t xml:space="preserve">Film Production and Licensing </w:t>
      </w:r>
      <w:r>
        <w:rPr>
          <w:rFonts w:ascii="Arial" w:cs="Arial" w:eastAsia="Arial" w:hAnsi="Arial"/>
          <w:sz w:val="18"/>
          <w:szCs w:val="18"/>
          <w:color w:val="auto"/>
        </w:rPr>
        <w:t>– Revenue from the sale of film rights, principally for the home video and domestic and foreign television markets, is</w:t>
      </w:r>
      <w:r>
        <w:rPr>
          <w:rFonts w:ascii="Arial" w:cs="Arial" w:eastAsia="Arial" w:hAnsi="Arial"/>
          <w:sz w:val="18"/>
          <w:szCs w:val="18"/>
          <w:b w:val="1"/>
          <w:bCs w:val="1"/>
          <w:color w:val="auto"/>
        </w:rPr>
        <w:t xml:space="preserve"> </w:t>
      </w:r>
      <w:r>
        <w:rPr>
          <w:rFonts w:ascii="Arial" w:cs="Arial" w:eastAsia="Arial" w:hAnsi="Arial"/>
          <w:sz w:val="18"/>
          <w:szCs w:val="18"/>
          <w:color w:val="auto"/>
        </w:rPr>
        <w:t>recognized when the film has been delivered and is available for showing or exploitation. Licensing revenue is recorded in accordance with royalty agreements at the time the licensed materials are available to the licensee and collections are reasonably assured.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Magazines </w:t>
      </w:r>
      <w:r>
        <w:rPr>
          <w:rFonts w:ascii="Arial" w:cs="Arial" w:eastAsia="Arial" w:hAnsi="Arial"/>
          <w:sz w:val="18"/>
          <w:szCs w:val="18"/>
          <w:color w:val="auto"/>
        </w:rPr>
        <w:t>– Revenue is deferred and recognized ratably over the subscription period, as the magazines are delivered.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Magazine Advertising </w:t>
      </w:r>
      <w:r>
        <w:rPr>
          <w:rFonts w:ascii="Arial" w:cs="Arial" w:eastAsia="Arial" w:hAnsi="Arial"/>
          <w:sz w:val="18"/>
          <w:szCs w:val="18"/>
          <w:color w:val="auto"/>
        </w:rPr>
        <w:t>– Revenue is recognized when the magazine is on sale and available to the subscribers.</w:t>
      </w:r>
    </w:p>
    <w:p>
      <w:pPr>
        <w:spacing w:after="0" w:line="225" w:lineRule="exact"/>
        <w:rPr>
          <w:sz w:val="20"/>
          <w:szCs w:val="20"/>
          <w:color w:val="auto"/>
        </w:rPr>
      </w:pPr>
    </w:p>
    <w:p>
      <w:pPr>
        <w:ind w:right="20"/>
        <w:spacing w:after="0" w:line="275" w:lineRule="auto"/>
        <w:rPr>
          <w:sz w:val="20"/>
          <w:szCs w:val="20"/>
          <w:color w:val="auto"/>
        </w:rPr>
      </w:pPr>
      <w:r>
        <w:rPr>
          <w:rFonts w:ascii="Arial" w:cs="Arial" w:eastAsia="Arial" w:hAnsi="Arial"/>
          <w:sz w:val="18"/>
          <w:szCs w:val="18"/>
          <w:b w:val="1"/>
          <w:bCs w:val="1"/>
          <w:color w:val="auto"/>
        </w:rPr>
        <w:t xml:space="preserve">Scholastic In-School Marketing </w:t>
      </w:r>
      <w:r>
        <w:rPr>
          <w:rFonts w:ascii="Arial" w:cs="Arial" w:eastAsia="Arial" w:hAnsi="Arial"/>
          <w:sz w:val="18"/>
          <w:szCs w:val="18"/>
          <w:color w:val="auto"/>
        </w:rPr>
        <w:t>– Revenue is recognized when the Company has satisfied its obligations under the program and the customer has acknowledged</w:t>
      </w:r>
      <w:r>
        <w:rPr>
          <w:rFonts w:ascii="Arial" w:cs="Arial" w:eastAsia="Arial" w:hAnsi="Arial"/>
          <w:sz w:val="18"/>
          <w:szCs w:val="18"/>
          <w:b w:val="1"/>
          <w:bCs w:val="1"/>
          <w:color w:val="auto"/>
        </w:rPr>
        <w:t xml:space="preserve"> </w:t>
      </w:r>
      <w:r>
        <w:rPr>
          <w:rFonts w:ascii="Arial" w:cs="Arial" w:eastAsia="Arial" w:hAnsi="Arial"/>
          <w:sz w:val="18"/>
          <w:szCs w:val="18"/>
          <w:color w:val="auto"/>
        </w:rPr>
        <w:t>acceptance of the product or service. Certain revenues may be deferred pending future deliverables.</w:t>
      </w:r>
    </w:p>
    <w:p>
      <w:pPr>
        <w:spacing w:after="0" w:line="180"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For the fiscal years ended May 31, 2010, 2009 and 2008, no significant changes have been made to the underlying assumptions related to the Company’s revenue recognition policies or the methodologies applied.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w:t>
      </w:r>
    </w:p>
    <w:p>
      <w:pPr>
        <w:spacing w:after="0" w:line="222"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Accounts receivable are recorded net of allowances for doubtful accounts and reserves for returns. In the normal course of business, the Company extends credit to customers that satisfy predefined credit criteria. The Company is required to estimate the collectability of its receivables. Reserves for returns are based on historical return rates and sales patterns. Allowances for doubtful accounts are established through the evaluation of accounts receivable aging and prior collection experience to estimate the ultimate collectability of these receivables. In the Company’s trade business, a reserve for estimated bad debts is established at the time of sale and the reserve continues to be monitored based on the aging of accounts receivable held by the Company’s third party administrator and the Company’s evaluation of the creditworthiness of the parties responsible for payment. While the Company uses a third party to invoice and collect for shipments made, the Company bears the majority of the responsibility in the case of uncollectible accounts. A one percentage point change in the estimated bad debt reserve rates, which are applied to the accounts receivable aging, would have resulted in an increase or decrease in operating income for the year ended May 31, 2010 of approximately $2.6 million.</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Inventories:</w:t>
      </w:r>
    </w:p>
    <w:p>
      <w:pPr>
        <w:spacing w:after="0" w:line="222" w:lineRule="exact"/>
        <w:rPr>
          <w:sz w:val="20"/>
          <w:szCs w:val="20"/>
          <w:color w:val="auto"/>
        </w:rPr>
      </w:pPr>
    </w:p>
    <w:p>
      <w:pPr>
        <w:ind w:right="300"/>
        <w:spacing w:after="0" w:line="256" w:lineRule="auto"/>
        <w:rPr>
          <w:sz w:val="20"/>
          <w:szCs w:val="20"/>
          <w:color w:val="auto"/>
        </w:rPr>
      </w:pPr>
      <w:r>
        <w:rPr>
          <w:rFonts w:ascii="Arial" w:cs="Arial" w:eastAsia="Arial" w:hAnsi="Arial"/>
          <w:sz w:val="18"/>
          <w:szCs w:val="18"/>
          <w:color w:val="auto"/>
        </w:rPr>
        <w:t>Inventories, consisting principally of books, are stated at the lower of cost, using the first-in, first-out method, or market. The Company records a reserve for excess and obsolete inventory based upon a calculation using the historical usage rates and sales patterns of its products. The impact of a one percentage point change in the obsolescence reserve rate would have resulted in an increase or decrease in operating income for the year ended May 31, 2010 of approximately $3.9 million.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Royalty advances:</w:t>
      </w:r>
    </w:p>
    <w:p>
      <w:pPr>
        <w:spacing w:after="0" w:line="222" w:lineRule="exact"/>
        <w:rPr>
          <w:sz w:val="20"/>
          <w:szCs w:val="20"/>
          <w:color w:val="auto"/>
        </w:rPr>
      </w:pPr>
    </w:p>
    <w:p>
      <w:pPr>
        <w:ind w:right="200"/>
        <w:spacing w:after="0" w:line="323" w:lineRule="auto"/>
        <w:rPr>
          <w:sz w:val="20"/>
          <w:szCs w:val="20"/>
          <w:color w:val="auto"/>
        </w:rPr>
      </w:pPr>
      <w:r>
        <w:rPr>
          <w:rFonts w:ascii="Arial" w:cs="Arial" w:eastAsia="Arial" w:hAnsi="Arial"/>
          <w:sz w:val="15"/>
          <w:szCs w:val="15"/>
          <w:color w:val="auto"/>
        </w:rPr>
        <w:t>Royalty advances are initially capitalized and subsequently expensed as related revenues are earned or when the Company determines future recovery is not probable. The Company has a long history of providing authors with royalty advances, and it tracks each advance earned with respect to the sale of the related publication. Historically, the longer the unearned portion of the advance remains outstanding, the less likely it is that the Company will recover the advance through the sale of the publication, as the related royalties earned are applied first against the remaining unearned portion of the advance. The Company applies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2663825</wp:posOffset>
            </wp:positionH>
            <wp:positionV relativeFrom="paragraph">
              <wp:posOffset>101600</wp:posOffset>
            </wp:positionV>
            <wp:extent cx="1929765" cy="23177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929765"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387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23" w:name="page24"/>
    <w:bookmarkEnd w:id="23"/>
    <w:p>
      <w:pPr>
        <w:jc w:val="both"/>
        <w:ind w:right="12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63765" cy="8890"/>
                    </a:xfrm>
                    <a:prstGeom prst="rect">
                      <a:avLst/>
                    </a:prstGeom>
                    <a:noFill/>
                  </pic:spPr>
                </pic:pic>
              </a:graphicData>
            </a:graphic>
          </wp:anchor>
        </w:drawing>
        <w:t>this historical experience to its existing outstanding royalty advances to estimate the likelihood of recovery. Additionally, the Company’s editorial staff regularly reviews its portfolio of royalty advances to determine if individual royalty advances are not recoverable for discrete reasons, such as the death of an author prior to completion of a title or titles, a Company decision to not publish a title, poor market demand or other relevant factors that could impact recoverability.</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and intangible assets:</w:t>
      </w:r>
    </w:p>
    <w:p>
      <w:pPr>
        <w:spacing w:after="0" w:line="222"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Goodwill and other intangible assets with indefinite lives are not amortized and are reviewed for impairment annually or more frequently if impairment indicators arise.</w:t>
      </w:r>
    </w:p>
    <w:p>
      <w:pPr>
        <w:spacing w:after="0" w:line="186"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With regard to goodwill, the Company compares the estimated fair value of its identified reporting units to the carrying value of the net assets. For each of the reporting units, the estimated fair value is determined utilizing the expected present value of the projected future cash flows of the units, in addition to comparisons to similar companies. The Company reviews its definition of reporting units annually. The Company evaluates its operating segments to determine if there are components one level below the operating segment. A component is present if discrete financial information is available and segment management regularly reviews the operating results of the business. If an operating segment only contains a single component, that component is determined to be a reporting unit for goodwill impairment testing purposes. If an operating segment contains multiple components, the Company evaluates the economic characteristics of these components. Any components within an operating segment that share similar economic characteristics are aggregated and deemed to be a reporting unit for goodwill impairment testing purposes. Components within the same operating segment that do not share similar economic characteristics are deemed to be individual reporting units for goodwill impairment testing purposes. The Company has identified 11 separate reporting units for goodwill impairment testing purposes. For each reporting unit with a goodwill asset, impairment testing is conducted at the reporting unit level.</w:t>
      </w:r>
    </w:p>
    <w:p>
      <w:pPr>
        <w:spacing w:after="0" w:line="17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determination of the fair value of the Company’s reporting units involves a number of assumptions, including the estimates of future cash flows, discount rates and market-base multiples, among others, each of which is subject to change. Accordingly, it is possible that changes in assumptions and the performance of certain reporting units could lead to impairments in future periods, which may be material. To illustrate the extent that the fair values of the reporting units exceed their carrying value, had the fair value of each of the Company’s reporting units been 15% lower as of May 31, 2010, the Company still would not have recorded an impairment charge. There were two reporting units with goodwill totaling $108.9 million that had an estimated fair value of approximately 20% in excess of book value as of May 31, 2010.</w:t>
      </w:r>
    </w:p>
    <w:p>
      <w:pPr>
        <w:spacing w:after="0" w:line="198"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With regard to other intangibles with indefinite lives, the Company determines the fair value by asset, which is then compared to its carrying value. The estimated fair value is determined utilizing the expected present value of the projected future cash flows of the asset. Intangible assets with definite lives consist principally of customer lists, covenants not to compete, and certain other intellectual property assets and are amortized over their expected useful lives. Customer lists are amortized on a straight-line basis over a five-year period, while covenants not to compete are amortized on a straight-line basis over their contractual term. Other intellectual property assets are amortized over their remaining useful lives which range primarily from three to five years.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Unredeemed Incentive Credits:</w:t>
      </w:r>
    </w:p>
    <w:p>
      <w:pPr>
        <w:spacing w:after="0" w:line="222"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The Company employs incentive programs to encourage sponsor participation in its book clubs and book fairs. These programs allow the sponsors to accumulate credits which can then be redeemed for Company products or other items offered by the Company. The Company recognizes a liability at the estimated cost of providing these credits at the time of the recognition of revenue for the underlying purchases of Company product that resulted in the granting of the credit. As the credits are redeemed, such liability is reduced. Estimates are based on historical redemption patterns.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2663825</wp:posOffset>
            </wp:positionH>
            <wp:positionV relativeFrom="paragraph">
              <wp:posOffset>111125</wp:posOffset>
            </wp:positionV>
            <wp:extent cx="1929765" cy="23177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929765"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387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766" w:right="25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63765" cy="8890"/>
                    </a:xfrm>
                    <a:prstGeom prst="rect">
                      <a:avLst/>
                    </a:prstGeom>
                    <a:noFill/>
                  </pic:spPr>
                </pic:pic>
              </a:graphicData>
            </a:graphic>
          </wp:anchor>
        </w:drawing>
        <w:t>Other noncurrent liabilities:</w:t>
      </w:r>
    </w:p>
    <w:p>
      <w:pPr>
        <w:spacing w:after="0" w:line="222"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All of the rate assumptions discussed below impact the Company’s calculations of its pension and post-retirement obligations. Any change in market performance, interest rate performance, assumed health care costs trend rate or compensation rates could result in significant changes in the Company’s pension and post-retirement obligations.</w:t>
      </w:r>
    </w:p>
    <w:p>
      <w:pPr>
        <w:spacing w:after="0" w:line="188"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b w:val="1"/>
          <w:bCs w:val="1"/>
          <w:color w:val="auto"/>
        </w:rPr>
        <w:t xml:space="preserve">Pension obligations </w:t>
      </w:r>
      <w:r>
        <w:rPr>
          <w:rFonts w:ascii="Arial" w:cs="Arial" w:eastAsia="Arial" w:hAnsi="Arial"/>
          <w:sz w:val="16"/>
          <w:szCs w:val="16"/>
          <w:color w:val="auto"/>
        </w:rPr>
        <w:t>– The Corporation and certain of its subsidiaries have defined benefit pension plans (the “pension plans”), covering the majority of their</w:t>
      </w:r>
      <w:r>
        <w:rPr>
          <w:rFonts w:ascii="Arial" w:cs="Arial" w:eastAsia="Arial" w:hAnsi="Arial"/>
          <w:sz w:val="16"/>
          <w:szCs w:val="16"/>
          <w:b w:val="1"/>
          <w:bCs w:val="1"/>
          <w:color w:val="auto"/>
        </w:rPr>
        <w:t xml:space="preserve"> </w:t>
      </w:r>
      <w:r>
        <w:rPr>
          <w:rFonts w:ascii="Arial" w:cs="Arial" w:eastAsia="Arial" w:hAnsi="Arial"/>
          <w:sz w:val="16"/>
          <w:szCs w:val="16"/>
          <w:color w:val="auto"/>
        </w:rPr>
        <w:t>employees who meet certain eligibility requirements. Effective as of June 1, 2009, the U.S. cash balance retirement plan (the “Pension Plan”) closed to new participants and accrual of future benefits under the Pension Plan stopped. Accordingly, a participant’s benefit does not consider pay earned and service credited after June 1, 2009. The Company’s pension plans and other post-retirement benefits are accounted for using actuarial valuations required by ASC Topic 715, “Compensation Retirement Benefits” (“Topic 715”), and the recognition and disclosure provisions of Topic 715, which requires the Company to recognize the funded status of its pension plans in its consolidated balance sheet.</w:t>
      </w:r>
    </w:p>
    <w:p>
      <w:pPr>
        <w:spacing w:after="0" w:line="171" w:lineRule="exact"/>
        <w:rPr>
          <w:sz w:val="20"/>
          <w:szCs w:val="20"/>
          <w:color w:val="auto"/>
        </w:rPr>
      </w:pPr>
    </w:p>
    <w:p>
      <w:pPr>
        <w:spacing w:after="0" w:line="309" w:lineRule="auto"/>
        <w:rPr>
          <w:sz w:val="20"/>
          <w:szCs w:val="20"/>
          <w:color w:val="auto"/>
        </w:rPr>
      </w:pPr>
      <w:r>
        <w:rPr>
          <w:rFonts w:ascii="Arial" w:cs="Arial" w:eastAsia="Arial" w:hAnsi="Arial"/>
          <w:sz w:val="15"/>
          <w:szCs w:val="15"/>
          <w:color w:val="auto"/>
        </w:rPr>
        <w:t>The Company’s pension calculations are based on three primary actuarial assumptions: the discount rate, the long-term expected rate of return on plan assets and the anticipated rate of compensation increases. The discount rate is used in the measurement of the projected, accumulated and vested benefit obligations and interest cost component of net periodic pension costs. The long-term expected return on plan assets is used to calculate the expected earnings from the investment or reinvestment of plan assets. The anticipated rate of compensation increase is used to estimate the increase in compensation for participants of the plan from their current age to their assumed retirement age. The estimated compensation amounts are used to determine the benefit obligations and the service cost. A one percentage point change in the discount rate and expected long-term return on plan assets would have resulted in an increase or decrease in operating income for the year ended May 31, 2010 of approximately $0.2 million and $1.1 million, respectively. Pension benefits in the cash balance plan for employees located in the United States are based on formulas in which the employees’ balances are credited monthly with interest based on the average rate for one-year United States Treasury Bills plus 1%. Contribution credits are based on employees’ years of service and compensation levels during their employment periods.</w:t>
      </w:r>
    </w:p>
    <w:p>
      <w:pPr>
        <w:spacing w:after="0" w:line="156" w:lineRule="exact"/>
        <w:rPr>
          <w:sz w:val="20"/>
          <w:szCs w:val="20"/>
          <w:color w:val="auto"/>
        </w:rPr>
      </w:pPr>
    </w:p>
    <w:p>
      <w:pPr>
        <w:spacing w:after="0" w:line="289" w:lineRule="auto"/>
        <w:rPr>
          <w:sz w:val="20"/>
          <w:szCs w:val="20"/>
          <w:color w:val="auto"/>
        </w:rPr>
      </w:pPr>
      <w:r>
        <w:rPr>
          <w:rFonts w:ascii="Arial" w:cs="Arial" w:eastAsia="Arial" w:hAnsi="Arial"/>
          <w:sz w:val="16"/>
          <w:szCs w:val="16"/>
          <w:b w:val="1"/>
          <w:bCs w:val="1"/>
          <w:color w:val="auto"/>
        </w:rPr>
        <w:t xml:space="preserve">Other post-retirement benefits </w:t>
      </w:r>
      <w:r>
        <w:rPr>
          <w:rFonts w:ascii="Arial" w:cs="Arial" w:eastAsia="Arial" w:hAnsi="Arial"/>
          <w:sz w:val="16"/>
          <w:szCs w:val="16"/>
          <w:color w:val="auto"/>
        </w:rPr>
        <w:t>– The Corporation provides post-retirement benefits, consisting of healthcare and life insurance benefits, to eligible retired</w:t>
      </w:r>
      <w:r>
        <w:rPr>
          <w:rFonts w:ascii="Arial" w:cs="Arial" w:eastAsia="Arial" w:hAnsi="Arial"/>
          <w:sz w:val="16"/>
          <w:szCs w:val="16"/>
          <w:b w:val="1"/>
          <w:bCs w:val="1"/>
          <w:color w:val="auto"/>
        </w:rPr>
        <w:t xml:space="preserve"> </w:t>
      </w:r>
      <w:r>
        <w:rPr>
          <w:rFonts w:ascii="Arial" w:cs="Arial" w:eastAsia="Arial" w:hAnsi="Arial"/>
          <w:sz w:val="16"/>
          <w:szCs w:val="16"/>
          <w:color w:val="auto"/>
        </w:rPr>
        <w:t>United States-based employees. The post-retirement medical plan benefits are funded on a pay-as-you-go basis, with the Company paying a portion of the premium and the employee paying the remainder. The Company follows Topic 715 in calculating the existing benefit obligation, which is based on the discount rate and the assumed health care cost trend rate. The discount rate is used in the measurement of the projected and accumulated benefit obligations and the interest cost components of net periodic post-retirement benefit cost. The assumed health care cost trend rate is used in the measurement of the long-term expected increase in medical claims. A one percentage point change in the discount rate and the medical cost trend rate would have resulted in an increase or decrease in operating income for the year ended May 31, 2010 of approximately $0.1 million and $0.1 million, respectively. A one percentage point change in the medical cost trend rate would have resulted in an increase or decrease in the post-retirement benefit obligation as of May 31, 2010 of approximately $3.6 million and $3.1 million, respectively.</w:t>
      </w:r>
    </w:p>
    <w:p>
      <w:pPr>
        <w:spacing w:after="0" w:line="167" w:lineRule="exact"/>
        <w:rPr>
          <w:sz w:val="20"/>
          <w:szCs w:val="20"/>
          <w:color w:val="auto"/>
        </w:rPr>
      </w:pPr>
    </w:p>
    <w:p>
      <w:pPr>
        <w:ind w:right="560"/>
        <w:spacing w:after="0" w:line="275" w:lineRule="auto"/>
        <w:rPr>
          <w:sz w:val="20"/>
          <w:szCs w:val="20"/>
          <w:color w:val="auto"/>
        </w:rPr>
      </w:pPr>
      <w:r>
        <w:rPr>
          <w:rFonts w:ascii="Arial" w:cs="Arial" w:eastAsia="Arial" w:hAnsi="Arial"/>
          <w:sz w:val="18"/>
          <w:szCs w:val="18"/>
          <w:b w:val="1"/>
          <w:bCs w:val="1"/>
          <w:color w:val="auto"/>
        </w:rPr>
        <w:t xml:space="preserve">Stock-based compensation </w:t>
      </w:r>
      <w:r>
        <w:rPr>
          <w:rFonts w:ascii="Arial" w:cs="Arial" w:eastAsia="Arial" w:hAnsi="Arial"/>
          <w:sz w:val="18"/>
          <w:szCs w:val="18"/>
          <w:color w:val="auto"/>
        </w:rPr>
        <w:t>– ASC Topic 718, “Compensation – Stock Compensation” (“Topic 718”), requires companies to measure the cost of services</w:t>
      </w:r>
      <w:r>
        <w:rPr>
          <w:rFonts w:ascii="Arial" w:cs="Arial" w:eastAsia="Arial" w:hAnsi="Arial"/>
          <w:sz w:val="18"/>
          <w:szCs w:val="18"/>
          <w:b w:val="1"/>
          <w:bCs w:val="1"/>
          <w:color w:val="auto"/>
        </w:rPr>
        <w:t xml:space="preserve"> </w:t>
      </w:r>
      <w:r>
        <w:rPr>
          <w:rFonts w:ascii="Arial" w:cs="Arial" w:eastAsia="Arial" w:hAnsi="Arial"/>
          <w:sz w:val="18"/>
          <w:szCs w:val="18"/>
          <w:color w:val="auto"/>
        </w:rPr>
        <w:t>received in exchange for an award of equity instruments based on the grant-date fair value of the award.</w:t>
      </w:r>
    </w:p>
    <w:p>
      <w:pPr>
        <w:spacing w:after="0" w:line="180"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That cost is recognized over the period during which an employee is required to provide service in exchange for the award. The Company adopted Topic 718 using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2663825</wp:posOffset>
            </wp:positionH>
            <wp:positionV relativeFrom="paragraph">
              <wp:posOffset>123190</wp:posOffset>
            </wp:positionV>
            <wp:extent cx="1929765" cy="23177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929765"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387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80"/>
          </w:cols>
          <w:pgMar w:left="240" w:top="755" w:right="279" w:bottom="1440" w:gutter="0" w:footer="0" w:header="0"/>
        </w:sectPr>
      </w:pPr>
    </w:p>
    <w:bookmarkStart w:id="25" w:name="page26"/>
    <w:bookmarkEnd w:id="25"/>
    <w:p>
      <w:pPr>
        <w:ind w:right="8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63765" cy="8890"/>
                    </a:xfrm>
                    <a:prstGeom prst="rect">
                      <a:avLst/>
                    </a:prstGeom>
                    <a:noFill/>
                  </pic:spPr>
                </pic:pic>
              </a:graphicData>
            </a:graphic>
          </wp:anchor>
        </w:drawing>
        <w:t>the modified-prospective application method and, accordingly, recognizes compensation cost for stock-based compensation for all new or modified grants after the date of adoption. In addition, the Company recognizes the unvested portion of the grant-date fair value of awards granted prior to the adoption based on the fair values previously calculated for disclosure purposes. The fair value of each option grant is estimated on the date of grant using the Black-Scholes option-pricing model. The determination of the assumptions used in the Black-Scholes model requires management to make significant judgments and estimates. The use of different assumptions and estimates in the Black-Scholes option pricing model could have a material impact on the estimated fair value of option grants and the related expense. The risk-free interest rate is based on a U.S. Treasury rate in effect on the date of grant with a term equal to the expected life. The expected term is determined based on historical employee exercise and post-vesting termination behavior. The expected dividend yield is based on actual dividends paid or to be paid by the Company. When calculating expected stock price volatility, the Company utilizes the information for the preceding eight-year period.</w:t>
      </w:r>
    </w:p>
    <w:p>
      <w:pPr>
        <w:spacing w:after="0" w:line="168"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b w:val="1"/>
          <w:bCs w:val="1"/>
          <w:color w:val="auto"/>
        </w:rPr>
        <w:t xml:space="preserve">Discontinued Operations </w:t>
      </w:r>
      <w:r>
        <w:rPr>
          <w:rFonts w:ascii="Arial" w:cs="Arial" w:eastAsia="Arial" w:hAnsi="Arial"/>
          <w:sz w:val="16"/>
          <w:szCs w:val="16"/>
          <w:color w:val="auto"/>
        </w:rPr>
        <w:t>– ASC Topic 360, “Property, Plant, and Equipment,” requires the calculation of estimated fair value less cost to sell of long-lived</w:t>
      </w:r>
      <w:r>
        <w:rPr>
          <w:rFonts w:ascii="Arial" w:cs="Arial" w:eastAsia="Arial" w:hAnsi="Arial"/>
          <w:sz w:val="16"/>
          <w:szCs w:val="16"/>
          <w:b w:val="1"/>
          <w:bCs w:val="1"/>
          <w:color w:val="auto"/>
        </w:rPr>
        <w:t xml:space="preserve"> </w:t>
      </w:r>
      <w:r>
        <w:rPr>
          <w:rFonts w:ascii="Arial" w:cs="Arial" w:eastAsia="Arial" w:hAnsi="Arial"/>
          <w:sz w:val="16"/>
          <w:szCs w:val="16"/>
          <w:color w:val="auto"/>
        </w:rPr>
        <w:t>assets for assets held for sale. The calculation of estimated fair value less cost to sell includes significant estimates and assumptions, including, but not limited to: operating projections; excess working capital levels; real estate values; and the anticipated costs involved in the selling process. The Company recognizes operations as discontinued when the operations have either ceased or are expected to be disposed of in a sale transaction in the near term, the operations and cash flows of all discontinued operations have been eliminated, or will be eliminated upon consummation of the expected sale transaction, and the Company will not have any significant continuing involvement in the discontinued operations subsequent to the expected sale transaction. In addition, for a description of the significant assumptions and estimates used by management in connection with discontinued operations, see Note 2 of Notes to the Consolidated Financial Statements in Item 8, “Consolidated Financial Statements and Supplementary Data,” which is included herein.</w:t>
      </w:r>
    </w:p>
    <w:p>
      <w:pPr>
        <w:spacing w:after="0" w:line="166"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b w:val="1"/>
          <w:bCs w:val="1"/>
          <w:color w:val="auto"/>
        </w:rPr>
        <w:t xml:space="preserve">Income Taxes </w:t>
      </w:r>
      <w:r>
        <w:rPr>
          <w:rFonts w:ascii="Arial" w:cs="Arial" w:eastAsia="Arial" w:hAnsi="Arial"/>
          <w:sz w:val="18"/>
          <w:szCs w:val="18"/>
          <w:color w:val="auto"/>
        </w:rPr>
        <w:t>– The Company uses the asset and liability method of accounting for income taxes. Under this method, deferred tax assets and liabilities are</w:t>
      </w:r>
      <w:r>
        <w:rPr>
          <w:rFonts w:ascii="Arial" w:cs="Arial" w:eastAsia="Arial" w:hAnsi="Arial"/>
          <w:sz w:val="18"/>
          <w:szCs w:val="18"/>
          <w:b w:val="1"/>
          <w:bCs w:val="1"/>
          <w:color w:val="auto"/>
        </w:rPr>
        <w:t xml:space="preserve"> </w:t>
      </w:r>
      <w:r>
        <w:rPr>
          <w:rFonts w:ascii="Arial" w:cs="Arial" w:eastAsia="Arial" w:hAnsi="Arial"/>
          <w:sz w:val="18"/>
          <w:szCs w:val="18"/>
          <w:color w:val="auto"/>
        </w:rPr>
        <w:t>determined based on differences between financial reporting and tax bases of assets and liabilities and are measured using enacted tax rates and laws that will be in effect when the differences are expected to enter into the determination of taxable income.</w:t>
      </w:r>
    </w:p>
    <w:p>
      <w:pPr>
        <w:spacing w:after="0" w:line="192"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The Company believes that its taxable earnings, during the periods when the temporary differences giving rise to deferred tax assets become deductible or when tax benefit carryforwards may be utilized, should be sufficient to realize the related future income tax benefits. For those jurisdictions where the expiration date of the tax benefit carryforwards or where the projected taxable earnings indicate that realization is not likely, the Company establishes a valuation allowance.</w:t>
      </w:r>
    </w:p>
    <w:p>
      <w:pPr>
        <w:spacing w:after="0" w:line="161"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In assessing the need for a valuation allowance, the Company estimates future taxable earnings, with consideration for the feasibility of on-going tax planning strategies and the realizability of tax benefit carryforwards, to determine which deferred tax assets are more likely than not to be realized in the future. Valuation allowances related to deferred tax assets can be impacted by changes to tax laws, changes to statutory tax rates and future taxable earnings. In the event that actual results differ from these estimates in future periods, the Company may need to adjust the valuation allowance.</w:t>
      </w:r>
    </w:p>
    <w:p>
      <w:pPr>
        <w:spacing w:after="0" w:line="167"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The Company recognizes a liability for uncertain tax positions based upon the guidance in ASC Topic 740, “Income Taxes,” (“Topic 740”). Topic 740 provides guidance on recognizing, measuring, presenting, and disclosing in the financial statements uncertain tax positions that a company has taken or expects to file in a tax return. Topic 740 states that a tax benefit from an uncertain tax position may be recognized only if 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2663825</wp:posOffset>
            </wp:positionH>
            <wp:positionV relativeFrom="paragraph">
              <wp:posOffset>107315</wp:posOffset>
            </wp:positionV>
            <wp:extent cx="1929765" cy="23177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929765"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387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766" w:right="239" w:bottom="1440" w:gutter="0" w:footer="0" w:header="0"/>
        </w:sectPr>
      </w:pPr>
    </w:p>
    <w:bookmarkStart w:id="26" w:name="page27"/>
    <w:bookmarkEnd w:id="26"/>
    <w:p>
      <w:pPr>
        <w:ind w:right="6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63765" cy="8890"/>
                    </a:xfrm>
                    <a:prstGeom prst="rect">
                      <a:avLst/>
                    </a:prstGeom>
                    <a:noFill/>
                  </pic:spPr>
                </pic:pic>
              </a:graphicData>
            </a:graphic>
          </wp:anchor>
        </w:drawing>
        <w:t>is “more likely than not” that the position is sustainable, based on its technical merits. The tax benefit of a qualifying position is the largest amount of tax benefit that is greater than 50% likely of being realized upon settlement with a taxing authority having full knowledge of all relevant information.</w:t>
      </w:r>
    </w:p>
    <w:p>
      <w:pPr>
        <w:spacing w:after="0" w:line="13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Management has discussed the development and selection of these critical accounting policies with the Audit Committee of the Corporation’s Board of Directors. The Audit Committee has reviewed the Company’s disclosure relating to the policies described in this Item 7, “Management’s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2663825</wp:posOffset>
            </wp:positionH>
            <wp:positionV relativeFrom="paragraph">
              <wp:posOffset>128905</wp:posOffset>
            </wp:positionV>
            <wp:extent cx="1929765" cy="23177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929765"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387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60"/>
          </w:cols>
          <w:pgMar w:left="240" w:top="766" w:right="29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63765" cy="8890"/>
                    </a:xfrm>
                    <a:prstGeom prst="rect">
                      <a:avLst/>
                    </a:prstGeom>
                    <a:noFill/>
                  </pic:spPr>
                </pic:pic>
              </a:graphicData>
            </a:graphic>
          </wp:anchor>
        </w:drawing>
        <w:t>Results of Operations</w:t>
      </w:r>
    </w:p>
    <w:p>
      <w:pPr>
        <w:spacing w:after="0" w:line="279" w:lineRule="exact"/>
        <w:rPr>
          <w:sz w:val="20"/>
          <w:szCs w:val="20"/>
          <w:color w:val="auto"/>
        </w:rPr>
      </w:pPr>
    </w:p>
    <w:p>
      <w:pPr>
        <w:jc w:val="right"/>
        <w:ind w:right="20"/>
        <w:spacing w:after="0"/>
        <w:rPr>
          <w:sz w:val="20"/>
          <w:szCs w:val="20"/>
          <w:color w:val="auto"/>
        </w:rPr>
      </w:pPr>
      <w:r>
        <w:rPr>
          <w:rFonts w:ascii="Arial" w:cs="Arial" w:eastAsia="Arial" w:hAnsi="Arial"/>
          <w:sz w:val="14"/>
          <w:szCs w:val="14"/>
          <w:color w:val="auto"/>
        </w:rPr>
        <w:t>(Amounts in millions, except per share data)</w:t>
      </w:r>
    </w:p>
    <w:p>
      <w:pPr>
        <w:spacing w:after="0" w:line="136" w:lineRule="exact"/>
        <w:rPr>
          <w:sz w:val="20"/>
          <w:szCs w:val="20"/>
          <w:color w:val="auto"/>
        </w:rPr>
      </w:pPr>
    </w:p>
    <w:p>
      <w:pPr>
        <w:jc w:val="right"/>
        <w:ind w:right="20"/>
        <w:spacing w:after="0"/>
        <w:rPr>
          <w:sz w:val="20"/>
          <w:szCs w:val="20"/>
          <w:color w:val="auto"/>
        </w:rPr>
      </w:pPr>
      <w:r>
        <w:rPr>
          <w:rFonts w:ascii="Arial" w:cs="Arial" w:eastAsia="Arial" w:hAnsi="Arial"/>
          <w:sz w:val="14"/>
          <w:szCs w:val="14"/>
          <w:color w:val="auto"/>
        </w:rPr>
        <w:t>For fiscal years ended May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7263765"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160" w:type="dxa"/>
            <w:vAlign w:val="bottom"/>
          </w:tcPr>
          <w:p>
            <w:pPr>
              <w:spacing w:after="0"/>
              <w:rPr>
                <w:sz w:val="15"/>
                <w:szCs w:val="15"/>
                <w:color w:val="auto"/>
              </w:rPr>
            </w:pPr>
          </w:p>
        </w:tc>
        <w:tc>
          <w:tcPr>
            <w:tcW w:w="1380" w:type="dxa"/>
            <w:vAlign w:val="bottom"/>
          </w:tcPr>
          <w:p>
            <w:pPr>
              <w:jc w:val="right"/>
              <w:ind w:right="14"/>
              <w:spacing w:after="0"/>
              <w:rPr>
                <w:sz w:val="20"/>
                <w:szCs w:val="20"/>
                <w:color w:val="auto"/>
              </w:rPr>
            </w:pPr>
            <w:r>
              <w:rPr>
                <w:rFonts w:ascii="Arial" w:cs="Arial" w:eastAsia="Arial" w:hAnsi="Arial"/>
                <w:sz w:val="14"/>
                <w:szCs w:val="14"/>
                <w:b w:val="1"/>
                <w:bCs w:val="1"/>
                <w:color w:val="auto"/>
              </w:rPr>
              <w:t>2010</w:t>
            </w:r>
          </w:p>
        </w:tc>
        <w:tc>
          <w:tcPr>
            <w:tcW w:w="920" w:type="dxa"/>
            <w:vAlign w:val="bottom"/>
          </w:tcPr>
          <w:p>
            <w:pPr>
              <w:spacing w:after="0"/>
              <w:rPr>
                <w:sz w:val="15"/>
                <w:szCs w:val="15"/>
                <w:color w:val="auto"/>
              </w:rPr>
            </w:pPr>
          </w:p>
        </w:tc>
        <w:tc>
          <w:tcPr>
            <w:tcW w:w="1160" w:type="dxa"/>
            <w:vAlign w:val="bottom"/>
          </w:tcPr>
          <w:p>
            <w:pPr>
              <w:jc w:val="right"/>
              <w:ind w:right="14"/>
              <w:spacing w:after="0"/>
              <w:rPr>
                <w:sz w:val="20"/>
                <w:szCs w:val="20"/>
                <w:color w:val="auto"/>
              </w:rPr>
            </w:pPr>
            <w:r>
              <w:rPr>
                <w:rFonts w:ascii="Arial" w:cs="Arial" w:eastAsia="Arial" w:hAnsi="Arial"/>
                <w:sz w:val="14"/>
                <w:szCs w:val="14"/>
                <w:b w:val="1"/>
                <w:bCs w:val="1"/>
                <w:color w:val="auto"/>
              </w:rPr>
              <w:t>2009</w:t>
            </w:r>
          </w:p>
        </w:tc>
        <w:tc>
          <w:tcPr>
            <w:tcW w:w="9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2008</w:t>
            </w: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95"/>
        </w:trPr>
        <w:tc>
          <w:tcPr>
            <w:tcW w:w="5160" w:type="dxa"/>
            <w:vAlign w:val="bottom"/>
            <w:tcBorders>
              <w:bottom w:val="single" w:sz="8" w:color="auto"/>
            </w:tcBorders>
          </w:tcPr>
          <w:p>
            <w:pPr>
              <w:spacing w:after="0"/>
              <w:rPr>
                <w:sz w:val="8"/>
                <w:szCs w:val="8"/>
                <w:color w:val="auto"/>
              </w:rPr>
            </w:pPr>
          </w:p>
        </w:tc>
        <w:tc>
          <w:tcPr>
            <w:tcW w:w="138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r>
      <w:tr>
        <w:trPr>
          <w:trHeight w:val="348"/>
        </w:trPr>
        <w:tc>
          <w:tcPr>
            <w:tcW w:w="5160" w:type="dxa"/>
            <w:vAlign w:val="bottom"/>
          </w:tcPr>
          <w:p>
            <w:pPr>
              <w:spacing w:after="0"/>
              <w:rPr>
                <w:sz w:val="24"/>
                <w:szCs w:val="24"/>
                <w:color w:val="auto"/>
              </w:rPr>
            </w:pPr>
          </w:p>
        </w:tc>
        <w:tc>
          <w:tcPr>
            <w:tcW w:w="1380" w:type="dxa"/>
            <w:vAlign w:val="bottom"/>
          </w:tcPr>
          <w:p>
            <w:pPr>
              <w:jc w:val="right"/>
              <w:ind w:right="634"/>
              <w:spacing w:after="0"/>
              <w:rPr>
                <w:sz w:val="20"/>
                <w:szCs w:val="20"/>
                <w:color w:val="auto"/>
              </w:rPr>
            </w:pPr>
            <w:r>
              <w:rPr>
                <w:rFonts w:ascii="Arial" w:cs="Arial" w:eastAsia="Arial" w:hAnsi="Arial"/>
                <w:sz w:val="14"/>
                <w:szCs w:val="14"/>
                <w:b w:val="1"/>
                <w:bCs w:val="1"/>
                <w:color w:val="auto"/>
              </w:rPr>
              <w:t>$</w:t>
            </w:r>
          </w:p>
        </w:tc>
        <w:tc>
          <w:tcPr>
            <w:tcW w:w="920" w:type="dxa"/>
            <w:vAlign w:val="bottom"/>
          </w:tcPr>
          <w:p>
            <w:pPr>
              <w:jc w:val="right"/>
              <w:ind w:right="414"/>
              <w:spacing w:after="0"/>
              <w:rPr>
                <w:sz w:val="20"/>
                <w:szCs w:val="20"/>
                <w:color w:val="auto"/>
              </w:rPr>
            </w:pPr>
            <w:r>
              <w:rPr>
                <w:rFonts w:ascii="Arial" w:cs="Arial" w:eastAsia="Arial" w:hAnsi="Arial"/>
                <w:sz w:val="27"/>
                <w:szCs w:val="27"/>
                <w:b w:val="1"/>
                <w:bCs w:val="1"/>
                <w:color w:val="auto"/>
                <w:vertAlign w:val="subscript"/>
              </w:rPr>
              <w:t>%</w:t>
            </w:r>
            <w:r>
              <w:rPr>
                <w:rFonts w:ascii="Arial" w:cs="Arial" w:eastAsia="Arial" w:hAnsi="Arial"/>
                <w:sz w:val="11"/>
                <w:szCs w:val="11"/>
                <w:b w:val="1"/>
                <w:bCs w:val="1"/>
                <w:color w:val="auto"/>
              </w:rPr>
              <w:t>(1)</w:t>
            </w:r>
          </w:p>
        </w:tc>
        <w:tc>
          <w:tcPr>
            <w:tcW w:w="1160" w:type="dxa"/>
            <w:vAlign w:val="bottom"/>
          </w:tcPr>
          <w:p>
            <w:pPr>
              <w:jc w:val="right"/>
              <w:ind w:right="634"/>
              <w:spacing w:after="0"/>
              <w:rPr>
                <w:sz w:val="20"/>
                <w:szCs w:val="20"/>
                <w:color w:val="auto"/>
              </w:rPr>
            </w:pPr>
            <w:r>
              <w:rPr>
                <w:rFonts w:ascii="Arial" w:cs="Arial" w:eastAsia="Arial" w:hAnsi="Arial"/>
                <w:sz w:val="14"/>
                <w:szCs w:val="14"/>
                <w:b w:val="1"/>
                <w:bCs w:val="1"/>
                <w:color w:val="auto"/>
              </w:rPr>
              <w:t>$</w:t>
            </w:r>
          </w:p>
        </w:tc>
        <w:tc>
          <w:tcPr>
            <w:tcW w:w="900" w:type="dxa"/>
            <w:vAlign w:val="bottom"/>
          </w:tcPr>
          <w:p>
            <w:pPr>
              <w:jc w:val="right"/>
              <w:ind w:right="394"/>
              <w:spacing w:after="0"/>
              <w:rPr>
                <w:sz w:val="20"/>
                <w:szCs w:val="20"/>
                <w:color w:val="auto"/>
              </w:rPr>
            </w:pPr>
            <w:r>
              <w:rPr>
                <w:rFonts w:ascii="Arial" w:cs="Arial" w:eastAsia="Arial" w:hAnsi="Arial"/>
                <w:sz w:val="27"/>
                <w:szCs w:val="27"/>
                <w:b w:val="1"/>
                <w:bCs w:val="1"/>
                <w:color w:val="auto"/>
                <w:vertAlign w:val="subscript"/>
              </w:rPr>
              <w:t>%</w:t>
            </w:r>
            <w:r>
              <w:rPr>
                <w:rFonts w:ascii="Arial" w:cs="Arial" w:eastAsia="Arial" w:hAnsi="Arial"/>
                <w:sz w:val="11"/>
                <w:szCs w:val="11"/>
                <w:b w:val="1"/>
                <w:bCs w:val="1"/>
                <w:color w:val="auto"/>
              </w:rPr>
              <w:t>(1)</w:t>
            </w:r>
          </w:p>
        </w:tc>
        <w:tc>
          <w:tcPr>
            <w:tcW w:w="1120" w:type="dxa"/>
            <w:vAlign w:val="bottom"/>
          </w:tcPr>
          <w:p>
            <w:pPr>
              <w:jc w:val="right"/>
              <w:ind w:right="594"/>
              <w:spacing w:after="0"/>
              <w:rPr>
                <w:sz w:val="20"/>
                <w:szCs w:val="20"/>
                <w:color w:val="auto"/>
              </w:rPr>
            </w:pPr>
            <w:r>
              <w:rPr>
                <w:rFonts w:ascii="Arial" w:cs="Arial" w:eastAsia="Arial" w:hAnsi="Arial"/>
                <w:sz w:val="14"/>
                <w:szCs w:val="14"/>
                <w:b w:val="1"/>
                <w:bCs w:val="1"/>
                <w:color w:val="auto"/>
              </w:rPr>
              <w:t>$</w:t>
            </w:r>
          </w:p>
        </w:tc>
        <w:tc>
          <w:tcPr>
            <w:tcW w:w="780" w:type="dxa"/>
            <w:vAlign w:val="bottom"/>
          </w:tcPr>
          <w:p>
            <w:pPr>
              <w:jc w:val="right"/>
              <w:ind w:right="274"/>
              <w:spacing w:after="0"/>
              <w:rPr>
                <w:sz w:val="20"/>
                <w:szCs w:val="20"/>
                <w:color w:val="auto"/>
              </w:rPr>
            </w:pPr>
            <w:r>
              <w:rPr>
                <w:rFonts w:ascii="Arial" w:cs="Arial" w:eastAsia="Arial" w:hAnsi="Arial"/>
                <w:sz w:val="27"/>
                <w:szCs w:val="27"/>
                <w:b w:val="1"/>
                <w:bCs w:val="1"/>
                <w:color w:val="auto"/>
                <w:vertAlign w:val="subscript"/>
              </w:rPr>
              <w:t>%</w:t>
            </w:r>
            <w:r>
              <w:rPr>
                <w:rFonts w:ascii="Arial" w:cs="Arial" w:eastAsia="Arial" w:hAnsi="Arial"/>
                <w:sz w:val="11"/>
                <w:szCs w:val="11"/>
                <w:b w:val="1"/>
                <w:bCs w:val="1"/>
                <w:color w:val="auto"/>
              </w:rPr>
              <w:t>(1)</w:t>
            </w:r>
          </w:p>
        </w:tc>
        <w:tc>
          <w:tcPr>
            <w:tcW w:w="20" w:type="dxa"/>
            <w:vAlign w:val="bottom"/>
          </w:tcPr>
          <w:p>
            <w:pPr>
              <w:spacing w:after="0"/>
              <w:rPr>
                <w:sz w:val="24"/>
                <w:szCs w:val="24"/>
                <w:color w:val="auto"/>
              </w:rPr>
            </w:pPr>
          </w:p>
        </w:tc>
      </w:tr>
      <w:tr>
        <w:trPr>
          <w:trHeight w:val="37"/>
        </w:trPr>
        <w:tc>
          <w:tcPr>
            <w:tcW w:w="516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102"/>
        </w:trPr>
        <w:tc>
          <w:tcPr>
            <w:tcW w:w="5160" w:type="dxa"/>
            <w:vAlign w:val="bottom"/>
          </w:tcPr>
          <w:p>
            <w:pPr>
              <w:spacing w:after="0"/>
              <w:rPr>
                <w:sz w:val="8"/>
                <w:szCs w:val="8"/>
                <w:color w:val="auto"/>
              </w:rPr>
            </w:pPr>
          </w:p>
        </w:tc>
        <w:tc>
          <w:tcPr>
            <w:tcW w:w="1380" w:type="dxa"/>
            <w:vAlign w:val="bottom"/>
          </w:tcPr>
          <w:p>
            <w:pPr>
              <w:spacing w:after="0"/>
              <w:rPr>
                <w:sz w:val="8"/>
                <w:szCs w:val="8"/>
                <w:color w:val="auto"/>
              </w:rPr>
            </w:pPr>
          </w:p>
        </w:tc>
        <w:tc>
          <w:tcPr>
            <w:tcW w:w="9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9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203"/>
        </w:trPr>
        <w:tc>
          <w:tcPr>
            <w:tcW w:w="516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Revenues:</w:t>
            </w:r>
          </w:p>
        </w:tc>
        <w:tc>
          <w:tcPr>
            <w:tcW w:w="1380" w:type="dxa"/>
            <w:vAlign w:val="bottom"/>
            <w:shd w:val="clear" w:color="auto" w:fill="E6E6E6"/>
          </w:tcPr>
          <w:p>
            <w:pPr>
              <w:spacing w:after="0"/>
              <w:rPr>
                <w:sz w:val="17"/>
                <w:szCs w:val="17"/>
                <w:color w:val="auto"/>
              </w:rPr>
            </w:pPr>
          </w:p>
        </w:tc>
        <w:tc>
          <w:tcPr>
            <w:tcW w:w="920" w:type="dxa"/>
            <w:vAlign w:val="bottom"/>
            <w:shd w:val="clear" w:color="auto" w:fill="E6E6E6"/>
          </w:tcPr>
          <w:p>
            <w:pPr>
              <w:spacing w:after="0"/>
              <w:rPr>
                <w:sz w:val="17"/>
                <w:szCs w:val="17"/>
                <w:color w:val="auto"/>
              </w:rPr>
            </w:pPr>
          </w:p>
        </w:tc>
        <w:tc>
          <w:tcPr>
            <w:tcW w:w="1160" w:type="dxa"/>
            <w:vAlign w:val="bottom"/>
            <w:shd w:val="clear" w:color="auto" w:fill="E6E6E6"/>
          </w:tcPr>
          <w:p>
            <w:pPr>
              <w:spacing w:after="0"/>
              <w:rPr>
                <w:sz w:val="17"/>
                <w:szCs w:val="17"/>
                <w:color w:val="auto"/>
              </w:rPr>
            </w:pPr>
          </w:p>
        </w:tc>
        <w:tc>
          <w:tcPr>
            <w:tcW w:w="900" w:type="dxa"/>
            <w:vAlign w:val="bottom"/>
            <w:shd w:val="clear" w:color="auto" w:fill="E6E6E6"/>
          </w:tcPr>
          <w:p>
            <w:pPr>
              <w:spacing w:after="0"/>
              <w:rPr>
                <w:sz w:val="17"/>
                <w:szCs w:val="17"/>
                <w:color w:val="auto"/>
              </w:rPr>
            </w:pPr>
          </w:p>
        </w:tc>
        <w:tc>
          <w:tcPr>
            <w:tcW w:w="1120" w:type="dxa"/>
            <w:vAlign w:val="bottom"/>
            <w:shd w:val="clear" w:color="auto" w:fill="E6E6E6"/>
          </w:tcPr>
          <w:p>
            <w:pPr>
              <w:spacing w:after="0"/>
              <w:rPr>
                <w:sz w:val="17"/>
                <w:szCs w:val="17"/>
                <w:color w:val="auto"/>
              </w:rPr>
            </w:pPr>
          </w:p>
        </w:tc>
        <w:tc>
          <w:tcPr>
            <w:tcW w:w="780" w:type="dxa"/>
            <w:vAlign w:val="bottom"/>
            <w:shd w:val="clear" w:color="auto" w:fill="E6E6E6"/>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5160" w:type="dxa"/>
            <w:vAlign w:val="bottom"/>
          </w:tcPr>
          <w:p>
            <w:pPr>
              <w:ind w:left="160"/>
              <w:spacing w:after="0" w:line="202" w:lineRule="exact"/>
              <w:rPr>
                <w:sz w:val="20"/>
                <w:szCs w:val="20"/>
                <w:color w:val="auto"/>
              </w:rPr>
            </w:pPr>
            <w:r>
              <w:rPr>
                <w:rFonts w:ascii="Arial" w:cs="Arial" w:eastAsia="Arial" w:hAnsi="Arial"/>
                <w:sz w:val="18"/>
                <w:szCs w:val="18"/>
                <w:color w:val="auto"/>
              </w:rPr>
              <w:t>Children’s Book Publishing and Distribution</w:t>
            </w:r>
          </w:p>
        </w:tc>
        <w:tc>
          <w:tcPr>
            <w:tcW w:w="1380" w:type="dxa"/>
            <w:vAlign w:val="bottom"/>
          </w:tcPr>
          <w:p>
            <w:pPr>
              <w:jc w:val="right"/>
              <w:ind w:right="254"/>
              <w:spacing w:after="0" w:line="202" w:lineRule="exact"/>
              <w:rPr>
                <w:sz w:val="20"/>
                <w:szCs w:val="20"/>
                <w:color w:val="auto"/>
              </w:rPr>
            </w:pPr>
            <w:r>
              <w:rPr>
                <w:rFonts w:ascii="Arial" w:cs="Arial" w:eastAsia="Arial" w:hAnsi="Arial"/>
                <w:sz w:val="18"/>
                <w:szCs w:val="18"/>
                <w:color w:val="auto"/>
              </w:rPr>
              <w:t>910.6</w:t>
            </w:r>
          </w:p>
        </w:tc>
        <w:tc>
          <w:tcPr>
            <w:tcW w:w="920" w:type="dxa"/>
            <w:vAlign w:val="bottom"/>
          </w:tcPr>
          <w:p>
            <w:pPr>
              <w:jc w:val="right"/>
              <w:ind w:right="134"/>
              <w:spacing w:after="0" w:line="202" w:lineRule="exact"/>
              <w:rPr>
                <w:sz w:val="20"/>
                <w:szCs w:val="20"/>
                <w:color w:val="auto"/>
              </w:rPr>
            </w:pPr>
            <w:r>
              <w:rPr>
                <w:rFonts w:ascii="Arial" w:cs="Arial" w:eastAsia="Arial" w:hAnsi="Arial"/>
                <w:sz w:val="18"/>
                <w:szCs w:val="18"/>
                <w:color w:val="auto"/>
              </w:rPr>
              <w:t>47.6</w:t>
            </w:r>
          </w:p>
        </w:tc>
        <w:tc>
          <w:tcPr>
            <w:tcW w:w="1160" w:type="dxa"/>
            <w:vAlign w:val="bottom"/>
          </w:tcPr>
          <w:p>
            <w:pPr>
              <w:jc w:val="right"/>
              <w:ind w:right="254"/>
              <w:spacing w:after="0" w:line="202" w:lineRule="exact"/>
              <w:rPr>
                <w:sz w:val="20"/>
                <w:szCs w:val="20"/>
                <w:color w:val="auto"/>
              </w:rPr>
            </w:pPr>
            <w:r>
              <w:rPr>
                <w:rFonts w:ascii="Arial" w:cs="Arial" w:eastAsia="Arial" w:hAnsi="Arial"/>
                <w:sz w:val="18"/>
                <w:szCs w:val="18"/>
                <w:color w:val="auto"/>
              </w:rPr>
              <w:t>940.4</w:t>
            </w:r>
          </w:p>
        </w:tc>
        <w:tc>
          <w:tcPr>
            <w:tcW w:w="900" w:type="dxa"/>
            <w:vAlign w:val="bottom"/>
          </w:tcPr>
          <w:p>
            <w:pPr>
              <w:jc w:val="right"/>
              <w:ind w:right="114"/>
              <w:spacing w:after="0" w:line="202" w:lineRule="exact"/>
              <w:rPr>
                <w:sz w:val="20"/>
                <w:szCs w:val="20"/>
                <w:color w:val="auto"/>
              </w:rPr>
            </w:pPr>
            <w:r>
              <w:rPr>
                <w:rFonts w:ascii="Arial" w:cs="Arial" w:eastAsia="Arial" w:hAnsi="Arial"/>
                <w:sz w:val="18"/>
                <w:szCs w:val="18"/>
                <w:color w:val="auto"/>
              </w:rPr>
              <w:t>50.9</w:t>
            </w:r>
          </w:p>
        </w:tc>
        <w:tc>
          <w:tcPr>
            <w:tcW w:w="1120" w:type="dxa"/>
            <w:vAlign w:val="bottom"/>
          </w:tcPr>
          <w:p>
            <w:pPr>
              <w:jc w:val="right"/>
              <w:ind w:right="234"/>
              <w:spacing w:after="0" w:line="202" w:lineRule="exact"/>
              <w:rPr>
                <w:sz w:val="20"/>
                <w:szCs w:val="20"/>
                <w:color w:val="auto"/>
              </w:rPr>
            </w:pPr>
            <w:r>
              <w:rPr>
                <w:rFonts w:ascii="Arial" w:cs="Arial" w:eastAsia="Arial" w:hAnsi="Arial"/>
                <w:sz w:val="18"/>
                <w:szCs w:val="18"/>
                <w:color w:val="auto"/>
              </w:rPr>
              <w:t>1,187.5</w:t>
            </w:r>
          </w:p>
        </w:tc>
        <w:tc>
          <w:tcPr>
            <w:tcW w:w="7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55.0</w:t>
            </w:r>
          </w:p>
        </w:tc>
        <w:tc>
          <w:tcPr>
            <w:tcW w:w="20" w:type="dxa"/>
            <w:vAlign w:val="bottom"/>
          </w:tcPr>
          <w:p>
            <w:pPr>
              <w:spacing w:after="0"/>
              <w:rPr>
                <w:sz w:val="17"/>
                <w:szCs w:val="17"/>
                <w:color w:val="auto"/>
              </w:rPr>
            </w:pPr>
          </w:p>
        </w:tc>
      </w:tr>
      <w:tr>
        <w:trPr>
          <w:trHeight w:val="203"/>
        </w:trPr>
        <w:tc>
          <w:tcPr>
            <w:tcW w:w="5160" w:type="dxa"/>
            <w:vAlign w:val="bottom"/>
            <w:shd w:val="clear" w:color="auto" w:fill="E6E6E6"/>
          </w:tcPr>
          <w:p>
            <w:pPr>
              <w:ind w:left="160"/>
              <w:spacing w:after="0" w:line="202" w:lineRule="exact"/>
              <w:rPr>
                <w:sz w:val="20"/>
                <w:szCs w:val="20"/>
                <w:color w:val="auto"/>
              </w:rPr>
            </w:pPr>
            <w:r>
              <w:rPr>
                <w:rFonts w:ascii="Arial" w:cs="Arial" w:eastAsia="Arial" w:hAnsi="Arial"/>
                <w:sz w:val="18"/>
                <w:szCs w:val="18"/>
                <w:color w:val="auto"/>
              </w:rPr>
              <w:t>Educational Publishing</w:t>
            </w:r>
          </w:p>
        </w:tc>
        <w:tc>
          <w:tcPr>
            <w:tcW w:w="1380" w:type="dxa"/>
            <w:vAlign w:val="bottom"/>
            <w:shd w:val="clear" w:color="auto" w:fill="E6E6E6"/>
          </w:tcPr>
          <w:p>
            <w:pPr>
              <w:jc w:val="right"/>
              <w:ind w:right="254"/>
              <w:spacing w:after="0" w:line="202" w:lineRule="exact"/>
              <w:rPr>
                <w:sz w:val="20"/>
                <w:szCs w:val="20"/>
                <w:color w:val="auto"/>
              </w:rPr>
            </w:pPr>
            <w:r>
              <w:rPr>
                <w:rFonts w:ascii="Arial" w:cs="Arial" w:eastAsia="Arial" w:hAnsi="Arial"/>
                <w:sz w:val="18"/>
                <w:szCs w:val="18"/>
                <w:color w:val="auto"/>
              </w:rPr>
              <w:t>476.5</w:t>
            </w:r>
          </w:p>
        </w:tc>
        <w:tc>
          <w:tcPr>
            <w:tcW w:w="920" w:type="dxa"/>
            <w:vAlign w:val="bottom"/>
            <w:shd w:val="clear" w:color="auto" w:fill="E6E6E6"/>
          </w:tcPr>
          <w:p>
            <w:pPr>
              <w:jc w:val="right"/>
              <w:ind w:right="134"/>
              <w:spacing w:after="0" w:line="202" w:lineRule="exact"/>
              <w:rPr>
                <w:sz w:val="20"/>
                <w:szCs w:val="20"/>
                <w:color w:val="auto"/>
              </w:rPr>
            </w:pPr>
            <w:r>
              <w:rPr>
                <w:rFonts w:ascii="Arial" w:cs="Arial" w:eastAsia="Arial" w:hAnsi="Arial"/>
                <w:sz w:val="18"/>
                <w:szCs w:val="18"/>
                <w:color w:val="auto"/>
              </w:rPr>
              <w:t>24.9</w:t>
            </w:r>
          </w:p>
        </w:tc>
        <w:tc>
          <w:tcPr>
            <w:tcW w:w="1160" w:type="dxa"/>
            <w:vAlign w:val="bottom"/>
            <w:shd w:val="clear" w:color="auto" w:fill="E6E6E6"/>
          </w:tcPr>
          <w:p>
            <w:pPr>
              <w:jc w:val="right"/>
              <w:ind w:right="254"/>
              <w:spacing w:after="0" w:line="202" w:lineRule="exact"/>
              <w:rPr>
                <w:sz w:val="20"/>
                <w:szCs w:val="20"/>
                <w:color w:val="auto"/>
              </w:rPr>
            </w:pPr>
            <w:r>
              <w:rPr>
                <w:rFonts w:ascii="Arial" w:cs="Arial" w:eastAsia="Arial" w:hAnsi="Arial"/>
                <w:sz w:val="18"/>
                <w:szCs w:val="18"/>
                <w:color w:val="auto"/>
              </w:rPr>
              <w:t>384.2</w:t>
            </w:r>
          </w:p>
        </w:tc>
        <w:tc>
          <w:tcPr>
            <w:tcW w:w="900" w:type="dxa"/>
            <w:vAlign w:val="bottom"/>
            <w:shd w:val="clear" w:color="auto" w:fill="E6E6E6"/>
          </w:tcPr>
          <w:p>
            <w:pPr>
              <w:jc w:val="right"/>
              <w:ind w:right="114"/>
              <w:spacing w:after="0" w:line="202" w:lineRule="exact"/>
              <w:rPr>
                <w:sz w:val="20"/>
                <w:szCs w:val="20"/>
                <w:color w:val="auto"/>
              </w:rPr>
            </w:pPr>
            <w:r>
              <w:rPr>
                <w:rFonts w:ascii="Arial" w:cs="Arial" w:eastAsia="Arial" w:hAnsi="Arial"/>
                <w:sz w:val="18"/>
                <w:szCs w:val="18"/>
                <w:color w:val="auto"/>
              </w:rPr>
              <w:t>20.8</w:t>
            </w:r>
          </w:p>
        </w:tc>
        <w:tc>
          <w:tcPr>
            <w:tcW w:w="1120" w:type="dxa"/>
            <w:vAlign w:val="bottom"/>
            <w:shd w:val="clear" w:color="auto" w:fill="E6E6E6"/>
          </w:tcPr>
          <w:p>
            <w:pPr>
              <w:jc w:val="right"/>
              <w:ind w:right="234"/>
              <w:spacing w:after="0" w:line="202" w:lineRule="exact"/>
              <w:rPr>
                <w:sz w:val="20"/>
                <w:szCs w:val="20"/>
                <w:color w:val="auto"/>
              </w:rPr>
            </w:pPr>
            <w:r>
              <w:rPr>
                <w:rFonts w:ascii="Arial" w:cs="Arial" w:eastAsia="Arial" w:hAnsi="Arial"/>
                <w:sz w:val="18"/>
                <w:szCs w:val="18"/>
                <w:color w:val="auto"/>
              </w:rPr>
              <w:t>407.1</w:t>
            </w:r>
          </w:p>
        </w:tc>
        <w:tc>
          <w:tcPr>
            <w:tcW w:w="780" w:type="dxa"/>
            <w:vAlign w:val="bottom"/>
            <w:shd w:val="clear" w:color="auto" w:fill="E6E6E6"/>
          </w:tcPr>
          <w:p>
            <w:pPr>
              <w:jc w:val="right"/>
              <w:ind w:right="14"/>
              <w:spacing w:after="0" w:line="202" w:lineRule="exact"/>
              <w:rPr>
                <w:sz w:val="20"/>
                <w:szCs w:val="20"/>
                <w:color w:val="auto"/>
              </w:rPr>
            </w:pPr>
            <w:r>
              <w:rPr>
                <w:rFonts w:ascii="Arial" w:cs="Arial" w:eastAsia="Arial" w:hAnsi="Arial"/>
                <w:sz w:val="18"/>
                <w:szCs w:val="18"/>
                <w:color w:val="auto"/>
              </w:rPr>
              <w:t>18.9</w:t>
            </w:r>
          </w:p>
        </w:tc>
        <w:tc>
          <w:tcPr>
            <w:tcW w:w="20" w:type="dxa"/>
            <w:vAlign w:val="bottom"/>
          </w:tcPr>
          <w:p>
            <w:pPr>
              <w:spacing w:after="0"/>
              <w:rPr>
                <w:sz w:val="17"/>
                <w:szCs w:val="17"/>
                <w:color w:val="auto"/>
              </w:rPr>
            </w:pPr>
          </w:p>
        </w:tc>
      </w:tr>
      <w:tr>
        <w:trPr>
          <w:trHeight w:val="203"/>
        </w:trPr>
        <w:tc>
          <w:tcPr>
            <w:tcW w:w="5160" w:type="dxa"/>
            <w:vAlign w:val="bottom"/>
          </w:tcPr>
          <w:p>
            <w:pPr>
              <w:ind w:left="160"/>
              <w:spacing w:after="0" w:line="202" w:lineRule="exact"/>
              <w:rPr>
                <w:sz w:val="20"/>
                <w:szCs w:val="20"/>
                <w:color w:val="auto"/>
              </w:rPr>
            </w:pPr>
            <w:r>
              <w:rPr>
                <w:rFonts w:ascii="Arial" w:cs="Arial" w:eastAsia="Arial" w:hAnsi="Arial"/>
                <w:sz w:val="18"/>
                <w:szCs w:val="18"/>
                <w:color w:val="auto"/>
              </w:rPr>
              <w:t>Media, Licensing and Advertising</w:t>
            </w:r>
          </w:p>
        </w:tc>
        <w:tc>
          <w:tcPr>
            <w:tcW w:w="1380" w:type="dxa"/>
            <w:vAlign w:val="bottom"/>
          </w:tcPr>
          <w:p>
            <w:pPr>
              <w:jc w:val="right"/>
              <w:ind w:right="254"/>
              <w:spacing w:after="0" w:line="202" w:lineRule="exact"/>
              <w:rPr>
                <w:sz w:val="20"/>
                <w:szCs w:val="20"/>
                <w:color w:val="auto"/>
              </w:rPr>
            </w:pPr>
            <w:r>
              <w:rPr>
                <w:rFonts w:ascii="Arial" w:cs="Arial" w:eastAsia="Arial" w:hAnsi="Arial"/>
                <w:sz w:val="18"/>
                <w:szCs w:val="18"/>
                <w:color w:val="auto"/>
              </w:rPr>
              <w:t>113.8</w:t>
            </w:r>
          </w:p>
        </w:tc>
        <w:tc>
          <w:tcPr>
            <w:tcW w:w="920" w:type="dxa"/>
            <w:vAlign w:val="bottom"/>
          </w:tcPr>
          <w:p>
            <w:pPr>
              <w:jc w:val="right"/>
              <w:ind w:right="134"/>
              <w:spacing w:after="0" w:line="202" w:lineRule="exact"/>
              <w:rPr>
                <w:sz w:val="20"/>
                <w:szCs w:val="20"/>
                <w:color w:val="auto"/>
              </w:rPr>
            </w:pPr>
            <w:r>
              <w:rPr>
                <w:rFonts w:ascii="Arial" w:cs="Arial" w:eastAsia="Arial" w:hAnsi="Arial"/>
                <w:sz w:val="18"/>
                <w:szCs w:val="18"/>
                <w:color w:val="auto"/>
              </w:rPr>
              <w:t>6.0</w:t>
            </w:r>
          </w:p>
        </w:tc>
        <w:tc>
          <w:tcPr>
            <w:tcW w:w="1160" w:type="dxa"/>
            <w:vAlign w:val="bottom"/>
          </w:tcPr>
          <w:p>
            <w:pPr>
              <w:jc w:val="right"/>
              <w:ind w:right="254"/>
              <w:spacing w:after="0" w:line="202" w:lineRule="exact"/>
              <w:rPr>
                <w:sz w:val="20"/>
                <w:szCs w:val="20"/>
                <w:color w:val="auto"/>
              </w:rPr>
            </w:pPr>
            <w:r>
              <w:rPr>
                <w:rFonts w:ascii="Arial" w:cs="Arial" w:eastAsia="Arial" w:hAnsi="Arial"/>
                <w:sz w:val="18"/>
                <w:szCs w:val="18"/>
                <w:color w:val="auto"/>
              </w:rPr>
              <w:t>125.7</w:t>
            </w:r>
          </w:p>
        </w:tc>
        <w:tc>
          <w:tcPr>
            <w:tcW w:w="900" w:type="dxa"/>
            <w:vAlign w:val="bottom"/>
          </w:tcPr>
          <w:p>
            <w:pPr>
              <w:jc w:val="right"/>
              <w:ind w:right="114"/>
              <w:spacing w:after="0" w:line="202" w:lineRule="exact"/>
              <w:rPr>
                <w:sz w:val="20"/>
                <w:szCs w:val="20"/>
                <w:color w:val="auto"/>
              </w:rPr>
            </w:pPr>
            <w:r>
              <w:rPr>
                <w:rFonts w:ascii="Arial" w:cs="Arial" w:eastAsia="Arial" w:hAnsi="Arial"/>
                <w:sz w:val="18"/>
                <w:szCs w:val="18"/>
                <w:color w:val="auto"/>
              </w:rPr>
              <w:t>6.7</w:t>
            </w:r>
          </w:p>
        </w:tc>
        <w:tc>
          <w:tcPr>
            <w:tcW w:w="1120" w:type="dxa"/>
            <w:vAlign w:val="bottom"/>
          </w:tcPr>
          <w:p>
            <w:pPr>
              <w:jc w:val="right"/>
              <w:ind w:right="234"/>
              <w:spacing w:after="0" w:line="202" w:lineRule="exact"/>
              <w:rPr>
                <w:sz w:val="20"/>
                <w:szCs w:val="20"/>
                <w:color w:val="auto"/>
              </w:rPr>
            </w:pPr>
            <w:r>
              <w:rPr>
                <w:rFonts w:ascii="Arial" w:cs="Arial" w:eastAsia="Arial" w:hAnsi="Arial"/>
                <w:sz w:val="18"/>
                <w:szCs w:val="18"/>
                <w:color w:val="auto"/>
              </w:rPr>
              <w:t>114.7</w:t>
            </w:r>
          </w:p>
        </w:tc>
        <w:tc>
          <w:tcPr>
            <w:tcW w:w="7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5.3</w:t>
            </w:r>
          </w:p>
        </w:tc>
        <w:tc>
          <w:tcPr>
            <w:tcW w:w="20" w:type="dxa"/>
            <w:vAlign w:val="bottom"/>
          </w:tcPr>
          <w:p>
            <w:pPr>
              <w:spacing w:after="0"/>
              <w:rPr>
                <w:sz w:val="17"/>
                <w:szCs w:val="17"/>
                <w:color w:val="auto"/>
              </w:rPr>
            </w:pPr>
          </w:p>
        </w:tc>
      </w:tr>
      <w:tr>
        <w:trPr>
          <w:trHeight w:val="203"/>
        </w:trPr>
        <w:tc>
          <w:tcPr>
            <w:tcW w:w="5160" w:type="dxa"/>
            <w:vAlign w:val="bottom"/>
            <w:shd w:val="clear" w:color="auto" w:fill="E6E6E6"/>
          </w:tcPr>
          <w:p>
            <w:pPr>
              <w:ind w:left="160"/>
              <w:spacing w:after="0" w:line="202" w:lineRule="exact"/>
              <w:rPr>
                <w:sz w:val="20"/>
                <w:szCs w:val="20"/>
                <w:color w:val="auto"/>
              </w:rPr>
            </w:pPr>
            <w:r>
              <w:rPr>
                <w:rFonts w:ascii="Arial" w:cs="Arial" w:eastAsia="Arial" w:hAnsi="Arial"/>
                <w:sz w:val="18"/>
                <w:szCs w:val="18"/>
                <w:color w:val="auto"/>
              </w:rPr>
              <w:t>International</w:t>
            </w:r>
          </w:p>
        </w:tc>
        <w:tc>
          <w:tcPr>
            <w:tcW w:w="1380" w:type="dxa"/>
            <w:vAlign w:val="bottom"/>
            <w:shd w:val="clear" w:color="auto" w:fill="E6E6E6"/>
          </w:tcPr>
          <w:p>
            <w:pPr>
              <w:jc w:val="right"/>
              <w:ind w:right="254"/>
              <w:spacing w:after="0" w:line="202" w:lineRule="exact"/>
              <w:rPr>
                <w:sz w:val="20"/>
                <w:szCs w:val="20"/>
                <w:color w:val="auto"/>
              </w:rPr>
            </w:pPr>
            <w:r>
              <w:rPr>
                <w:rFonts w:ascii="Arial" w:cs="Arial" w:eastAsia="Arial" w:hAnsi="Arial"/>
                <w:sz w:val="18"/>
                <w:szCs w:val="18"/>
                <w:color w:val="auto"/>
              </w:rPr>
              <w:t>412.0</w:t>
            </w:r>
          </w:p>
        </w:tc>
        <w:tc>
          <w:tcPr>
            <w:tcW w:w="920" w:type="dxa"/>
            <w:vAlign w:val="bottom"/>
            <w:shd w:val="clear" w:color="auto" w:fill="E6E6E6"/>
          </w:tcPr>
          <w:p>
            <w:pPr>
              <w:jc w:val="right"/>
              <w:ind w:right="134"/>
              <w:spacing w:after="0" w:line="202" w:lineRule="exact"/>
              <w:rPr>
                <w:sz w:val="20"/>
                <w:szCs w:val="20"/>
                <w:color w:val="auto"/>
              </w:rPr>
            </w:pPr>
            <w:r>
              <w:rPr>
                <w:rFonts w:ascii="Arial" w:cs="Arial" w:eastAsia="Arial" w:hAnsi="Arial"/>
                <w:sz w:val="18"/>
                <w:szCs w:val="18"/>
                <w:color w:val="auto"/>
              </w:rPr>
              <w:t>21.5</w:t>
            </w:r>
          </w:p>
        </w:tc>
        <w:tc>
          <w:tcPr>
            <w:tcW w:w="1160" w:type="dxa"/>
            <w:vAlign w:val="bottom"/>
            <w:shd w:val="clear" w:color="auto" w:fill="E6E6E6"/>
          </w:tcPr>
          <w:p>
            <w:pPr>
              <w:jc w:val="right"/>
              <w:ind w:right="254"/>
              <w:spacing w:after="0" w:line="202" w:lineRule="exact"/>
              <w:rPr>
                <w:sz w:val="20"/>
                <w:szCs w:val="20"/>
                <w:color w:val="auto"/>
              </w:rPr>
            </w:pPr>
            <w:r>
              <w:rPr>
                <w:rFonts w:ascii="Arial" w:cs="Arial" w:eastAsia="Arial" w:hAnsi="Arial"/>
                <w:sz w:val="18"/>
                <w:szCs w:val="18"/>
                <w:color w:val="auto"/>
              </w:rPr>
              <w:t>399.0</w:t>
            </w:r>
          </w:p>
        </w:tc>
        <w:tc>
          <w:tcPr>
            <w:tcW w:w="900" w:type="dxa"/>
            <w:vAlign w:val="bottom"/>
            <w:shd w:val="clear" w:color="auto" w:fill="E6E6E6"/>
          </w:tcPr>
          <w:p>
            <w:pPr>
              <w:jc w:val="right"/>
              <w:ind w:right="114"/>
              <w:spacing w:after="0" w:line="202" w:lineRule="exact"/>
              <w:rPr>
                <w:sz w:val="20"/>
                <w:szCs w:val="20"/>
                <w:color w:val="auto"/>
              </w:rPr>
            </w:pPr>
            <w:r>
              <w:rPr>
                <w:rFonts w:ascii="Arial" w:cs="Arial" w:eastAsia="Arial" w:hAnsi="Arial"/>
                <w:sz w:val="18"/>
                <w:szCs w:val="18"/>
                <w:color w:val="auto"/>
              </w:rPr>
              <w:t>21.6</w:t>
            </w:r>
          </w:p>
        </w:tc>
        <w:tc>
          <w:tcPr>
            <w:tcW w:w="1120" w:type="dxa"/>
            <w:vAlign w:val="bottom"/>
            <w:shd w:val="clear" w:color="auto" w:fill="E6E6E6"/>
          </w:tcPr>
          <w:p>
            <w:pPr>
              <w:jc w:val="right"/>
              <w:ind w:right="234"/>
              <w:spacing w:after="0" w:line="202" w:lineRule="exact"/>
              <w:rPr>
                <w:sz w:val="20"/>
                <w:szCs w:val="20"/>
                <w:color w:val="auto"/>
              </w:rPr>
            </w:pPr>
            <w:r>
              <w:rPr>
                <w:rFonts w:ascii="Arial" w:cs="Arial" w:eastAsia="Arial" w:hAnsi="Arial"/>
                <w:sz w:val="18"/>
                <w:szCs w:val="18"/>
                <w:color w:val="auto"/>
              </w:rPr>
              <w:t>449.8</w:t>
            </w:r>
          </w:p>
        </w:tc>
        <w:tc>
          <w:tcPr>
            <w:tcW w:w="780" w:type="dxa"/>
            <w:vAlign w:val="bottom"/>
            <w:shd w:val="clear" w:color="auto" w:fill="E6E6E6"/>
          </w:tcPr>
          <w:p>
            <w:pPr>
              <w:jc w:val="right"/>
              <w:ind w:right="14"/>
              <w:spacing w:after="0" w:line="202" w:lineRule="exact"/>
              <w:rPr>
                <w:sz w:val="20"/>
                <w:szCs w:val="20"/>
                <w:color w:val="auto"/>
              </w:rPr>
            </w:pPr>
            <w:r>
              <w:rPr>
                <w:rFonts w:ascii="Arial" w:cs="Arial" w:eastAsia="Arial" w:hAnsi="Arial"/>
                <w:sz w:val="18"/>
                <w:szCs w:val="18"/>
                <w:color w:val="auto"/>
              </w:rPr>
              <w:t>20.8</w:t>
            </w:r>
          </w:p>
        </w:tc>
        <w:tc>
          <w:tcPr>
            <w:tcW w:w="20" w:type="dxa"/>
            <w:vAlign w:val="bottom"/>
          </w:tcPr>
          <w:p>
            <w:pPr>
              <w:spacing w:after="0"/>
              <w:rPr>
                <w:sz w:val="17"/>
                <w:szCs w:val="17"/>
                <w:color w:val="auto"/>
              </w:rPr>
            </w:pPr>
          </w:p>
        </w:tc>
      </w:tr>
      <w:tr>
        <w:trPr>
          <w:trHeight w:val="118"/>
        </w:trPr>
        <w:tc>
          <w:tcPr>
            <w:tcW w:w="516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r>
      <w:tr>
        <w:trPr>
          <w:trHeight w:val="319"/>
        </w:trPr>
        <w:tc>
          <w:tcPr>
            <w:tcW w:w="5160" w:type="dxa"/>
            <w:vAlign w:val="bottom"/>
          </w:tcPr>
          <w:p>
            <w:pPr>
              <w:spacing w:after="0"/>
              <w:rPr>
                <w:sz w:val="20"/>
                <w:szCs w:val="20"/>
                <w:color w:val="auto"/>
              </w:rPr>
            </w:pPr>
            <w:r>
              <w:rPr>
                <w:rFonts w:ascii="Arial" w:cs="Arial" w:eastAsia="Arial" w:hAnsi="Arial"/>
                <w:sz w:val="18"/>
                <w:szCs w:val="18"/>
                <w:color w:val="auto"/>
              </w:rPr>
              <w:t>Total revenues</w:t>
            </w:r>
          </w:p>
        </w:tc>
        <w:tc>
          <w:tcPr>
            <w:tcW w:w="1380" w:type="dxa"/>
            <w:vAlign w:val="bottom"/>
          </w:tcPr>
          <w:p>
            <w:pPr>
              <w:jc w:val="right"/>
              <w:ind w:right="254"/>
              <w:spacing w:after="0"/>
              <w:rPr>
                <w:sz w:val="20"/>
                <w:szCs w:val="20"/>
                <w:color w:val="auto"/>
              </w:rPr>
            </w:pPr>
            <w:r>
              <w:rPr>
                <w:rFonts w:ascii="Arial" w:cs="Arial" w:eastAsia="Arial" w:hAnsi="Arial"/>
                <w:sz w:val="18"/>
                <w:szCs w:val="18"/>
                <w:color w:val="auto"/>
              </w:rPr>
              <w:t>1,912.9</w:t>
            </w:r>
          </w:p>
        </w:tc>
        <w:tc>
          <w:tcPr>
            <w:tcW w:w="920" w:type="dxa"/>
            <w:vAlign w:val="bottom"/>
          </w:tcPr>
          <w:p>
            <w:pPr>
              <w:jc w:val="right"/>
              <w:ind w:right="134"/>
              <w:spacing w:after="0"/>
              <w:rPr>
                <w:sz w:val="20"/>
                <w:szCs w:val="20"/>
                <w:color w:val="auto"/>
              </w:rPr>
            </w:pPr>
            <w:r>
              <w:rPr>
                <w:rFonts w:ascii="Arial" w:cs="Arial" w:eastAsia="Arial" w:hAnsi="Arial"/>
                <w:sz w:val="18"/>
                <w:szCs w:val="18"/>
                <w:color w:val="auto"/>
              </w:rPr>
              <w:t>100.0</w:t>
            </w:r>
          </w:p>
        </w:tc>
        <w:tc>
          <w:tcPr>
            <w:tcW w:w="1160" w:type="dxa"/>
            <w:vAlign w:val="bottom"/>
          </w:tcPr>
          <w:p>
            <w:pPr>
              <w:jc w:val="right"/>
              <w:ind w:right="254"/>
              <w:spacing w:after="0"/>
              <w:rPr>
                <w:sz w:val="20"/>
                <w:szCs w:val="20"/>
                <w:color w:val="auto"/>
              </w:rPr>
            </w:pPr>
            <w:r>
              <w:rPr>
                <w:rFonts w:ascii="Arial" w:cs="Arial" w:eastAsia="Arial" w:hAnsi="Arial"/>
                <w:sz w:val="18"/>
                <w:szCs w:val="18"/>
                <w:color w:val="auto"/>
              </w:rPr>
              <w:t>1,849.3</w:t>
            </w:r>
          </w:p>
        </w:tc>
        <w:tc>
          <w:tcPr>
            <w:tcW w:w="900" w:type="dxa"/>
            <w:vAlign w:val="bottom"/>
          </w:tcPr>
          <w:p>
            <w:pPr>
              <w:jc w:val="right"/>
              <w:ind w:right="114"/>
              <w:spacing w:after="0"/>
              <w:rPr>
                <w:sz w:val="20"/>
                <w:szCs w:val="20"/>
                <w:color w:val="auto"/>
              </w:rPr>
            </w:pPr>
            <w:r>
              <w:rPr>
                <w:rFonts w:ascii="Arial" w:cs="Arial" w:eastAsia="Arial" w:hAnsi="Arial"/>
                <w:sz w:val="18"/>
                <w:szCs w:val="18"/>
                <w:color w:val="auto"/>
              </w:rPr>
              <w:t>100.0</w:t>
            </w:r>
          </w:p>
        </w:tc>
        <w:tc>
          <w:tcPr>
            <w:tcW w:w="1120" w:type="dxa"/>
            <w:vAlign w:val="bottom"/>
          </w:tcPr>
          <w:p>
            <w:pPr>
              <w:jc w:val="right"/>
              <w:ind w:right="234"/>
              <w:spacing w:after="0"/>
              <w:rPr>
                <w:sz w:val="20"/>
                <w:szCs w:val="20"/>
                <w:color w:val="auto"/>
              </w:rPr>
            </w:pPr>
            <w:r>
              <w:rPr>
                <w:rFonts w:ascii="Arial" w:cs="Arial" w:eastAsia="Arial" w:hAnsi="Arial"/>
                <w:sz w:val="18"/>
                <w:szCs w:val="18"/>
                <w:color w:val="auto"/>
              </w:rPr>
              <w:t>2,159.1</w:t>
            </w: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100.0</w:t>
            </w:r>
          </w:p>
        </w:tc>
        <w:tc>
          <w:tcPr>
            <w:tcW w:w="20" w:type="dxa"/>
            <w:vAlign w:val="bottom"/>
          </w:tcPr>
          <w:p>
            <w:pPr>
              <w:spacing w:after="0"/>
              <w:rPr>
                <w:sz w:val="24"/>
                <w:szCs w:val="24"/>
                <w:color w:val="auto"/>
              </w:rPr>
            </w:pPr>
          </w:p>
        </w:tc>
      </w:tr>
      <w:tr>
        <w:trPr>
          <w:trHeight w:val="137"/>
        </w:trPr>
        <w:tc>
          <w:tcPr>
            <w:tcW w:w="516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03"/>
        </w:trPr>
        <w:tc>
          <w:tcPr>
            <w:tcW w:w="516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Cost of goods sold (exclusive of depreciation)</w:t>
            </w:r>
          </w:p>
        </w:tc>
        <w:tc>
          <w:tcPr>
            <w:tcW w:w="1380" w:type="dxa"/>
            <w:vAlign w:val="bottom"/>
            <w:shd w:val="clear" w:color="auto" w:fill="E6E6E6"/>
          </w:tcPr>
          <w:p>
            <w:pPr>
              <w:jc w:val="right"/>
              <w:ind w:right="254"/>
              <w:spacing w:after="0" w:line="202" w:lineRule="exact"/>
              <w:rPr>
                <w:sz w:val="20"/>
                <w:szCs w:val="20"/>
                <w:color w:val="auto"/>
              </w:rPr>
            </w:pPr>
            <w:r>
              <w:rPr>
                <w:rFonts w:ascii="Arial" w:cs="Arial" w:eastAsia="Arial" w:hAnsi="Arial"/>
                <w:sz w:val="18"/>
                <w:szCs w:val="18"/>
                <w:color w:val="auto"/>
              </w:rPr>
              <w:t>859.8</w:t>
            </w:r>
          </w:p>
        </w:tc>
        <w:tc>
          <w:tcPr>
            <w:tcW w:w="920" w:type="dxa"/>
            <w:vAlign w:val="bottom"/>
            <w:shd w:val="clear" w:color="auto" w:fill="E6E6E6"/>
          </w:tcPr>
          <w:p>
            <w:pPr>
              <w:jc w:val="right"/>
              <w:ind w:right="134"/>
              <w:spacing w:after="0" w:line="202" w:lineRule="exact"/>
              <w:rPr>
                <w:sz w:val="20"/>
                <w:szCs w:val="20"/>
                <w:color w:val="auto"/>
              </w:rPr>
            </w:pPr>
            <w:r>
              <w:rPr>
                <w:rFonts w:ascii="Arial" w:cs="Arial" w:eastAsia="Arial" w:hAnsi="Arial"/>
                <w:sz w:val="18"/>
                <w:szCs w:val="18"/>
                <w:color w:val="auto"/>
              </w:rPr>
              <w:t>44.9</w:t>
            </w:r>
          </w:p>
        </w:tc>
        <w:tc>
          <w:tcPr>
            <w:tcW w:w="1160" w:type="dxa"/>
            <w:vAlign w:val="bottom"/>
            <w:shd w:val="clear" w:color="auto" w:fill="E6E6E6"/>
          </w:tcPr>
          <w:p>
            <w:pPr>
              <w:jc w:val="right"/>
              <w:ind w:right="254"/>
              <w:spacing w:after="0" w:line="202" w:lineRule="exact"/>
              <w:rPr>
                <w:sz w:val="20"/>
                <w:szCs w:val="20"/>
                <w:color w:val="auto"/>
              </w:rPr>
            </w:pPr>
            <w:r>
              <w:rPr>
                <w:rFonts w:ascii="Arial" w:cs="Arial" w:eastAsia="Arial" w:hAnsi="Arial"/>
                <w:sz w:val="18"/>
                <w:szCs w:val="18"/>
                <w:color w:val="auto"/>
              </w:rPr>
              <w:t>881.7</w:t>
            </w:r>
          </w:p>
        </w:tc>
        <w:tc>
          <w:tcPr>
            <w:tcW w:w="900" w:type="dxa"/>
            <w:vAlign w:val="bottom"/>
            <w:shd w:val="clear" w:color="auto" w:fill="E6E6E6"/>
          </w:tcPr>
          <w:p>
            <w:pPr>
              <w:jc w:val="right"/>
              <w:ind w:right="114"/>
              <w:spacing w:after="0" w:line="202" w:lineRule="exact"/>
              <w:rPr>
                <w:sz w:val="20"/>
                <w:szCs w:val="20"/>
                <w:color w:val="auto"/>
              </w:rPr>
            </w:pPr>
            <w:r>
              <w:rPr>
                <w:rFonts w:ascii="Arial" w:cs="Arial" w:eastAsia="Arial" w:hAnsi="Arial"/>
                <w:sz w:val="18"/>
                <w:szCs w:val="18"/>
                <w:color w:val="auto"/>
              </w:rPr>
              <w:t>47.7</w:t>
            </w:r>
          </w:p>
        </w:tc>
        <w:tc>
          <w:tcPr>
            <w:tcW w:w="1120" w:type="dxa"/>
            <w:vAlign w:val="bottom"/>
            <w:shd w:val="clear" w:color="auto" w:fill="E6E6E6"/>
          </w:tcPr>
          <w:p>
            <w:pPr>
              <w:jc w:val="right"/>
              <w:ind w:right="234"/>
              <w:spacing w:after="0" w:line="202" w:lineRule="exact"/>
              <w:rPr>
                <w:sz w:val="20"/>
                <w:szCs w:val="20"/>
                <w:color w:val="auto"/>
              </w:rPr>
            </w:pPr>
            <w:r>
              <w:rPr>
                <w:rFonts w:ascii="Arial" w:cs="Arial" w:eastAsia="Arial" w:hAnsi="Arial"/>
                <w:sz w:val="18"/>
                <w:szCs w:val="18"/>
                <w:color w:val="auto"/>
              </w:rPr>
              <w:t>1,042.3</w:t>
            </w:r>
          </w:p>
        </w:tc>
        <w:tc>
          <w:tcPr>
            <w:tcW w:w="780" w:type="dxa"/>
            <w:vAlign w:val="bottom"/>
            <w:shd w:val="clear" w:color="auto" w:fill="E6E6E6"/>
          </w:tcPr>
          <w:p>
            <w:pPr>
              <w:jc w:val="right"/>
              <w:ind w:right="14"/>
              <w:spacing w:after="0" w:line="202" w:lineRule="exact"/>
              <w:rPr>
                <w:sz w:val="20"/>
                <w:szCs w:val="20"/>
                <w:color w:val="auto"/>
              </w:rPr>
            </w:pPr>
            <w:r>
              <w:rPr>
                <w:rFonts w:ascii="Arial" w:cs="Arial" w:eastAsia="Arial" w:hAnsi="Arial"/>
                <w:sz w:val="18"/>
                <w:szCs w:val="18"/>
                <w:color w:val="auto"/>
              </w:rPr>
              <w:t>48.3</w:t>
            </w:r>
          </w:p>
        </w:tc>
        <w:tc>
          <w:tcPr>
            <w:tcW w:w="20" w:type="dxa"/>
            <w:vAlign w:val="bottom"/>
          </w:tcPr>
          <w:p>
            <w:pPr>
              <w:spacing w:after="0"/>
              <w:rPr>
                <w:sz w:val="17"/>
                <w:szCs w:val="17"/>
                <w:color w:val="auto"/>
              </w:rPr>
            </w:pPr>
          </w:p>
        </w:tc>
      </w:tr>
      <w:tr>
        <w:trPr>
          <w:trHeight w:val="351"/>
        </w:trPr>
        <w:tc>
          <w:tcPr>
            <w:tcW w:w="516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1380" w:type="dxa"/>
            <w:vAlign w:val="bottom"/>
          </w:tcPr>
          <w:p>
            <w:pPr>
              <w:jc w:val="right"/>
              <w:ind w:right="254"/>
              <w:spacing w:after="0"/>
              <w:rPr>
                <w:sz w:val="20"/>
                <w:szCs w:val="20"/>
                <w:color w:val="auto"/>
              </w:rPr>
            </w:pPr>
            <w:r>
              <w:rPr>
                <w:rFonts w:ascii="Arial" w:cs="Arial" w:eastAsia="Arial" w:hAnsi="Arial"/>
                <w:sz w:val="18"/>
                <w:szCs w:val="18"/>
                <w:color w:val="auto"/>
              </w:rPr>
              <w:t>803.4</w:t>
            </w:r>
          </w:p>
        </w:tc>
        <w:tc>
          <w:tcPr>
            <w:tcW w:w="920" w:type="dxa"/>
            <w:vAlign w:val="bottom"/>
          </w:tcPr>
          <w:p>
            <w:pPr>
              <w:jc w:val="right"/>
              <w:ind w:right="134"/>
              <w:spacing w:after="0"/>
              <w:rPr>
                <w:sz w:val="20"/>
                <w:szCs w:val="20"/>
                <w:color w:val="auto"/>
              </w:rPr>
            </w:pPr>
            <w:r>
              <w:rPr>
                <w:rFonts w:ascii="Arial" w:cs="Arial" w:eastAsia="Arial" w:hAnsi="Arial"/>
                <w:sz w:val="18"/>
                <w:szCs w:val="18"/>
                <w:color w:val="auto"/>
              </w:rPr>
              <w:t>42.0</w:t>
            </w:r>
          </w:p>
        </w:tc>
        <w:tc>
          <w:tcPr>
            <w:tcW w:w="1160" w:type="dxa"/>
            <w:vAlign w:val="bottom"/>
          </w:tcPr>
          <w:p>
            <w:pPr>
              <w:jc w:val="right"/>
              <w:ind w:right="254"/>
              <w:spacing w:after="0"/>
              <w:rPr>
                <w:sz w:val="20"/>
                <w:szCs w:val="20"/>
                <w:color w:val="auto"/>
              </w:rPr>
            </w:pPr>
            <w:r>
              <w:rPr>
                <w:rFonts w:ascii="Arial" w:cs="Arial" w:eastAsia="Arial" w:hAnsi="Arial"/>
                <w:sz w:val="18"/>
                <w:szCs w:val="18"/>
                <w:color w:val="auto"/>
              </w:rPr>
              <w:t>777.2</w:t>
            </w:r>
          </w:p>
        </w:tc>
        <w:tc>
          <w:tcPr>
            <w:tcW w:w="900" w:type="dxa"/>
            <w:vAlign w:val="bottom"/>
          </w:tcPr>
          <w:p>
            <w:pPr>
              <w:jc w:val="right"/>
              <w:ind w:right="114"/>
              <w:spacing w:after="0"/>
              <w:rPr>
                <w:sz w:val="20"/>
                <w:szCs w:val="20"/>
                <w:color w:val="auto"/>
              </w:rPr>
            </w:pPr>
            <w:r>
              <w:rPr>
                <w:rFonts w:ascii="Arial" w:cs="Arial" w:eastAsia="Arial" w:hAnsi="Arial"/>
                <w:sz w:val="18"/>
                <w:szCs w:val="18"/>
                <w:color w:val="auto"/>
              </w:rPr>
              <w:t>42.0</w:t>
            </w:r>
          </w:p>
        </w:tc>
        <w:tc>
          <w:tcPr>
            <w:tcW w:w="1120" w:type="dxa"/>
            <w:vAlign w:val="bottom"/>
          </w:tcPr>
          <w:p>
            <w:pPr>
              <w:jc w:val="right"/>
              <w:ind w:right="234"/>
              <w:spacing w:after="0"/>
              <w:rPr>
                <w:sz w:val="20"/>
                <w:szCs w:val="20"/>
                <w:color w:val="auto"/>
              </w:rPr>
            </w:pPr>
            <w:r>
              <w:rPr>
                <w:rFonts w:ascii="Arial" w:cs="Arial" w:eastAsia="Arial" w:hAnsi="Arial"/>
                <w:sz w:val="18"/>
                <w:szCs w:val="18"/>
                <w:color w:val="auto"/>
              </w:rPr>
              <w:t>825.6</w:t>
            </w: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38.2</w:t>
            </w:r>
          </w:p>
        </w:tc>
        <w:tc>
          <w:tcPr>
            <w:tcW w:w="20" w:type="dxa"/>
            <w:vAlign w:val="bottom"/>
          </w:tcPr>
          <w:p>
            <w:pPr>
              <w:spacing w:after="0"/>
              <w:rPr>
                <w:sz w:val="24"/>
                <w:szCs w:val="24"/>
                <w:color w:val="auto"/>
              </w:rPr>
            </w:pPr>
          </w:p>
        </w:tc>
      </w:tr>
      <w:tr>
        <w:trPr>
          <w:trHeight w:val="203"/>
        </w:trPr>
        <w:tc>
          <w:tcPr>
            <w:tcW w:w="516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Bad debt expense</w:t>
            </w:r>
          </w:p>
        </w:tc>
        <w:tc>
          <w:tcPr>
            <w:tcW w:w="1380" w:type="dxa"/>
            <w:vAlign w:val="bottom"/>
            <w:shd w:val="clear" w:color="auto" w:fill="E6E6E6"/>
          </w:tcPr>
          <w:p>
            <w:pPr>
              <w:jc w:val="right"/>
              <w:ind w:right="254"/>
              <w:spacing w:after="0" w:line="202" w:lineRule="exact"/>
              <w:rPr>
                <w:sz w:val="20"/>
                <w:szCs w:val="20"/>
                <w:color w:val="auto"/>
              </w:rPr>
            </w:pPr>
            <w:r>
              <w:rPr>
                <w:rFonts w:ascii="Arial" w:cs="Arial" w:eastAsia="Arial" w:hAnsi="Arial"/>
                <w:sz w:val="18"/>
                <w:szCs w:val="18"/>
                <w:color w:val="auto"/>
              </w:rPr>
              <w:t>9.5</w:t>
            </w:r>
          </w:p>
        </w:tc>
        <w:tc>
          <w:tcPr>
            <w:tcW w:w="920" w:type="dxa"/>
            <w:vAlign w:val="bottom"/>
            <w:shd w:val="clear" w:color="auto" w:fill="E6E6E6"/>
          </w:tcPr>
          <w:p>
            <w:pPr>
              <w:jc w:val="right"/>
              <w:ind w:right="134"/>
              <w:spacing w:after="0" w:line="202" w:lineRule="exact"/>
              <w:rPr>
                <w:sz w:val="20"/>
                <w:szCs w:val="20"/>
                <w:color w:val="auto"/>
              </w:rPr>
            </w:pPr>
            <w:r>
              <w:rPr>
                <w:rFonts w:ascii="Arial" w:cs="Arial" w:eastAsia="Arial" w:hAnsi="Arial"/>
                <w:sz w:val="18"/>
                <w:szCs w:val="18"/>
                <w:color w:val="auto"/>
              </w:rPr>
              <w:t>0.5</w:t>
            </w:r>
          </w:p>
        </w:tc>
        <w:tc>
          <w:tcPr>
            <w:tcW w:w="1160" w:type="dxa"/>
            <w:vAlign w:val="bottom"/>
            <w:shd w:val="clear" w:color="auto" w:fill="E6E6E6"/>
          </w:tcPr>
          <w:p>
            <w:pPr>
              <w:jc w:val="right"/>
              <w:ind w:right="254"/>
              <w:spacing w:after="0" w:line="202" w:lineRule="exact"/>
              <w:rPr>
                <w:sz w:val="20"/>
                <w:szCs w:val="20"/>
                <w:color w:val="auto"/>
              </w:rPr>
            </w:pPr>
            <w:r>
              <w:rPr>
                <w:rFonts w:ascii="Arial" w:cs="Arial" w:eastAsia="Arial" w:hAnsi="Arial"/>
                <w:sz w:val="18"/>
                <w:szCs w:val="18"/>
                <w:color w:val="auto"/>
              </w:rPr>
              <w:t>15.8</w:t>
            </w:r>
          </w:p>
        </w:tc>
        <w:tc>
          <w:tcPr>
            <w:tcW w:w="900" w:type="dxa"/>
            <w:vAlign w:val="bottom"/>
            <w:shd w:val="clear" w:color="auto" w:fill="E6E6E6"/>
          </w:tcPr>
          <w:p>
            <w:pPr>
              <w:jc w:val="right"/>
              <w:ind w:right="114"/>
              <w:spacing w:after="0" w:line="202" w:lineRule="exact"/>
              <w:rPr>
                <w:sz w:val="20"/>
                <w:szCs w:val="20"/>
                <w:color w:val="auto"/>
              </w:rPr>
            </w:pPr>
            <w:r>
              <w:rPr>
                <w:rFonts w:ascii="Arial" w:cs="Arial" w:eastAsia="Arial" w:hAnsi="Arial"/>
                <w:sz w:val="18"/>
                <w:szCs w:val="18"/>
                <w:color w:val="auto"/>
              </w:rPr>
              <w:t>0.9</w:t>
            </w:r>
          </w:p>
        </w:tc>
        <w:tc>
          <w:tcPr>
            <w:tcW w:w="1120" w:type="dxa"/>
            <w:vAlign w:val="bottom"/>
            <w:shd w:val="clear" w:color="auto" w:fill="E6E6E6"/>
          </w:tcPr>
          <w:p>
            <w:pPr>
              <w:jc w:val="right"/>
              <w:ind w:right="234"/>
              <w:spacing w:after="0" w:line="202" w:lineRule="exact"/>
              <w:rPr>
                <w:sz w:val="20"/>
                <w:szCs w:val="20"/>
                <w:color w:val="auto"/>
              </w:rPr>
            </w:pPr>
            <w:r>
              <w:rPr>
                <w:rFonts w:ascii="Arial" w:cs="Arial" w:eastAsia="Arial" w:hAnsi="Arial"/>
                <w:sz w:val="18"/>
                <w:szCs w:val="18"/>
                <w:color w:val="auto"/>
              </w:rPr>
              <w:t>8.6</w:t>
            </w:r>
          </w:p>
        </w:tc>
        <w:tc>
          <w:tcPr>
            <w:tcW w:w="780" w:type="dxa"/>
            <w:vAlign w:val="bottom"/>
            <w:shd w:val="clear" w:color="auto" w:fill="E6E6E6"/>
          </w:tcPr>
          <w:p>
            <w:pPr>
              <w:jc w:val="right"/>
              <w:ind w:right="14"/>
              <w:spacing w:after="0" w:line="202" w:lineRule="exact"/>
              <w:rPr>
                <w:sz w:val="20"/>
                <w:szCs w:val="20"/>
                <w:color w:val="auto"/>
              </w:rPr>
            </w:pPr>
            <w:r>
              <w:rPr>
                <w:rFonts w:ascii="Arial" w:cs="Arial" w:eastAsia="Arial" w:hAnsi="Arial"/>
                <w:sz w:val="18"/>
                <w:szCs w:val="18"/>
                <w:color w:val="auto"/>
              </w:rPr>
              <w:t>0.4</w:t>
            </w:r>
          </w:p>
        </w:tc>
        <w:tc>
          <w:tcPr>
            <w:tcW w:w="20" w:type="dxa"/>
            <w:vAlign w:val="bottom"/>
          </w:tcPr>
          <w:p>
            <w:pPr>
              <w:spacing w:after="0"/>
              <w:rPr>
                <w:sz w:val="17"/>
                <w:szCs w:val="17"/>
                <w:color w:val="auto"/>
              </w:rPr>
            </w:pPr>
          </w:p>
        </w:tc>
      </w:tr>
      <w:tr>
        <w:trPr>
          <w:trHeight w:val="243"/>
        </w:trPr>
        <w:tc>
          <w:tcPr>
            <w:tcW w:w="5160" w:type="dxa"/>
            <w:vAlign w:val="bottom"/>
          </w:tcPr>
          <w:p>
            <w:pPr>
              <w:spacing w:after="0" w:line="243" w:lineRule="exact"/>
              <w:rPr>
                <w:sz w:val="20"/>
                <w:szCs w:val="20"/>
                <w:color w:val="auto"/>
              </w:rPr>
            </w:pPr>
            <w:r>
              <w:rPr>
                <w:rFonts w:ascii="Arial" w:cs="Arial" w:eastAsia="Arial" w:hAnsi="Arial"/>
                <w:sz w:val="17"/>
                <w:szCs w:val="17"/>
                <w:color w:val="auto"/>
              </w:rPr>
              <w:t>Depreciation and amortization</w:t>
            </w:r>
            <w:r>
              <w:rPr>
                <w:rFonts w:ascii="Arial" w:cs="Arial" w:eastAsia="Arial" w:hAnsi="Arial"/>
                <w:sz w:val="28"/>
                <w:szCs w:val="28"/>
                <w:color w:val="auto"/>
                <w:vertAlign w:val="superscript"/>
              </w:rPr>
              <w:t>(2)</w:t>
            </w:r>
          </w:p>
        </w:tc>
        <w:tc>
          <w:tcPr>
            <w:tcW w:w="1380" w:type="dxa"/>
            <w:vAlign w:val="bottom"/>
          </w:tcPr>
          <w:p>
            <w:pPr>
              <w:jc w:val="right"/>
              <w:ind w:right="254"/>
              <w:spacing w:after="0"/>
              <w:rPr>
                <w:sz w:val="20"/>
                <w:szCs w:val="20"/>
                <w:color w:val="auto"/>
              </w:rPr>
            </w:pPr>
            <w:r>
              <w:rPr>
                <w:rFonts w:ascii="Arial" w:cs="Arial" w:eastAsia="Arial" w:hAnsi="Arial"/>
                <w:sz w:val="18"/>
                <w:szCs w:val="18"/>
                <w:color w:val="auto"/>
              </w:rPr>
              <w:t>59.5</w:t>
            </w:r>
          </w:p>
        </w:tc>
        <w:tc>
          <w:tcPr>
            <w:tcW w:w="920" w:type="dxa"/>
            <w:vAlign w:val="bottom"/>
          </w:tcPr>
          <w:p>
            <w:pPr>
              <w:jc w:val="right"/>
              <w:ind w:right="134"/>
              <w:spacing w:after="0"/>
              <w:rPr>
                <w:sz w:val="20"/>
                <w:szCs w:val="20"/>
                <w:color w:val="auto"/>
              </w:rPr>
            </w:pPr>
            <w:r>
              <w:rPr>
                <w:rFonts w:ascii="Arial" w:cs="Arial" w:eastAsia="Arial" w:hAnsi="Arial"/>
                <w:sz w:val="18"/>
                <w:szCs w:val="18"/>
                <w:color w:val="auto"/>
              </w:rPr>
              <w:t>3.1</w:t>
            </w:r>
          </w:p>
        </w:tc>
        <w:tc>
          <w:tcPr>
            <w:tcW w:w="1160" w:type="dxa"/>
            <w:vAlign w:val="bottom"/>
          </w:tcPr>
          <w:p>
            <w:pPr>
              <w:jc w:val="right"/>
              <w:ind w:right="254"/>
              <w:spacing w:after="0"/>
              <w:rPr>
                <w:sz w:val="20"/>
                <w:szCs w:val="20"/>
                <w:color w:val="auto"/>
              </w:rPr>
            </w:pPr>
            <w:r>
              <w:rPr>
                <w:rFonts w:ascii="Arial" w:cs="Arial" w:eastAsia="Arial" w:hAnsi="Arial"/>
                <w:sz w:val="18"/>
                <w:szCs w:val="18"/>
                <w:color w:val="auto"/>
              </w:rPr>
              <w:t>60.7</w:t>
            </w:r>
          </w:p>
        </w:tc>
        <w:tc>
          <w:tcPr>
            <w:tcW w:w="900" w:type="dxa"/>
            <w:vAlign w:val="bottom"/>
          </w:tcPr>
          <w:p>
            <w:pPr>
              <w:jc w:val="right"/>
              <w:ind w:right="114"/>
              <w:spacing w:after="0"/>
              <w:rPr>
                <w:sz w:val="20"/>
                <w:szCs w:val="20"/>
                <w:color w:val="auto"/>
              </w:rPr>
            </w:pPr>
            <w:r>
              <w:rPr>
                <w:rFonts w:ascii="Arial" w:cs="Arial" w:eastAsia="Arial" w:hAnsi="Arial"/>
                <w:sz w:val="18"/>
                <w:szCs w:val="18"/>
                <w:color w:val="auto"/>
              </w:rPr>
              <w:t>3.3</w:t>
            </w:r>
          </w:p>
        </w:tc>
        <w:tc>
          <w:tcPr>
            <w:tcW w:w="1120" w:type="dxa"/>
            <w:vAlign w:val="bottom"/>
          </w:tcPr>
          <w:p>
            <w:pPr>
              <w:jc w:val="right"/>
              <w:ind w:right="234"/>
              <w:spacing w:after="0"/>
              <w:rPr>
                <w:sz w:val="20"/>
                <w:szCs w:val="20"/>
                <w:color w:val="auto"/>
              </w:rPr>
            </w:pPr>
            <w:r>
              <w:rPr>
                <w:rFonts w:ascii="Arial" w:cs="Arial" w:eastAsia="Arial" w:hAnsi="Arial"/>
                <w:sz w:val="18"/>
                <w:szCs w:val="18"/>
                <w:color w:val="auto"/>
              </w:rPr>
              <w:t>62.2</w:t>
            </w: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21"/>
                <w:szCs w:val="21"/>
                <w:color w:val="auto"/>
              </w:rPr>
            </w:pPr>
          </w:p>
        </w:tc>
      </w:tr>
      <w:tr>
        <w:trPr>
          <w:trHeight w:val="243"/>
        </w:trPr>
        <w:tc>
          <w:tcPr>
            <w:tcW w:w="5160" w:type="dxa"/>
            <w:vAlign w:val="bottom"/>
            <w:shd w:val="clear" w:color="auto" w:fill="E6E6E6"/>
          </w:tcPr>
          <w:p>
            <w:pPr>
              <w:spacing w:after="0" w:line="243" w:lineRule="exact"/>
              <w:rPr>
                <w:sz w:val="20"/>
                <w:szCs w:val="20"/>
                <w:color w:val="auto"/>
              </w:rPr>
            </w:pPr>
            <w:r>
              <w:rPr>
                <w:rFonts w:ascii="Arial" w:cs="Arial" w:eastAsia="Arial" w:hAnsi="Arial"/>
                <w:sz w:val="17"/>
                <w:szCs w:val="17"/>
                <w:color w:val="auto"/>
              </w:rPr>
              <w:t>Severance</w:t>
            </w:r>
            <w:r>
              <w:rPr>
                <w:rFonts w:ascii="Arial" w:cs="Arial" w:eastAsia="Arial" w:hAnsi="Arial"/>
                <w:sz w:val="28"/>
                <w:szCs w:val="28"/>
                <w:color w:val="auto"/>
                <w:vertAlign w:val="superscript"/>
              </w:rPr>
              <w:t>(3)</w:t>
            </w:r>
          </w:p>
        </w:tc>
        <w:tc>
          <w:tcPr>
            <w:tcW w:w="1380" w:type="dxa"/>
            <w:vAlign w:val="bottom"/>
            <w:shd w:val="clear" w:color="auto" w:fill="E6E6E6"/>
          </w:tcPr>
          <w:p>
            <w:pPr>
              <w:jc w:val="right"/>
              <w:ind w:right="254"/>
              <w:spacing w:after="0"/>
              <w:rPr>
                <w:sz w:val="20"/>
                <w:szCs w:val="20"/>
                <w:color w:val="auto"/>
              </w:rPr>
            </w:pPr>
            <w:r>
              <w:rPr>
                <w:rFonts w:ascii="Arial" w:cs="Arial" w:eastAsia="Arial" w:hAnsi="Arial"/>
                <w:sz w:val="18"/>
                <w:szCs w:val="18"/>
                <w:color w:val="auto"/>
              </w:rPr>
              <w:t>9.2</w:t>
            </w:r>
          </w:p>
        </w:tc>
        <w:tc>
          <w:tcPr>
            <w:tcW w:w="920" w:type="dxa"/>
            <w:vAlign w:val="bottom"/>
            <w:shd w:val="clear" w:color="auto" w:fill="E6E6E6"/>
          </w:tcPr>
          <w:p>
            <w:pPr>
              <w:jc w:val="right"/>
              <w:ind w:right="134"/>
              <w:spacing w:after="0"/>
              <w:rPr>
                <w:sz w:val="20"/>
                <w:szCs w:val="20"/>
                <w:color w:val="auto"/>
              </w:rPr>
            </w:pPr>
            <w:r>
              <w:rPr>
                <w:rFonts w:ascii="Arial" w:cs="Arial" w:eastAsia="Arial" w:hAnsi="Arial"/>
                <w:sz w:val="18"/>
                <w:szCs w:val="18"/>
                <w:color w:val="auto"/>
              </w:rPr>
              <w:t>0.5</w:t>
            </w:r>
          </w:p>
        </w:tc>
        <w:tc>
          <w:tcPr>
            <w:tcW w:w="1160" w:type="dxa"/>
            <w:vAlign w:val="bottom"/>
            <w:shd w:val="clear" w:color="auto" w:fill="E6E6E6"/>
          </w:tcPr>
          <w:p>
            <w:pPr>
              <w:jc w:val="right"/>
              <w:ind w:right="254"/>
              <w:spacing w:after="0"/>
              <w:rPr>
                <w:sz w:val="20"/>
                <w:szCs w:val="20"/>
                <w:color w:val="auto"/>
              </w:rPr>
            </w:pPr>
            <w:r>
              <w:rPr>
                <w:rFonts w:ascii="Arial" w:cs="Arial" w:eastAsia="Arial" w:hAnsi="Arial"/>
                <w:sz w:val="18"/>
                <w:szCs w:val="18"/>
                <w:color w:val="auto"/>
              </w:rPr>
              <w:t>26.5</w:t>
            </w:r>
          </w:p>
        </w:tc>
        <w:tc>
          <w:tcPr>
            <w:tcW w:w="900" w:type="dxa"/>
            <w:vAlign w:val="bottom"/>
            <w:shd w:val="clear" w:color="auto" w:fill="E6E6E6"/>
          </w:tcPr>
          <w:p>
            <w:pPr>
              <w:jc w:val="right"/>
              <w:ind w:right="114"/>
              <w:spacing w:after="0"/>
              <w:rPr>
                <w:sz w:val="20"/>
                <w:szCs w:val="20"/>
                <w:color w:val="auto"/>
              </w:rPr>
            </w:pPr>
            <w:r>
              <w:rPr>
                <w:rFonts w:ascii="Arial" w:cs="Arial" w:eastAsia="Arial" w:hAnsi="Arial"/>
                <w:sz w:val="18"/>
                <w:szCs w:val="18"/>
                <w:color w:val="auto"/>
              </w:rPr>
              <w:t>1.4</w:t>
            </w:r>
          </w:p>
        </w:tc>
        <w:tc>
          <w:tcPr>
            <w:tcW w:w="1120" w:type="dxa"/>
            <w:vAlign w:val="bottom"/>
            <w:shd w:val="clear" w:color="auto" w:fill="E6E6E6"/>
          </w:tcPr>
          <w:p>
            <w:pPr>
              <w:jc w:val="right"/>
              <w:ind w:right="234"/>
              <w:spacing w:after="0"/>
              <w:rPr>
                <w:sz w:val="20"/>
                <w:szCs w:val="20"/>
                <w:color w:val="auto"/>
              </w:rPr>
            </w:pPr>
            <w:r>
              <w:rPr>
                <w:rFonts w:ascii="Arial" w:cs="Arial" w:eastAsia="Arial" w:hAnsi="Arial"/>
                <w:sz w:val="18"/>
                <w:szCs w:val="18"/>
                <w:color w:val="auto"/>
              </w:rPr>
              <w:t>7.0</w:t>
            </w:r>
          </w:p>
        </w:tc>
        <w:tc>
          <w:tcPr>
            <w:tcW w:w="780" w:type="dxa"/>
            <w:vAlign w:val="bottom"/>
            <w:shd w:val="clear" w:color="auto" w:fill="E6E6E6"/>
          </w:tcPr>
          <w:p>
            <w:pPr>
              <w:jc w:val="right"/>
              <w:ind w:right="14"/>
              <w:spacing w:after="0"/>
              <w:rPr>
                <w:sz w:val="20"/>
                <w:szCs w:val="20"/>
                <w:color w:val="auto"/>
              </w:rPr>
            </w:pPr>
            <w:r>
              <w:rPr>
                <w:rFonts w:ascii="Arial" w:cs="Arial" w:eastAsia="Arial" w:hAnsi="Arial"/>
                <w:sz w:val="18"/>
                <w:szCs w:val="18"/>
                <w:color w:val="auto"/>
              </w:rPr>
              <w:t>0.3</w:t>
            </w:r>
          </w:p>
        </w:tc>
        <w:tc>
          <w:tcPr>
            <w:tcW w:w="20" w:type="dxa"/>
            <w:vAlign w:val="bottom"/>
          </w:tcPr>
          <w:p>
            <w:pPr>
              <w:spacing w:after="0"/>
              <w:rPr>
                <w:sz w:val="21"/>
                <w:szCs w:val="21"/>
                <w:color w:val="auto"/>
              </w:rPr>
            </w:pPr>
          </w:p>
        </w:tc>
      </w:tr>
      <w:tr>
        <w:trPr>
          <w:trHeight w:val="385"/>
        </w:trPr>
        <w:tc>
          <w:tcPr>
            <w:tcW w:w="5160" w:type="dxa"/>
            <w:vAlign w:val="bottom"/>
          </w:tcPr>
          <w:p>
            <w:pPr>
              <w:spacing w:after="0"/>
              <w:rPr>
                <w:sz w:val="20"/>
                <w:szCs w:val="20"/>
                <w:color w:val="auto"/>
              </w:rPr>
            </w:pPr>
            <w:r>
              <w:rPr>
                <w:rFonts w:ascii="Arial" w:cs="Arial" w:eastAsia="Arial" w:hAnsi="Arial"/>
                <w:sz w:val="18"/>
                <w:szCs w:val="18"/>
                <w:color w:val="auto"/>
              </w:rPr>
              <w:t>Impairment charge</w:t>
            </w:r>
            <w:r>
              <w:rPr>
                <w:rFonts w:ascii="Arial" w:cs="Arial" w:eastAsia="Arial" w:hAnsi="Arial"/>
                <w:sz w:val="29"/>
                <w:szCs w:val="29"/>
                <w:color w:val="auto"/>
                <w:vertAlign w:val="superscript"/>
              </w:rPr>
              <w:t>(3)</w:t>
            </w:r>
          </w:p>
        </w:tc>
        <w:tc>
          <w:tcPr>
            <w:tcW w:w="1380" w:type="dxa"/>
            <w:vAlign w:val="bottom"/>
          </w:tcPr>
          <w:p>
            <w:pPr>
              <w:jc w:val="right"/>
              <w:ind w:right="254"/>
              <w:spacing w:after="0"/>
              <w:rPr>
                <w:sz w:val="20"/>
                <w:szCs w:val="20"/>
                <w:color w:val="auto"/>
              </w:rPr>
            </w:pPr>
            <w:r>
              <w:rPr>
                <w:rFonts w:ascii="Arial" w:cs="Arial" w:eastAsia="Arial" w:hAnsi="Arial"/>
                <w:sz w:val="18"/>
                <w:szCs w:val="18"/>
                <w:color w:val="auto"/>
              </w:rPr>
              <w:t>43.1</w:t>
            </w:r>
          </w:p>
        </w:tc>
        <w:tc>
          <w:tcPr>
            <w:tcW w:w="920" w:type="dxa"/>
            <w:vAlign w:val="bottom"/>
          </w:tcPr>
          <w:p>
            <w:pPr>
              <w:jc w:val="right"/>
              <w:ind w:right="134"/>
              <w:spacing w:after="0"/>
              <w:rPr>
                <w:sz w:val="20"/>
                <w:szCs w:val="20"/>
                <w:color w:val="auto"/>
              </w:rPr>
            </w:pPr>
            <w:r>
              <w:rPr>
                <w:rFonts w:ascii="Arial" w:cs="Arial" w:eastAsia="Arial" w:hAnsi="Arial"/>
                <w:sz w:val="18"/>
                <w:szCs w:val="18"/>
                <w:color w:val="auto"/>
              </w:rPr>
              <w:t>2.3</w:t>
            </w:r>
          </w:p>
        </w:tc>
        <w:tc>
          <w:tcPr>
            <w:tcW w:w="1160" w:type="dxa"/>
            <w:vAlign w:val="bottom"/>
          </w:tcPr>
          <w:p>
            <w:pPr>
              <w:jc w:val="right"/>
              <w:ind w:right="254"/>
              <w:spacing w:after="0"/>
              <w:rPr>
                <w:sz w:val="20"/>
                <w:szCs w:val="20"/>
                <w:color w:val="auto"/>
              </w:rPr>
            </w:pPr>
            <w:r>
              <w:rPr>
                <w:rFonts w:ascii="Arial" w:cs="Arial" w:eastAsia="Arial" w:hAnsi="Arial"/>
                <w:sz w:val="18"/>
                <w:szCs w:val="18"/>
                <w:color w:val="auto"/>
              </w:rPr>
              <w:t>17.0</w:t>
            </w:r>
          </w:p>
        </w:tc>
        <w:tc>
          <w:tcPr>
            <w:tcW w:w="900" w:type="dxa"/>
            <w:vAlign w:val="bottom"/>
          </w:tcPr>
          <w:p>
            <w:pPr>
              <w:jc w:val="right"/>
              <w:ind w:right="114"/>
              <w:spacing w:after="0"/>
              <w:rPr>
                <w:sz w:val="20"/>
                <w:szCs w:val="20"/>
                <w:color w:val="auto"/>
              </w:rPr>
            </w:pPr>
            <w:r>
              <w:rPr>
                <w:rFonts w:ascii="Arial" w:cs="Arial" w:eastAsia="Arial" w:hAnsi="Arial"/>
                <w:sz w:val="18"/>
                <w:szCs w:val="18"/>
                <w:color w:val="auto"/>
              </w:rPr>
              <w:t>0.9</w:t>
            </w:r>
          </w:p>
        </w:tc>
        <w:tc>
          <w:tcPr>
            <w:tcW w:w="1120" w:type="dxa"/>
            <w:vAlign w:val="bottom"/>
          </w:tcPr>
          <w:p>
            <w:pPr>
              <w:jc w:val="right"/>
              <w:ind w:right="234"/>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0"/>
        </w:trPr>
        <w:tc>
          <w:tcPr>
            <w:tcW w:w="5160" w:type="dxa"/>
            <w:vAlign w:val="bottom"/>
            <w:shd w:val="clear" w:color="auto" w:fill="E6E6E6"/>
          </w:tcPr>
          <w:p>
            <w:pPr>
              <w:spacing w:after="0"/>
              <w:rPr>
                <w:sz w:val="20"/>
                <w:szCs w:val="20"/>
                <w:color w:val="auto"/>
              </w:rPr>
            </w:pPr>
            <w:r>
              <w:rPr>
                <w:rFonts w:ascii="Arial" w:cs="Arial" w:eastAsia="Arial" w:hAnsi="Arial"/>
                <w:sz w:val="18"/>
                <w:szCs w:val="18"/>
                <w:color w:val="auto"/>
              </w:rPr>
              <w:t>Operating income</w:t>
            </w:r>
          </w:p>
        </w:tc>
        <w:tc>
          <w:tcPr>
            <w:tcW w:w="1380" w:type="dxa"/>
            <w:vAlign w:val="bottom"/>
            <w:shd w:val="clear" w:color="auto" w:fill="E6E6E6"/>
          </w:tcPr>
          <w:p>
            <w:pPr>
              <w:jc w:val="right"/>
              <w:ind w:right="254"/>
              <w:spacing w:after="0"/>
              <w:rPr>
                <w:sz w:val="20"/>
                <w:szCs w:val="20"/>
                <w:color w:val="auto"/>
              </w:rPr>
            </w:pPr>
            <w:r>
              <w:rPr>
                <w:rFonts w:ascii="Arial" w:cs="Arial" w:eastAsia="Arial" w:hAnsi="Arial"/>
                <w:sz w:val="18"/>
                <w:szCs w:val="18"/>
                <w:color w:val="auto"/>
              </w:rPr>
              <w:t>128.4</w:t>
            </w:r>
          </w:p>
        </w:tc>
        <w:tc>
          <w:tcPr>
            <w:tcW w:w="920" w:type="dxa"/>
            <w:vAlign w:val="bottom"/>
            <w:shd w:val="clear" w:color="auto" w:fill="E6E6E6"/>
          </w:tcPr>
          <w:p>
            <w:pPr>
              <w:jc w:val="right"/>
              <w:ind w:right="134"/>
              <w:spacing w:after="0"/>
              <w:rPr>
                <w:sz w:val="20"/>
                <w:szCs w:val="20"/>
                <w:color w:val="auto"/>
              </w:rPr>
            </w:pPr>
            <w:r>
              <w:rPr>
                <w:rFonts w:ascii="Arial" w:cs="Arial" w:eastAsia="Arial" w:hAnsi="Arial"/>
                <w:sz w:val="18"/>
                <w:szCs w:val="18"/>
                <w:color w:val="auto"/>
              </w:rPr>
              <w:t>6.7</w:t>
            </w:r>
          </w:p>
        </w:tc>
        <w:tc>
          <w:tcPr>
            <w:tcW w:w="1160" w:type="dxa"/>
            <w:vAlign w:val="bottom"/>
            <w:shd w:val="clear" w:color="auto" w:fill="E6E6E6"/>
          </w:tcPr>
          <w:p>
            <w:pPr>
              <w:jc w:val="right"/>
              <w:ind w:right="254"/>
              <w:spacing w:after="0"/>
              <w:rPr>
                <w:sz w:val="20"/>
                <w:szCs w:val="20"/>
                <w:color w:val="auto"/>
              </w:rPr>
            </w:pPr>
            <w:r>
              <w:rPr>
                <w:rFonts w:ascii="Arial" w:cs="Arial" w:eastAsia="Arial" w:hAnsi="Arial"/>
                <w:sz w:val="18"/>
                <w:szCs w:val="18"/>
                <w:color w:val="auto"/>
              </w:rPr>
              <w:t>70.4</w:t>
            </w:r>
          </w:p>
        </w:tc>
        <w:tc>
          <w:tcPr>
            <w:tcW w:w="900" w:type="dxa"/>
            <w:vAlign w:val="bottom"/>
            <w:shd w:val="clear" w:color="auto" w:fill="E6E6E6"/>
          </w:tcPr>
          <w:p>
            <w:pPr>
              <w:jc w:val="right"/>
              <w:ind w:right="114"/>
              <w:spacing w:after="0"/>
              <w:rPr>
                <w:sz w:val="20"/>
                <w:szCs w:val="20"/>
                <w:color w:val="auto"/>
              </w:rPr>
            </w:pPr>
            <w:r>
              <w:rPr>
                <w:rFonts w:ascii="Arial" w:cs="Arial" w:eastAsia="Arial" w:hAnsi="Arial"/>
                <w:sz w:val="18"/>
                <w:szCs w:val="18"/>
                <w:color w:val="auto"/>
              </w:rPr>
              <w:t>3.8</w:t>
            </w:r>
          </w:p>
        </w:tc>
        <w:tc>
          <w:tcPr>
            <w:tcW w:w="1120" w:type="dxa"/>
            <w:vAlign w:val="bottom"/>
            <w:shd w:val="clear" w:color="auto" w:fill="E6E6E6"/>
          </w:tcPr>
          <w:p>
            <w:pPr>
              <w:jc w:val="right"/>
              <w:ind w:right="234"/>
              <w:spacing w:after="0"/>
              <w:rPr>
                <w:sz w:val="20"/>
                <w:szCs w:val="20"/>
                <w:color w:val="auto"/>
              </w:rPr>
            </w:pPr>
            <w:r>
              <w:rPr>
                <w:rFonts w:ascii="Arial" w:cs="Arial" w:eastAsia="Arial" w:hAnsi="Arial"/>
                <w:sz w:val="18"/>
                <w:szCs w:val="18"/>
                <w:color w:val="auto"/>
              </w:rPr>
              <w:t>213.4</w:t>
            </w:r>
          </w:p>
        </w:tc>
        <w:tc>
          <w:tcPr>
            <w:tcW w:w="780" w:type="dxa"/>
            <w:vAlign w:val="bottom"/>
            <w:shd w:val="clear" w:color="auto" w:fill="E6E6E6"/>
          </w:tcPr>
          <w:p>
            <w:pPr>
              <w:jc w:val="right"/>
              <w:ind w:right="14"/>
              <w:spacing w:after="0"/>
              <w:rPr>
                <w:sz w:val="20"/>
                <w:szCs w:val="20"/>
                <w:color w:val="auto"/>
              </w:rPr>
            </w:pPr>
            <w:r>
              <w:rPr>
                <w:rFonts w:ascii="Arial" w:cs="Arial" w:eastAsia="Arial" w:hAnsi="Arial"/>
                <w:sz w:val="18"/>
                <w:szCs w:val="18"/>
                <w:color w:val="auto"/>
              </w:rPr>
              <w:t>9.9</w:t>
            </w:r>
          </w:p>
        </w:tc>
        <w:tc>
          <w:tcPr>
            <w:tcW w:w="20" w:type="dxa"/>
            <w:vAlign w:val="bottom"/>
          </w:tcPr>
          <w:p>
            <w:pPr>
              <w:spacing w:after="0"/>
              <w:rPr>
                <w:sz w:val="18"/>
                <w:szCs w:val="18"/>
                <w:color w:val="auto"/>
              </w:rPr>
            </w:pPr>
          </w:p>
        </w:tc>
      </w:tr>
      <w:tr>
        <w:trPr>
          <w:trHeight w:val="243"/>
        </w:trPr>
        <w:tc>
          <w:tcPr>
            <w:tcW w:w="5160" w:type="dxa"/>
            <w:vAlign w:val="bottom"/>
          </w:tcPr>
          <w:p>
            <w:pPr>
              <w:spacing w:after="0" w:line="243" w:lineRule="exact"/>
              <w:rPr>
                <w:sz w:val="20"/>
                <w:szCs w:val="20"/>
                <w:color w:val="auto"/>
              </w:rPr>
            </w:pPr>
            <w:r>
              <w:rPr>
                <w:rFonts w:ascii="Arial" w:cs="Arial" w:eastAsia="Arial" w:hAnsi="Arial"/>
                <w:sz w:val="17"/>
                <w:szCs w:val="17"/>
                <w:color w:val="auto"/>
              </w:rPr>
              <w:t>Other income</w:t>
            </w:r>
            <w:r>
              <w:rPr>
                <w:rFonts w:ascii="Arial" w:cs="Arial" w:eastAsia="Arial" w:hAnsi="Arial"/>
                <w:sz w:val="28"/>
                <w:szCs w:val="28"/>
                <w:color w:val="auto"/>
                <w:vertAlign w:val="superscript"/>
              </w:rPr>
              <w:t>(4)</w:t>
            </w:r>
          </w:p>
        </w:tc>
        <w:tc>
          <w:tcPr>
            <w:tcW w:w="1380" w:type="dxa"/>
            <w:vAlign w:val="bottom"/>
          </w:tcPr>
          <w:p>
            <w:pPr>
              <w:jc w:val="right"/>
              <w:ind w:right="254"/>
              <w:spacing w:after="0"/>
              <w:rPr>
                <w:sz w:val="20"/>
                <w:szCs w:val="20"/>
                <w:color w:val="auto"/>
              </w:rPr>
            </w:pPr>
            <w:r>
              <w:rPr>
                <w:rFonts w:ascii="Arial" w:cs="Arial" w:eastAsia="Arial" w:hAnsi="Arial"/>
                <w:sz w:val="18"/>
                <w:szCs w:val="18"/>
                <w:color w:val="auto"/>
              </w:rPr>
              <w:t>0.9</w:t>
            </w:r>
          </w:p>
        </w:tc>
        <w:tc>
          <w:tcPr>
            <w:tcW w:w="920" w:type="dxa"/>
            <w:vAlign w:val="bottom"/>
          </w:tcPr>
          <w:p>
            <w:pPr>
              <w:jc w:val="right"/>
              <w:ind w:right="134"/>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254"/>
              <w:spacing w:after="0"/>
              <w:rPr>
                <w:sz w:val="20"/>
                <w:szCs w:val="20"/>
                <w:color w:val="auto"/>
              </w:rPr>
            </w:pPr>
            <w:r>
              <w:rPr>
                <w:rFonts w:ascii="Arial" w:cs="Arial" w:eastAsia="Arial" w:hAnsi="Arial"/>
                <w:sz w:val="18"/>
                <w:szCs w:val="18"/>
                <w:color w:val="auto"/>
              </w:rPr>
              <w:t>0.7</w:t>
            </w:r>
          </w:p>
        </w:tc>
        <w:tc>
          <w:tcPr>
            <w:tcW w:w="900" w:type="dxa"/>
            <w:vAlign w:val="bottom"/>
          </w:tcPr>
          <w:p>
            <w:pPr>
              <w:jc w:val="right"/>
              <w:ind w:right="114"/>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234"/>
              <w:spacing w:after="0"/>
              <w:rPr>
                <w:sz w:val="20"/>
                <w:szCs w:val="20"/>
                <w:color w:val="auto"/>
              </w:rPr>
            </w:pPr>
            <w:r>
              <w:rPr>
                <w:rFonts w:ascii="Arial" w:cs="Arial" w:eastAsia="Arial" w:hAnsi="Arial"/>
                <w:sz w:val="18"/>
                <w:szCs w:val="18"/>
                <w:color w:val="auto"/>
              </w:rPr>
              <w:t>2.6</w:t>
            </w: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0.1</w:t>
            </w:r>
          </w:p>
        </w:tc>
        <w:tc>
          <w:tcPr>
            <w:tcW w:w="20" w:type="dxa"/>
            <w:vAlign w:val="bottom"/>
          </w:tcPr>
          <w:p>
            <w:pPr>
              <w:spacing w:after="0"/>
              <w:rPr>
                <w:sz w:val="21"/>
                <w:szCs w:val="21"/>
                <w:color w:val="auto"/>
              </w:rPr>
            </w:pPr>
          </w:p>
        </w:tc>
      </w:tr>
      <w:tr>
        <w:trPr>
          <w:trHeight w:val="203"/>
        </w:trPr>
        <w:tc>
          <w:tcPr>
            <w:tcW w:w="516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Interest income</w:t>
            </w:r>
          </w:p>
        </w:tc>
        <w:tc>
          <w:tcPr>
            <w:tcW w:w="1380" w:type="dxa"/>
            <w:vAlign w:val="bottom"/>
            <w:shd w:val="clear" w:color="auto" w:fill="E6E6E6"/>
          </w:tcPr>
          <w:p>
            <w:pPr>
              <w:jc w:val="right"/>
              <w:ind w:right="254"/>
              <w:spacing w:after="0" w:line="202" w:lineRule="exact"/>
              <w:rPr>
                <w:sz w:val="20"/>
                <w:szCs w:val="20"/>
                <w:color w:val="auto"/>
              </w:rPr>
            </w:pPr>
            <w:r>
              <w:rPr>
                <w:rFonts w:ascii="Arial" w:cs="Arial" w:eastAsia="Arial" w:hAnsi="Arial"/>
                <w:sz w:val="18"/>
                <w:szCs w:val="18"/>
                <w:color w:val="auto"/>
              </w:rPr>
              <w:t>1.6</w:t>
            </w:r>
          </w:p>
        </w:tc>
        <w:tc>
          <w:tcPr>
            <w:tcW w:w="920" w:type="dxa"/>
            <w:vAlign w:val="bottom"/>
            <w:shd w:val="clear" w:color="auto" w:fill="E6E6E6"/>
          </w:tcPr>
          <w:p>
            <w:pPr>
              <w:jc w:val="right"/>
              <w:ind w:right="134"/>
              <w:spacing w:after="0" w:line="202" w:lineRule="exact"/>
              <w:rPr>
                <w:sz w:val="20"/>
                <w:szCs w:val="20"/>
                <w:color w:val="auto"/>
              </w:rPr>
            </w:pPr>
            <w:r>
              <w:rPr>
                <w:rFonts w:ascii="Arial" w:cs="Arial" w:eastAsia="Arial" w:hAnsi="Arial"/>
                <w:sz w:val="18"/>
                <w:szCs w:val="18"/>
                <w:color w:val="auto"/>
              </w:rPr>
              <w:t>0.1</w:t>
            </w:r>
          </w:p>
        </w:tc>
        <w:tc>
          <w:tcPr>
            <w:tcW w:w="1160" w:type="dxa"/>
            <w:vAlign w:val="bottom"/>
            <w:shd w:val="clear" w:color="auto" w:fill="E6E6E6"/>
          </w:tcPr>
          <w:p>
            <w:pPr>
              <w:jc w:val="right"/>
              <w:ind w:right="254"/>
              <w:spacing w:after="0" w:line="202" w:lineRule="exact"/>
              <w:rPr>
                <w:sz w:val="20"/>
                <w:szCs w:val="20"/>
                <w:color w:val="auto"/>
              </w:rPr>
            </w:pPr>
            <w:r>
              <w:rPr>
                <w:rFonts w:ascii="Arial" w:cs="Arial" w:eastAsia="Arial" w:hAnsi="Arial"/>
                <w:sz w:val="18"/>
                <w:szCs w:val="18"/>
                <w:color w:val="auto"/>
              </w:rPr>
              <w:t>1.2</w:t>
            </w:r>
          </w:p>
        </w:tc>
        <w:tc>
          <w:tcPr>
            <w:tcW w:w="900" w:type="dxa"/>
            <w:vAlign w:val="bottom"/>
            <w:shd w:val="clear" w:color="auto" w:fill="E6E6E6"/>
          </w:tcPr>
          <w:p>
            <w:pPr>
              <w:jc w:val="right"/>
              <w:ind w:right="114"/>
              <w:spacing w:after="0" w:line="202" w:lineRule="exact"/>
              <w:rPr>
                <w:sz w:val="20"/>
                <w:szCs w:val="20"/>
                <w:color w:val="auto"/>
              </w:rPr>
            </w:pPr>
            <w:r>
              <w:rPr>
                <w:rFonts w:ascii="Arial" w:cs="Arial" w:eastAsia="Arial" w:hAnsi="Arial"/>
                <w:sz w:val="18"/>
                <w:szCs w:val="18"/>
                <w:color w:val="auto"/>
              </w:rPr>
              <w:t>0.1</w:t>
            </w:r>
          </w:p>
        </w:tc>
        <w:tc>
          <w:tcPr>
            <w:tcW w:w="1120" w:type="dxa"/>
            <w:vAlign w:val="bottom"/>
            <w:shd w:val="clear" w:color="auto" w:fill="E6E6E6"/>
          </w:tcPr>
          <w:p>
            <w:pPr>
              <w:jc w:val="right"/>
              <w:ind w:right="234"/>
              <w:spacing w:after="0" w:line="202" w:lineRule="exact"/>
              <w:rPr>
                <w:sz w:val="20"/>
                <w:szCs w:val="20"/>
                <w:color w:val="auto"/>
              </w:rPr>
            </w:pPr>
            <w:r>
              <w:rPr>
                <w:rFonts w:ascii="Arial" w:cs="Arial" w:eastAsia="Arial" w:hAnsi="Arial"/>
                <w:sz w:val="18"/>
                <w:szCs w:val="18"/>
                <w:color w:val="auto"/>
              </w:rPr>
              <w:t>3.1</w:t>
            </w:r>
          </w:p>
        </w:tc>
        <w:tc>
          <w:tcPr>
            <w:tcW w:w="780" w:type="dxa"/>
            <w:vAlign w:val="bottom"/>
            <w:shd w:val="clear" w:color="auto" w:fill="E6E6E6"/>
          </w:tcPr>
          <w:p>
            <w:pPr>
              <w:jc w:val="right"/>
              <w:ind w:right="14"/>
              <w:spacing w:after="0" w:line="202" w:lineRule="exact"/>
              <w:rPr>
                <w:sz w:val="20"/>
                <w:szCs w:val="20"/>
                <w:color w:val="auto"/>
              </w:rPr>
            </w:pPr>
            <w:r>
              <w:rPr>
                <w:rFonts w:ascii="Arial" w:cs="Arial" w:eastAsia="Arial" w:hAnsi="Arial"/>
                <w:sz w:val="18"/>
                <w:szCs w:val="18"/>
                <w:color w:val="auto"/>
              </w:rPr>
              <w:t>0.1</w:t>
            </w:r>
          </w:p>
        </w:tc>
        <w:tc>
          <w:tcPr>
            <w:tcW w:w="20" w:type="dxa"/>
            <w:vAlign w:val="bottom"/>
          </w:tcPr>
          <w:p>
            <w:pPr>
              <w:spacing w:after="0"/>
              <w:rPr>
                <w:sz w:val="17"/>
                <w:szCs w:val="17"/>
                <w:color w:val="auto"/>
              </w:rPr>
            </w:pPr>
          </w:p>
        </w:tc>
      </w:tr>
      <w:tr>
        <w:trPr>
          <w:trHeight w:val="203"/>
        </w:trPr>
        <w:tc>
          <w:tcPr>
            <w:tcW w:w="5160" w:type="dxa"/>
            <w:vAlign w:val="bottom"/>
          </w:tcPr>
          <w:p>
            <w:pPr>
              <w:spacing w:after="0" w:line="202" w:lineRule="exact"/>
              <w:rPr>
                <w:sz w:val="20"/>
                <w:szCs w:val="20"/>
                <w:color w:val="auto"/>
              </w:rPr>
            </w:pPr>
            <w:r>
              <w:rPr>
                <w:rFonts w:ascii="Arial" w:cs="Arial" w:eastAsia="Arial" w:hAnsi="Arial"/>
                <w:sz w:val="18"/>
                <w:szCs w:val="18"/>
                <w:color w:val="auto"/>
              </w:rPr>
              <w:t>Interest expense</w:t>
            </w:r>
          </w:p>
        </w:tc>
        <w:tc>
          <w:tcPr>
            <w:tcW w:w="1380" w:type="dxa"/>
            <w:vAlign w:val="bottom"/>
          </w:tcPr>
          <w:p>
            <w:pPr>
              <w:jc w:val="right"/>
              <w:ind w:right="194"/>
              <w:spacing w:after="0" w:line="202" w:lineRule="exact"/>
              <w:rPr>
                <w:sz w:val="20"/>
                <w:szCs w:val="20"/>
                <w:color w:val="auto"/>
              </w:rPr>
            </w:pPr>
            <w:r>
              <w:rPr>
                <w:rFonts w:ascii="Arial" w:cs="Arial" w:eastAsia="Arial" w:hAnsi="Arial"/>
                <w:sz w:val="18"/>
                <w:szCs w:val="18"/>
                <w:color w:val="auto"/>
              </w:rPr>
              <w:t>(17.8)</w:t>
            </w:r>
          </w:p>
        </w:tc>
        <w:tc>
          <w:tcPr>
            <w:tcW w:w="920" w:type="dxa"/>
            <w:vAlign w:val="bottom"/>
          </w:tcPr>
          <w:p>
            <w:pPr>
              <w:jc w:val="right"/>
              <w:ind w:right="74"/>
              <w:spacing w:after="0" w:line="202" w:lineRule="exact"/>
              <w:rPr>
                <w:sz w:val="20"/>
                <w:szCs w:val="20"/>
                <w:color w:val="auto"/>
              </w:rPr>
            </w:pPr>
            <w:r>
              <w:rPr>
                <w:rFonts w:ascii="Arial" w:cs="Arial" w:eastAsia="Arial" w:hAnsi="Arial"/>
                <w:sz w:val="18"/>
                <w:szCs w:val="18"/>
                <w:color w:val="auto"/>
              </w:rPr>
              <w:t>(0.9)</w:t>
            </w:r>
          </w:p>
        </w:tc>
        <w:tc>
          <w:tcPr>
            <w:tcW w:w="1160" w:type="dxa"/>
            <w:vAlign w:val="bottom"/>
          </w:tcPr>
          <w:p>
            <w:pPr>
              <w:jc w:val="right"/>
              <w:ind w:right="194"/>
              <w:spacing w:after="0" w:line="202" w:lineRule="exact"/>
              <w:rPr>
                <w:sz w:val="20"/>
                <w:szCs w:val="20"/>
                <w:color w:val="auto"/>
              </w:rPr>
            </w:pPr>
            <w:r>
              <w:rPr>
                <w:rFonts w:ascii="Arial" w:cs="Arial" w:eastAsia="Arial" w:hAnsi="Arial"/>
                <w:sz w:val="18"/>
                <w:szCs w:val="18"/>
                <w:color w:val="auto"/>
              </w:rPr>
              <w:t>(24.2)</w:t>
            </w:r>
          </w:p>
        </w:tc>
        <w:tc>
          <w:tcPr>
            <w:tcW w:w="900" w:type="dxa"/>
            <w:vAlign w:val="bottom"/>
          </w:tcPr>
          <w:p>
            <w:pPr>
              <w:jc w:val="right"/>
              <w:ind w:right="54"/>
              <w:spacing w:after="0" w:line="202" w:lineRule="exact"/>
              <w:rPr>
                <w:sz w:val="20"/>
                <w:szCs w:val="20"/>
                <w:color w:val="auto"/>
              </w:rPr>
            </w:pPr>
            <w:r>
              <w:rPr>
                <w:rFonts w:ascii="Arial" w:cs="Arial" w:eastAsia="Arial" w:hAnsi="Arial"/>
                <w:sz w:val="18"/>
                <w:szCs w:val="18"/>
                <w:color w:val="auto"/>
              </w:rPr>
              <w:t>(1.3)</w:t>
            </w:r>
          </w:p>
        </w:tc>
        <w:tc>
          <w:tcPr>
            <w:tcW w:w="1120" w:type="dxa"/>
            <w:vAlign w:val="bottom"/>
          </w:tcPr>
          <w:p>
            <w:pPr>
              <w:jc w:val="right"/>
              <w:ind w:right="174"/>
              <w:spacing w:after="0" w:line="202" w:lineRule="exact"/>
              <w:rPr>
                <w:sz w:val="20"/>
                <w:szCs w:val="20"/>
                <w:color w:val="auto"/>
              </w:rPr>
            </w:pPr>
            <w:r>
              <w:rPr>
                <w:rFonts w:ascii="Arial" w:cs="Arial" w:eastAsia="Arial" w:hAnsi="Arial"/>
                <w:sz w:val="18"/>
                <w:szCs w:val="18"/>
                <w:color w:val="auto"/>
              </w:rPr>
              <w:t>(32.9)</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(1.5)</w:t>
            </w:r>
          </w:p>
        </w:tc>
        <w:tc>
          <w:tcPr>
            <w:tcW w:w="20" w:type="dxa"/>
            <w:vAlign w:val="bottom"/>
          </w:tcPr>
          <w:p>
            <w:pPr>
              <w:spacing w:after="0"/>
              <w:rPr>
                <w:sz w:val="17"/>
                <w:szCs w:val="17"/>
                <w:color w:val="auto"/>
              </w:rPr>
            </w:pPr>
          </w:p>
        </w:tc>
      </w:tr>
      <w:tr>
        <w:trPr>
          <w:trHeight w:val="243"/>
        </w:trPr>
        <w:tc>
          <w:tcPr>
            <w:tcW w:w="5160" w:type="dxa"/>
            <w:vAlign w:val="bottom"/>
            <w:shd w:val="clear" w:color="auto" w:fill="E6E6E6"/>
          </w:tcPr>
          <w:p>
            <w:pPr>
              <w:spacing w:after="0" w:line="243" w:lineRule="exact"/>
              <w:rPr>
                <w:sz w:val="20"/>
                <w:szCs w:val="20"/>
                <w:color w:val="auto"/>
              </w:rPr>
            </w:pPr>
            <w:r>
              <w:rPr>
                <w:rFonts w:ascii="Arial" w:cs="Arial" w:eastAsia="Arial" w:hAnsi="Arial"/>
                <w:sz w:val="17"/>
                <w:szCs w:val="17"/>
                <w:color w:val="auto"/>
              </w:rPr>
              <w:t>Loss on investments</w:t>
            </w:r>
            <w:r>
              <w:rPr>
                <w:rFonts w:ascii="Arial" w:cs="Arial" w:eastAsia="Arial" w:hAnsi="Arial"/>
                <w:sz w:val="28"/>
                <w:szCs w:val="28"/>
                <w:color w:val="auto"/>
                <w:vertAlign w:val="superscript"/>
              </w:rPr>
              <w:t>(3)</w:t>
            </w:r>
          </w:p>
        </w:tc>
        <w:tc>
          <w:tcPr>
            <w:tcW w:w="1380" w:type="dxa"/>
            <w:vAlign w:val="bottom"/>
            <w:shd w:val="clear" w:color="auto" w:fill="E6E6E6"/>
          </w:tcPr>
          <w:p>
            <w:pPr>
              <w:jc w:val="right"/>
              <w:ind w:right="194"/>
              <w:spacing w:after="0"/>
              <w:rPr>
                <w:sz w:val="20"/>
                <w:szCs w:val="20"/>
                <w:color w:val="auto"/>
              </w:rPr>
            </w:pPr>
            <w:r>
              <w:rPr>
                <w:rFonts w:ascii="Arial" w:cs="Arial" w:eastAsia="Arial" w:hAnsi="Arial"/>
                <w:sz w:val="18"/>
                <w:szCs w:val="18"/>
                <w:color w:val="auto"/>
              </w:rPr>
              <w:t>(1.5)</w:t>
            </w:r>
          </w:p>
        </w:tc>
        <w:tc>
          <w:tcPr>
            <w:tcW w:w="920" w:type="dxa"/>
            <w:vAlign w:val="bottom"/>
            <w:shd w:val="clear" w:color="auto" w:fill="E6E6E6"/>
          </w:tcPr>
          <w:p>
            <w:pPr>
              <w:jc w:val="right"/>
              <w:ind w:right="74"/>
              <w:spacing w:after="0"/>
              <w:rPr>
                <w:sz w:val="20"/>
                <w:szCs w:val="20"/>
                <w:color w:val="auto"/>
              </w:rPr>
            </w:pPr>
            <w:r>
              <w:rPr>
                <w:rFonts w:ascii="Arial" w:cs="Arial" w:eastAsia="Arial" w:hAnsi="Arial"/>
                <w:sz w:val="18"/>
                <w:szCs w:val="18"/>
                <w:color w:val="auto"/>
              </w:rPr>
              <w:t>(0.1)</w:t>
            </w:r>
          </w:p>
        </w:tc>
        <w:tc>
          <w:tcPr>
            <w:tcW w:w="1160" w:type="dxa"/>
            <w:vAlign w:val="bottom"/>
            <w:shd w:val="clear" w:color="auto" w:fill="E6E6E6"/>
          </w:tcPr>
          <w:p>
            <w:pPr>
              <w:jc w:val="right"/>
              <w:ind w:right="194"/>
              <w:spacing w:after="0"/>
              <w:rPr>
                <w:sz w:val="20"/>
                <w:szCs w:val="20"/>
                <w:color w:val="auto"/>
              </w:rPr>
            </w:pPr>
            <w:r>
              <w:rPr>
                <w:rFonts w:ascii="Arial" w:cs="Arial" w:eastAsia="Arial" w:hAnsi="Arial"/>
                <w:sz w:val="18"/>
                <w:szCs w:val="18"/>
                <w:color w:val="auto"/>
              </w:rPr>
              <w:t>(13.5)</w:t>
            </w:r>
          </w:p>
        </w:tc>
        <w:tc>
          <w:tcPr>
            <w:tcW w:w="900" w:type="dxa"/>
            <w:vAlign w:val="bottom"/>
            <w:shd w:val="clear" w:color="auto" w:fill="E6E6E6"/>
          </w:tcPr>
          <w:p>
            <w:pPr>
              <w:jc w:val="right"/>
              <w:ind w:right="54"/>
              <w:spacing w:after="0"/>
              <w:rPr>
                <w:sz w:val="20"/>
                <w:szCs w:val="20"/>
                <w:color w:val="auto"/>
              </w:rPr>
            </w:pPr>
            <w:r>
              <w:rPr>
                <w:rFonts w:ascii="Arial" w:cs="Arial" w:eastAsia="Arial" w:hAnsi="Arial"/>
                <w:sz w:val="18"/>
                <w:szCs w:val="18"/>
                <w:color w:val="auto"/>
              </w:rPr>
              <w:t>(0.7)</w:t>
            </w:r>
          </w:p>
        </w:tc>
        <w:tc>
          <w:tcPr>
            <w:tcW w:w="1120" w:type="dxa"/>
            <w:vAlign w:val="bottom"/>
            <w:shd w:val="clear" w:color="auto" w:fill="E6E6E6"/>
          </w:tcPr>
          <w:p>
            <w:pPr>
              <w:jc w:val="right"/>
              <w:ind w:right="234"/>
              <w:spacing w:after="0"/>
              <w:rPr>
                <w:sz w:val="20"/>
                <w:szCs w:val="20"/>
                <w:color w:val="auto"/>
              </w:rPr>
            </w:pPr>
            <w:r>
              <w:rPr>
                <w:rFonts w:ascii="Arial" w:cs="Arial" w:eastAsia="Arial" w:hAnsi="Arial"/>
                <w:sz w:val="18"/>
                <w:szCs w:val="18"/>
                <w:color w:val="auto"/>
              </w:rPr>
              <w:t>—</w:t>
            </w:r>
          </w:p>
        </w:tc>
        <w:tc>
          <w:tcPr>
            <w:tcW w:w="780" w:type="dxa"/>
            <w:vAlign w:val="bottom"/>
            <w:shd w:val="clear" w:color="auto" w:fill="E6E6E6"/>
          </w:tcPr>
          <w:p>
            <w:pPr>
              <w:jc w:val="right"/>
              <w:ind w:right="14"/>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r>
      <w:tr>
        <w:trPr>
          <w:trHeight w:val="214"/>
        </w:trPr>
        <w:tc>
          <w:tcPr>
            <w:tcW w:w="5160" w:type="dxa"/>
            <w:vAlign w:val="bottom"/>
          </w:tcPr>
          <w:p>
            <w:pPr>
              <w:spacing w:after="0"/>
              <w:rPr>
                <w:sz w:val="20"/>
                <w:szCs w:val="20"/>
                <w:color w:val="auto"/>
              </w:rPr>
            </w:pPr>
            <w:r>
              <w:rPr>
                <w:rFonts w:ascii="Arial" w:cs="Arial" w:eastAsia="Arial" w:hAnsi="Arial"/>
                <w:sz w:val="18"/>
                <w:szCs w:val="18"/>
                <w:color w:val="auto"/>
              </w:rPr>
              <w:t>Earnings from continuing operations before income taxes</w:t>
            </w:r>
          </w:p>
        </w:tc>
        <w:tc>
          <w:tcPr>
            <w:tcW w:w="1380" w:type="dxa"/>
            <w:vAlign w:val="bottom"/>
          </w:tcPr>
          <w:p>
            <w:pPr>
              <w:jc w:val="right"/>
              <w:ind w:right="254"/>
              <w:spacing w:after="0"/>
              <w:rPr>
                <w:sz w:val="20"/>
                <w:szCs w:val="20"/>
                <w:color w:val="auto"/>
              </w:rPr>
            </w:pPr>
            <w:r>
              <w:rPr>
                <w:rFonts w:ascii="Arial" w:cs="Arial" w:eastAsia="Arial" w:hAnsi="Arial"/>
                <w:sz w:val="18"/>
                <w:szCs w:val="18"/>
                <w:color w:val="auto"/>
              </w:rPr>
              <w:t>111.6</w:t>
            </w:r>
          </w:p>
        </w:tc>
        <w:tc>
          <w:tcPr>
            <w:tcW w:w="920" w:type="dxa"/>
            <w:vAlign w:val="bottom"/>
          </w:tcPr>
          <w:p>
            <w:pPr>
              <w:jc w:val="right"/>
              <w:ind w:right="134"/>
              <w:spacing w:after="0"/>
              <w:rPr>
                <w:sz w:val="20"/>
                <w:szCs w:val="20"/>
                <w:color w:val="auto"/>
              </w:rPr>
            </w:pPr>
            <w:r>
              <w:rPr>
                <w:rFonts w:ascii="Arial" w:cs="Arial" w:eastAsia="Arial" w:hAnsi="Arial"/>
                <w:sz w:val="18"/>
                <w:szCs w:val="18"/>
                <w:color w:val="auto"/>
              </w:rPr>
              <w:t>5.8</w:t>
            </w:r>
          </w:p>
        </w:tc>
        <w:tc>
          <w:tcPr>
            <w:tcW w:w="1160" w:type="dxa"/>
            <w:vAlign w:val="bottom"/>
          </w:tcPr>
          <w:p>
            <w:pPr>
              <w:jc w:val="right"/>
              <w:ind w:right="254"/>
              <w:spacing w:after="0"/>
              <w:rPr>
                <w:sz w:val="20"/>
                <w:szCs w:val="20"/>
                <w:color w:val="auto"/>
              </w:rPr>
            </w:pPr>
            <w:r>
              <w:rPr>
                <w:rFonts w:ascii="Arial" w:cs="Arial" w:eastAsia="Arial" w:hAnsi="Arial"/>
                <w:sz w:val="18"/>
                <w:szCs w:val="18"/>
                <w:color w:val="auto"/>
              </w:rPr>
              <w:t>34.6</w:t>
            </w:r>
          </w:p>
        </w:tc>
        <w:tc>
          <w:tcPr>
            <w:tcW w:w="900" w:type="dxa"/>
            <w:vAlign w:val="bottom"/>
          </w:tcPr>
          <w:p>
            <w:pPr>
              <w:jc w:val="right"/>
              <w:ind w:right="114"/>
              <w:spacing w:after="0"/>
              <w:rPr>
                <w:sz w:val="20"/>
                <w:szCs w:val="20"/>
                <w:color w:val="auto"/>
              </w:rPr>
            </w:pPr>
            <w:r>
              <w:rPr>
                <w:rFonts w:ascii="Arial" w:cs="Arial" w:eastAsia="Arial" w:hAnsi="Arial"/>
                <w:sz w:val="18"/>
                <w:szCs w:val="18"/>
                <w:color w:val="auto"/>
              </w:rPr>
              <w:t>1.9</w:t>
            </w:r>
          </w:p>
        </w:tc>
        <w:tc>
          <w:tcPr>
            <w:tcW w:w="1120" w:type="dxa"/>
            <w:vAlign w:val="bottom"/>
          </w:tcPr>
          <w:p>
            <w:pPr>
              <w:jc w:val="right"/>
              <w:ind w:right="234"/>
              <w:spacing w:after="0"/>
              <w:rPr>
                <w:sz w:val="20"/>
                <w:szCs w:val="20"/>
                <w:color w:val="auto"/>
              </w:rPr>
            </w:pPr>
            <w:r>
              <w:rPr>
                <w:rFonts w:ascii="Arial" w:cs="Arial" w:eastAsia="Arial" w:hAnsi="Arial"/>
                <w:sz w:val="18"/>
                <w:szCs w:val="18"/>
                <w:color w:val="auto"/>
              </w:rPr>
              <w:t>186.2</w:t>
            </w: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8.6</w:t>
            </w:r>
          </w:p>
        </w:tc>
        <w:tc>
          <w:tcPr>
            <w:tcW w:w="20" w:type="dxa"/>
            <w:vAlign w:val="bottom"/>
          </w:tcPr>
          <w:p>
            <w:pPr>
              <w:spacing w:after="0"/>
              <w:rPr>
                <w:sz w:val="18"/>
                <w:szCs w:val="18"/>
                <w:color w:val="auto"/>
              </w:rPr>
            </w:pPr>
          </w:p>
        </w:tc>
      </w:tr>
      <w:tr>
        <w:trPr>
          <w:trHeight w:val="137"/>
        </w:trPr>
        <w:tc>
          <w:tcPr>
            <w:tcW w:w="516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03"/>
        </w:trPr>
        <w:tc>
          <w:tcPr>
            <w:tcW w:w="516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Earnings from continuing operations</w:t>
            </w:r>
          </w:p>
        </w:tc>
        <w:tc>
          <w:tcPr>
            <w:tcW w:w="1380" w:type="dxa"/>
            <w:vAlign w:val="bottom"/>
            <w:shd w:val="clear" w:color="auto" w:fill="E6E6E6"/>
          </w:tcPr>
          <w:p>
            <w:pPr>
              <w:jc w:val="right"/>
              <w:ind w:right="254"/>
              <w:spacing w:after="0" w:line="202" w:lineRule="exact"/>
              <w:rPr>
                <w:sz w:val="20"/>
                <w:szCs w:val="20"/>
                <w:color w:val="auto"/>
              </w:rPr>
            </w:pPr>
            <w:r>
              <w:rPr>
                <w:rFonts w:ascii="Arial" w:cs="Arial" w:eastAsia="Arial" w:hAnsi="Arial"/>
                <w:sz w:val="18"/>
                <w:szCs w:val="18"/>
                <w:color w:val="auto"/>
              </w:rPr>
              <w:t>58.7</w:t>
            </w:r>
          </w:p>
        </w:tc>
        <w:tc>
          <w:tcPr>
            <w:tcW w:w="920" w:type="dxa"/>
            <w:vAlign w:val="bottom"/>
            <w:shd w:val="clear" w:color="auto" w:fill="E6E6E6"/>
          </w:tcPr>
          <w:p>
            <w:pPr>
              <w:jc w:val="right"/>
              <w:ind w:right="134"/>
              <w:spacing w:after="0" w:line="202" w:lineRule="exact"/>
              <w:rPr>
                <w:sz w:val="20"/>
                <w:szCs w:val="20"/>
                <w:color w:val="auto"/>
              </w:rPr>
            </w:pPr>
            <w:r>
              <w:rPr>
                <w:rFonts w:ascii="Arial" w:cs="Arial" w:eastAsia="Arial" w:hAnsi="Arial"/>
                <w:sz w:val="18"/>
                <w:szCs w:val="18"/>
                <w:color w:val="auto"/>
              </w:rPr>
              <w:t>3.1</w:t>
            </w:r>
          </w:p>
        </w:tc>
        <w:tc>
          <w:tcPr>
            <w:tcW w:w="1160" w:type="dxa"/>
            <w:vAlign w:val="bottom"/>
            <w:shd w:val="clear" w:color="auto" w:fill="E6E6E6"/>
          </w:tcPr>
          <w:p>
            <w:pPr>
              <w:jc w:val="right"/>
              <w:ind w:right="254"/>
              <w:spacing w:after="0" w:line="202" w:lineRule="exact"/>
              <w:rPr>
                <w:sz w:val="20"/>
                <w:szCs w:val="20"/>
                <w:color w:val="auto"/>
              </w:rPr>
            </w:pPr>
            <w:r>
              <w:rPr>
                <w:rFonts w:ascii="Arial" w:cs="Arial" w:eastAsia="Arial" w:hAnsi="Arial"/>
                <w:sz w:val="18"/>
                <w:szCs w:val="18"/>
                <w:color w:val="auto"/>
              </w:rPr>
              <w:t>13.2</w:t>
            </w:r>
          </w:p>
        </w:tc>
        <w:tc>
          <w:tcPr>
            <w:tcW w:w="900" w:type="dxa"/>
            <w:vAlign w:val="bottom"/>
            <w:shd w:val="clear" w:color="auto" w:fill="E6E6E6"/>
          </w:tcPr>
          <w:p>
            <w:pPr>
              <w:jc w:val="right"/>
              <w:ind w:right="114"/>
              <w:spacing w:after="0" w:line="202" w:lineRule="exact"/>
              <w:rPr>
                <w:sz w:val="20"/>
                <w:szCs w:val="20"/>
                <w:color w:val="auto"/>
              </w:rPr>
            </w:pPr>
            <w:r>
              <w:rPr>
                <w:rFonts w:ascii="Arial" w:cs="Arial" w:eastAsia="Arial" w:hAnsi="Arial"/>
                <w:sz w:val="18"/>
                <w:szCs w:val="18"/>
                <w:color w:val="auto"/>
              </w:rPr>
              <w:t>0.7</w:t>
            </w:r>
          </w:p>
        </w:tc>
        <w:tc>
          <w:tcPr>
            <w:tcW w:w="1120" w:type="dxa"/>
            <w:vAlign w:val="bottom"/>
            <w:shd w:val="clear" w:color="auto" w:fill="E6E6E6"/>
          </w:tcPr>
          <w:p>
            <w:pPr>
              <w:jc w:val="right"/>
              <w:ind w:right="234"/>
              <w:spacing w:after="0" w:line="202" w:lineRule="exact"/>
              <w:rPr>
                <w:sz w:val="20"/>
                <w:szCs w:val="20"/>
                <w:color w:val="auto"/>
              </w:rPr>
            </w:pPr>
            <w:r>
              <w:rPr>
                <w:rFonts w:ascii="Arial" w:cs="Arial" w:eastAsia="Arial" w:hAnsi="Arial"/>
                <w:sz w:val="18"/>
                <w:szCs w:val="18"/>
                <w:color w:val="auto"/>
              </w:rPr>
              <w:t>117.3</w:t>
            </w:r>
          </w:p>
        </w:tc>
        <w:tc>
          <w:tcPr>
            <w:tcW w:w="780" w:type="dxa"/>
            <w:vAlign w:val="bottom"/>
            <w:shd w:val="clear" w:color="auto" w:fill="E6E6E6"/>
          </w:tcPr>
          <w:p>
            <w:pPr>
              <w:jc w:val="right"/>
              <w:ind w:right="14"/>
              <w:spacing w:after="0" w:line="202" w:lineRule="exact"/>
              <w:rPr>
                <w:sz w:val="20"/>
                <w:szCs w:val="20"/>
                <w:color w:val="auto"/>
              </w:rPr>
            </w:pPr>
            <w:r>
              <w:rPr>
                <w:rFonts w:ascii="Arial" w:cs="Arial" w:eastAsia="Arial" w:hAnsi="Arial"/>
                <w:sz w:val="18"/>
                <w:szCs w:val="18"/>
                <w:color w:val="auto"/>
              </w:rPr>
              <w:t>5.4</w:t>
            </w:r>
          </w:p>
        </w:tc>
        <w:tc>
          <w:tcPr>
            <w:tcW w:w="20" w:type="dxa"/>
            <w:vAlign w:val="bottom"/>
          </w:tcPr>
          <w:p>
            <w:pPr>
              <w:spacing w:after="0"/>
              <w:rPr>
                <w:sz w:val="17"/>
                <w:szCs w:val="17"/>
                <w:color w:val="auto"/>
              </w:rPr>
            </w:pPr>
          </w:p>
        </w:tc>
      </w:tr>
      <w:tr>
        <w:trPr>
          <w:trHeight w:val="214"/>
        </w:trPr>
        <w:tc>
          <w:tcPr>
            <w:tcW w:w="5160" w:type="dxa"/>
            <w:vAlign w:val="bottom"/>
          </w:tcPr>
          <w:p>
            <w:pPr>
              <w:spacing w:after="0"/>
              <w:rPr>
                <w:sz w:val="20"/>
                <w:szCs w:val="20"/>
                <w:color w:val="auto"/>
              </w:rPr>
            </w:pPr>
            <w:r>
              <w:rPr>
                <w:rFonts w:ascii="Arial" w:cs="Arial" w:eastAsia="Arial" w:hAnsi="Arial"/>
                <w:sz w:val="18"/>
                <w:szCs w:val="18"/>
                <w:color w:val="auto"/>
              </w:rPr>
              <w:t>Loss from discontinued operations, net of tax</w:t>
            </w:r>
          </w:p>
        </w:tc>
        <w:tc>
          <w:tcPr>
            <w:tcW w:w="1380" w:type="dxa"/>
            <w:vAlign w:val="bottom"/>
          </w:tcPr>
          <w:p>
            <w:pPr>
              <w:jc w:val="right"/>
              <w:ind w:right="194"/>
              <w:spacing w:after="0"/>
              <w:rPr>
                <w:sz w:val="20"/>
                <w:szCs w:val="20"/>
                <w:color w:val="auto"/>
              </w:rPr>
            </w:pPr>
            <w:r>
              <w:rPr>
                <w:rFonts w:ascii="Arial" w:cs="Arial" w:eastAsia="Arial" w:hAnsi="Arial"/>
                <w:sz w:val="18"/>
                <w:szCs w:val="18"/>
                <w:color w:val="auto"/>
              </w:rPr>
              <w:t>(2.6)</w:t>
            </w:r>
          </w:p>
        </w:tc>
        <w:tc>
          <w:tcPr>
            <w:tcW w:w="920" w:type="dxa"/>
            <w:vAlign w:val="bottom"/>
          </w:tcPr>
          <w:p>
            <w:pPr>
              <w:jc w:val="right"/>
              <w:ind w:right="74"/>
              <w:spacing w:after="0"/>
              <w:rPr>
                <w:sz w:val="20"/>
                <w:szCs w:val="20"/>
                <w:color w:val="auto"/>
              </w:rPr>
            </w:pPr>
            <w:r>
              <w:rPr>
                <w:rFonts w:ascii="Arial" w:cs="Arial" w:eastAsia="Arial" w:hAnsi="Arial"/>
                <w:sz w:val="18"/>
                <w:szCs w:val="18"/>
                <w:color w:val="auto"/>
              </w:rPr>
              <w:t>(0.2)</w:t>
            </w:r>
          </w:p>
        </w:tc>
        <w:tc>
          <w:tcPr>
            <w:tcW w:w="1160" w:type="dxa"/>
            <w:vAlign w:val="bottom"/>
          </w:tcPr>
          <w:p>
            <w:pPr>
              <w:jc w:val="right"/>
              <w:ind w:right="194"/>
              <w:spacing w:after="0"/>
              <w:rPr>
                <w:sz w:val="20"/>
                <w:szCs w:val="20"/>
                <w:color w:val="auto"/>
              </w:rPr>
            </w:pPr>
            <w:r>
              <w:rPr>
                <w:rFonts w:ascii="Arial" w:cs="Arial" w:eastAsia="Arial" w:hAnsi="Arial"/>
                <w:sz w:val="18"/>
                <w:szCs w:val="18"/>
                <w:color w:val="auto"/>
              </w:rPr>
              <w:t>(27.5)</w:t>
            </w:r>
          </w:p>
        </w:tc>
        <w:tc>
          <w:tcPr>
            <w:tcW w:w="900" w:type="dxa"/>
            <w:vAlign w:val="bottom"/>
          </w:tcPr>
          <w:p>
            <w:pPr>
              <w:jc w:val="right"/>
              <w:ind w:right="54"/>
              <w:spacing w:after="0"/>
              <w:rPr>
                <w:sz w:val="20"/>
                <w:szCs w:val="20"/>
                <w:color w:val="auto"/>
              </w:rPr>
            </w:pPr>
            <w:r>
              <w:rPr>
                <w:rFonts w:ascii="Arial" w:cs="Arial" w:eastAsia="Arial" w:hAnsi="Arial"/>
                <w:sz w:val="18"/>
                <w:szCs w:val="18"/>
                <w:color w:val="auto"/>
              </w:rPr>
              <w:t>(1.5)</w:t>
            </w:r>
          </w:p>
        </w:tc>
        <w:tc>
          <w:tcPr>
            <w:tcW w:w="1120" w:type="dxa"/>
            <w:vAlign w:val="bottom"/>
          </w:tcPr>
          <w:p>
            <w:pPr>
              <w:jc w:val="right"/>
              <w:ind w:right="174"/>
              <w:spacing w:after="0"/>
              <w:rPr>
                <w:sz w:val="20"/>
                <w:szCs w:val="20"/>
                <w:color w:val="auto"/>
              </w:rPr>
            </w:pPr>
            <w:r>
              <w:rPr>
                <w:rFonts w:ascii="Arial" w:cs="Arial" w:eastAsia="Arial" w:hAnsi="Arial"/>
                <w:sz w:val="18"/>
                <w:szCs w:val="18"/>
                <w:color w:val="auto"/>
              </w:rPr>
              <w:t>(134.5)</w:t>
            </w:r>
          </w:p>
        </w:tc>
        <w:tc>
          <w:tcPr>
            <w:tcW w:w="780" w:type="dxa"/>
            <w:vAlign w:val="bottom"/>
          </w:tcPr>
          <w:p>
            <w:pPr>
              <w:jc w:val="right"/>
              <w:spacing w:after="0"/>
              <w:rPr>
                <w:sz w:val="20"/>
                <w:szCs w:val="20"/>
                <w:color w:val="auto"/>
              </w:rPr>
            </w:pPr>
            <w:r>
              <w:rPr>
                <w:rFonts w:ascii="Arial" w:cs="Arial" w:eastAsia="Arial" w:hAnsi="Arial"/>
                <w:sz w:val="18"/>
                <w:szCs w:val="18"/>
                <w:color w:val="auto"/>
              </w:rPr>
              <w:t>(6.2)</w:t>
            </w:r>
          </w:p>
        </w:tc>
        <w:tc>
          <w:tcPr>
            <w:tcW w:w="20" w:type="dxa"/>
            <w:vAlign w:val="bottom"/>
          </w:tcPr>
          <w:p>
            <w:pPr>
              <w:spacing w:after="0"/>
              <w:rPr>
                <w:sz w:val="18"/>
                <w:szCs w:val="18"/>
                <w:color w:val="auto"/>
              </w:rPr>
            </w:pPr>
          </w:p>
        </w:tc>
      </w:tr>
      <w:tr>
        <w:trPr>
          <w:trHeight w:val="137"/>
        </w:trPr>
        <w:tc>
          <w:tcPr>
            <w:tcW w:w="516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03"/>
        </w:trPr>
        <w:tc>
          <w:tcPr>
            <w:tcW w:w="516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Net income (loss)</w:t>
            </w:r>
          </w:p>
        </w:tc>
        <w:tc>
          <w:tcPr>
            <w:tcW w:w="1380" w:type="dxa"/>
            <w:vAlign w:val="bottom"/>
            <w:shd w:val="clear" w:color="auto" w:fill="E6E6E6"/>
          </w:tcPr>
          <w:p>
            <w:pPr>
              <w:jc w:val="right"/>
              <w:ind w:right="254"/>
              <w:spacing w:after="0" w:line="202" w:lineRule="exact"/>
              <w:rPr>
                <w:sz w:val="20"/>
                <w:szCs w:val="20"/>
                <w:color w:val="auto"/>
              </w:rPr>
            </w:pPr>
            <w:r>
              <w:rPr>
                <w:rFonts w:ascii="Arial" w:cs="Arial" w:eastAsia="Arial" w:hAnsi="Arial"/>
                <w:sz w:val="18"/>
                <w:szCs w:val="18"/>
                <w:color w:val="auto"/>
              </w:rPr>
              <w:t>56.1</w:t>
            </w:r>
          </w:p>
        </w:tc>
        <w:tc>
          <w:tcPr>
            <w:tcW w:w="920" w:type="dxa"/>
            <w:vAlign w:val="bottom"/>
            <w:shd w:val="clear" w:color="auto" w:fill="E6E6E6"/>
          </w:tcPr>
          <w:p>
            <w:pPr>
              <w:jc w:val="right"/>
              <w:ind w:right="134"/>
              <w:spacing w:after="0" w:line="202" w:lineRule="exact"/>
              <w:rPr>
                <w:sz w:val="20"/>
                <w:szCs w:val="20"/>
                <w:color w:val="auto"/>
              </w:rPr>
            </w:pPr>
            <w:r>
              <w:rPr>
                <w:rFonts w:ascii="Arial" w:cs="Arial" w:eastAsia="Arial" w:hAnsi="Arial"/>
                <w:sz w:val="18"/>
                <w:szCs w:val="18"/>
                <w:color w:val="auto"/>
              </w:rPr>
              <w:t>2.9</w:t>
            </w:r>
          </w:p>
        </w:tc>
        <w:tc>
          <w:tcPr>
            <w:tcW w:w="1160" w:type="dxa"/>
            <w:vAlign w:val="bottom"/>
            <w:shd w:val="clear" w:color="auto" w:fill="E6E6E6"/>
          </w:tcPr>
          <w:p>
            <w:pPr>
              <w:jc w:val="right"/>
              <w:ind w:right="194"/>
              <w:spacing w:after="0" w:line="202" w:lineRule="exact"/>
              <w:rPr>
                <w:sz w:val="20"/>
                <w:szCs w:val="20"/>
                <w:color w:val="auto"/>
              </w:rPr>
            </w:pPr>
            <w:r>
              <w:rPr>
                <w:rFonts w:ascii="Arial" w:cs="Arial" w:eastAsia="Arial" w:hAnsi="Arial"/>
                <w:sz w:val="18"/>
                <w:szCs w:val="18"/>
                <w:color w:val="auto"/>
              </w:rPr>
              <w:t>(14.3)</w:t>
            </w:r>
          </w:p>
        </w:tc>
        <w:tc>
          <w:tcPr>
            <w:tcW w:w="900" w:type="dxa"/>
            <w:vAlign w:val="bottom"/>
            <w:shd w:val="clear" w:color="auto" w:fill="E6E6E6"/>
          </w:tcPr>
          <w:p>
            <w:pPr>
              <w:jc w:val="right"/>
              <w:ind w:right="54"/>
              <w:spacing w:after="0" w:line="202" w:lineRule="exact"/>
              <w:rPr>
                <w:sz w:val="20"/>
                <w:szCs w:val="20"/>
                <w:color w:val="auto"/>
              </w:rPr>
            </w:pPr>
            <w:r>
              <w:rPr>
                <w:rFonts w:ascii="Arial" w:cs="Arial" w:eastAsia="Arial" w:hAnsi="Arial"/>
                <w:sz w:val="18"/>
                <w:szCs w:val="18"/>
                <w:color w:val="auto"/>
              </w:rPr>
              <w:t>(0.8)</w:t>
            </w:r>
          </w:p>
        </w:tc>
        <w:tc>
          <w:tcPr>
            <w:tcW w:w="1120" w:type="dxa"/>
            <w:vAlign w:val="bottom"/>
            <w:shd w:val="clear" w:color="auto" w:fill="E6E6E6"/>
          </w:tcPr>
          <w:p>
            <w:pPr>
              <w:jc w:val="right"/>
              <w:ind w:right="174"/>
              <w:spacing w:after="0" w:line="202" w:lineRule="exact"/>
              <w:rPr>
                <w:sz w:val="20"/>
                <w:szCs w:val="20"/>
                <w:color w:val="auto"/>
              </w:rPr>
            </w:pPr>
            <w:r>
              <w:rPr>
                <w:rFonts w:ascii="Arial" w:cs="Arial" w:eastAsia="Arial" w:hAnsi="Arial"/>
                <w:sz w:val="18"/>
                <w:szCs w:val="18"/>
                <w:color w:val="auto"/>
              </w:rPr>
              <w:t>(17.2)</w:t>
            </w:r>
          </w:p>
        </w:tc>
        <w:tc>
          <w:tcPr>
            <w:tcW w:w="78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(0.8)</w:t>
            </w:r>
          </w:p>
        </w:tc>
        <w:tc>
          <w:tcPr>
            <w:tcW w:w="2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-2739390</wp:posOffset>
            </wp:positionV>
            <wp:extent cx="1270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3270250</wp:posOffset>
            </wp:positionH>
            <wp:positionV relativeFrom="paragraph">
              <wp:posOffset>-2739390</wp:posOffset>
            </wp:positionV>
            <wp:extent cx="1270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-2739390</wp:posOffset>
            </wp:positionV>
            <wp:extent cx="1270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3493135</wp:posOffset>
            </wp:positionH>
            <wp:positionV relativeFrom="paragraph">
              <wp:posOffset>-2739390</wp:posOffset>
            </wp:positionV>
            <wp:extent cx="1270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3930650</wp:posOffset>
            </wp:positionH>
            <wp:positionV relativeFrom="paragraph">
              <wp:posOffset>-2739390</wp:posOffset>
            </wp:positionV>
            <wp:extent cx="1270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-2739390</wp:posOffset>
            </wp:positionV>
            <wp:extent cx="1270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4153535</wp:posOffset>
            </wp:positionH>
            <wp:positionV relativeFrom="paragraph">
              <wp:posOffset>-2739390</wp:posOffset>
            </wp:positionV>
            <wp:extent cx="1270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-2739390</wp:posOffset>
            </wp:positionV>
            <wp:extent cx="1270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-2739390</wp:posOffset>
            </wp:positionV>
            <wp:extent cx="1270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-2739390</wp:posOffset>
            </wp:positionV>
            <wp:extent cx="1270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-2739390</wp:posOffset>
            </wp:positionV>
            <wp:extent cx="1270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-2739390</wp:posOffset>
            </wp:positionV>
            <wp:extent cx="1270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-2739390</wp:posOffset>
            </wp:positionV>
            <wp:extent cx="1270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-2739390</wp:posOffset>
            </wp:positionV>
            <wp:extent cx="1270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6049010</wp:posOffset>
            </wp:positionH>
            <wp:positionV relativeFrom="paragraph">
              <wp:posOffset>-2739390</wp:posOffset>
            </wp:positionV>
            <wp:extent cx="1270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6117590</wp:posOffset>
            </wp:positionH>
            <wp:positionV relativeFrom="paragraph">
              <wp:posOffset>-2739390</wp:posOffset>
            </wp:positionV>
            <wp:extent cx="1270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6546215</wp:posOffset>
            </wp:positionH>
            <wp:positionV relativeFrom="paragraph">
              <wp:posOffset>-2739390</wp:posOffset>
            </wp:positionV>
            <wp:extent cx="1270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6683375</wp:posOffset>
            </wp:positionH>
            <wp:positionV relativeFrom="paragraph">
              <wp:posOffset>-2739390</wp:posOffset>
            </wp:positionV>
            <wp:extent cx="1270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-2739390</wp:posOffset>
            </wp:positionV>
            <wp:extent cx="1270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-2739390</wp:posOffset>
            </wp:positionV>
            <wp:extent cx="1270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-2739390</wp:posOffset>
            </wp:positionV>
            <wp:extent cx="1270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160" w:type="dxa"/>
            <w:vAlign w:val="bottom"/>
          </w:tcPr>
          <w:p>
            <w:pPr>
              <w:spacing w:after="0"/>
              <w:rPr>
                <w:sz w:val="20"/>
                <w:szCs w:val="20"/>
                <w:color w:val="auto"/>
              </w:rPr>
            </w:pPr>
            <w:r>
              <w:rPr>
                <w:rFonts w:ascii="Arial" w:cs="Arial" w:eastAsia="Arial" w:hAnsi="Arial"/>
                <w:sz w:val="18"/>
                <w:szCs w:val="18"/>
                <w:color w:val="auto"/>
              </w:rPr>
              <w:t>Earnings (loss) per share:</w:t>
            </w: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3"/>
        </w:trPr>
        <w:tc>
          <w:tcPr>
            <w:tcW w:w="5160" w:type="dxa"/>
            <w:vAlign w:val="bottom"/>
            <w:shd w:val="clear" w:color="auto" w:fill="E6E6E6"/>
          </w:tcPr>
          <w:p>
            <w:pPr>
              <w:ind w:left="160"/>
              <w:spacing w:after="0" w:line="202" w:lineRule="exact"/>
              <w:rPr>
                <w:sz w:val="20"/>
                <w:szCs w:val="20"/>
                <w:color w:val="auto"/>
              </w:rPr>
            </w:pPr>
            <w:r>
              <w:rPr>
                <w:rFonts w:ascii="Arial" w:cs="Arial" w:eastAsia="Arial" w:hAnsi="Arial"/>
                <w:sz w:val="18"/>
                <w:szCs w:val="18"/>
                <w:color w:val="auto"/>
              </w:rPr>
              <w:t>Basic:</w:t>
            </w:r>
          </w:p>
        </w:tc>
        <w:tc>
          <w:tcPr>
            <w:tcW w:w="340" w:type="dxa"/>
            <w:vAlign w:val="bottom"/>
            <w:shd w:val="clear" w:color="auto" w:fill="E6E6E6"/>
          </w:tcPr>
          <w:p>
            <w:pPr>
              <w:spacing w:after="0"/>
              <w:rPr>
                <w:sz w:val="17"/>
                <w:szCs w:val="17"/>
                <w:color w:val="auto"/>
              </w:rPr>
            </w:pPr>
          </w:p>
        </w:tc>
        <w:tc>
          <w:tcPr>
            <w:tcW w:w="920" w:type="dxa"/>
            <w:vAlign w:val="bottom"/>
            <w:shd w:val="clear" w:color="auto" w:fill="E6E6E6"/>
          </w:tcPr>
          <w:p>
            <w:pPr>
              <w:spacing w:after="0"/>
              <w:rPr>
                <w:sz w:val="17"/>
                <w:szCs w:val="17"/>
                <w:color w:val="auto"/>
              </w:rPr>
            </w:pPr>
          </w:p>
        </w:tc>
        <w:tc>
          <w:tcPr>
            <w:tcW w:w="1160" w:type="dxa"/>
            <w:vAlign w:val="bottom"/>
            <w:shd w:val="clear" w:color="auto" w:fill="E6E6E6"/>
          </w:tcPr>
          <w:p>
            <w:pPr>
              <w:spacing w:after="0"/>
              <w:rPr>
                <w:sz w:val="17"/>
                <w:szCs w:val="17"/>
                <w:color w:val="auto"/>
              </w:rPr>
            </w:pPr>
          </w:p>
        </w:tc>
        <w:tc>
          <w:tcPr>
            <w:tcW w:w="920" w:type="dxa"/>
            <w:vAlign w:val="bottom"/>
            <w:shd w:val="clear" w:color="auto" w:fill="E6E6E6"/>
          </w:tcPr>
          <w:p>
            <w:pPr>
              <w:spacing w:after="0"/>
              <w:rPr>
                <w:sz w:val="17"/>
                <w:szCs w:val="17"/>
                <w:color w:val="auto"/>
              </w:rPr>
            </w:pPr>
          </w:p>
        </w:tc>
        <w:tc>
          <w:tcPr>
            <w:tcW w:w="1140" w:type="dxa"/>
            <w:vAlign w:val="bottom"/>
            <w:shd w:val="clear" w:color="auto" w:fill="E6E6E6"/>
          </w:tcPr>
          <w:p>
            <w:pPr>
              <w:spacing w:after="0"/>
              <w:rPr>
                <w:sz w:val="17"/>
                <w:szCs w:val="17"/>
                <w:color w:val="auto"/>
              </w:rPr>
            </w:pPr>
          </w:p>
        </w:tc>
        <w:tc>
          <w:tcPr>
            <w:tcW w:w="1780" w:type="dxa"/>
            <w:vAlign w:val="bottom"/>
            <w:shd w:val="clear" w:color="auto" w:fill="E6E6E6"/>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5160" w:type="dxa"/>
            <w:vAlign w:val="bottom"/>
          </w:tcPr>
          <w:p>
            <w:pPr>
              <w:ind w:left="320"/>
              <w:spacing w:after="0" w:line="202" w:lineRule="exact"/>
              <w:rPr>
                <w:sz w:val="20"/>
                <w:szCs w:val="20"/>
                <w:color w:val="auto"/>
              </w:rPr>
            </w:pPr>
            <w:r>
              <w:rPr>
                <w:rFonts w:ascii="Arial" w:cs="Arial" w:eastAsia="Arial" w:hAnsi="Arial"/>
                <w:sz w:val="18"/>
                <w:szCs w:val="18"/>
                <w:color w:val="auto"/>
              </w:rPr>
              <w:t>Earnings from continuing operations</w:t>
            </w:r>
          </w:p>
        </w:tc>
        <w:tc>
          <w:tcPr>
            <w:tcW w:w="3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1.61</w:t>
            </w: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0.35</w:t>
            </w: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780" w:type="dxa"/>
            <w:vAlign w:val="bottom"/>
          </w:tcPr>
          <w:p>
            <w:pPr>
              <w:jc w:val="right"/>
              <w:ind w:right="1012"/>
              <w:spacing w:after="0" w:line="202" w:lineRule="exact"/>
              <w:rPr>
                <w:sz w:val="20"/>
                <w:szCs w:val="20"/>
                <w:color w:val="auto"/>
              </w:rPr>
            </w:pPr>
            <w:r>
              <w:rPr>
                <w:rFonts w:ascii="Arial" w:cs="Arial" w:eastAsia="Arial" w:hAnsi="Arial"/>
                <w:sz w:val="18"/>
                <w:szCs w:val="18"/>
                <w:color w:val="auto"/>
              </w:rPr>
              <w:t>3.03</w:t>
            </w:r>
          </w:p>
        </w:tc>
        <w:tc>
          <w:tcPr>
            <w:tcW w:w="20" w:type="dxa"/>
            <w:vAlign w:val="bottom"/>
          </w:tcPr>
          <w:p>
            <w:pPr>
              <w:spacing w:after="0"/>
              <w:rPr>
                <w:sz w:val="17"/>
                <w:szCs w:val="17"/>
                <w:color w:val="auto"/>
              </w:rPr>
            </w:pPr>
          </w:p>
        </w:tc>
      </w:tr>
      <w:tr>
        <w:trPr>
          <w:trHeight w:val="203"/>
        </w:trPr>
        <w:tc>
          <w:tcPr>
            <w:tcW w:w="5160" w:type="dxa"/>
            <w:vAlign w:val="bottom"/>
            <w:shd w:val="clear" w:color="auto" w:fill="E6E6E6"/>
          </w:tcPr>
          <w:p>
            <w:pPr>
              <w:ind w:left="320"/>
              <w:spacing w:after="0" w:line="202" w:lineRule="exact"/>
              <w:rPr>
                <w:sz w:val="20"/>
                <w:szCs w:val="20"/>
                <w:color w:val="auto"/>
              </w:rPr>
            </w:pPr>
            <w:r>
              <w:rPr>
                <w:rFonts w:ascii="Arial" w:cs="Arial" w:eastAsia="Arial" w:hAnsi="Arial"/>
                <w:sz w:val="18"/>
                <w:szCs w:val="18"/>
                <w:color w:val="auto"/>
              </w:rPr>
              <w:t>Loss from discontinued operations</w:t>
            </w:r>
          </w:p>
        </w:tc>
        <w:tc>
          <w:tcPr>
            <w:tcW w:w="34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shd w:val="clear" w:color="auto" w:fill="E6E6E6"/>
          </w:tcPr>
          <w:p>
            <w:pPr>
              <w:jc w:val="right"/>
              <w:ind w:right="72"/>
              <w:spacing w:after="0" w:line="202" w:lineRule="exact"/>
              <w:rPr>
                <w:sz w:val="20"/>
                <w:szCs w:val="20"/>
                <w:color w:val="auto"/>
              </w:rPr>
            </w:pPr>
            <w:r>
              <w:rPr>
                <w:rFonts w:ascii="Arial" w:cs="Arial" w:eastAsia="Arial" w:hAnsi="Arial"/>
                <w:sz w:val="18"/>
                <w:szCs w:val="18"/>
                <w:color w:val="auto"/>
              </w:rPr>
              <w:t>(0.07)</w:t>
            </w:r>
          </w:p>
        </w:tc>
        <w:tc>
          <w:tcPr>
            <w:tcW w:w="116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shd w:val="clear" w:color="auto" w:fill="E6E6E6"/>
          </w:tcPr>
          <w:p>
            <w:pPr>
              <w:jc w:val="right"/>
              <w:ind w:right="72"/>
              <w:spacing w:after="0" w:line="202" w:lineRule="exact"/>
              <w:rPr>
                <w:sz w:val="20"/>
                <w:szCs w:val="20"/>
                <w:color w:val="auto"/>
              </w:rPr>
            </w:pPr>
            <w:r>
              <w:rPr>
                <w:rFonts w:ascii="Arial" w:cs="Arial" w:eastAsia="Arial" w:hAnsi="Arial"/>
                <w:sz w:val="18"/>
                <w:szCs w:val="18"/>
                <w:color w:val="auto"/>
              </w:rPr>
              <w:t>(0.74)</w:t>
            </w:r>
          </w:p>
        </w:tc>
        <w:tc>
          <w:tcPr>
            <w:tcW w:w="114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w:t>
            </w:r>
          </w:p>
        </w:tc>
        <w:tc>
          <w:tcPr>
            <w:tcW w:w="1780" w:type="dxa"/>
            <w:vAlign w:val="bottom"/>
            <w:shd w:val="clear" w:color="auto" w:fill="E6E6E6"/>
          </w:tcPr>
          <w:p>
            <w:pPr>
              <w:jc w:val="right"/>
              <w:ind w:right="952"/>
              <w:spacing w:after="0" w:line="202" w:lineRule="exact"/>
              <w:rPr>
                <w:sz w:val="20"/>
                <w:szCs w:val="20"/>
                <w:color w:val="auto"/>
              </w:rPr>
            </w:pPr>
            <w:r>
              <w:rPr>
                <w:rFonts w:ascii="Arial" w:cs="Arial" w:eastAsia="Arial" w:hAnsi="Arial"/>
                <w:sz w:val="18"/>
                <w:szCs w:val="18"/>
                <w:color w:val="auto"/>
              </w:rPr>
              <w:t>(3.47)</w:t>
            </w:r>
          </w:p>
        </w:tc>
        <w:tc>
          <w:tcPr>
            <w:tcW w:w="20" w:type="dxa"/>
            <w:vAlign w:val="bottom"/>
          </w:tcPr>
          <w:p>
            <w:pPr>
              <w:spacing w:after="0"/>
              <w:rPr>
                <w:sz w:val="17"/>
                <w:szCs w:val="17"/>
                <w:color w:val="auto"/>
              </w:rPr>
            </w:pPr>
          </w:p>
        </w:tc>
      </w:tr>
      <w:tr>
        <w:trPr>
          <w:trHeight w:val="203"/>
        </w:trPr>
        <w:tc>
          <w:tcPr>
            <w:tcW w:w="5160" w:type="dxa"/>
            <w:vAlign w:val="bottom"/>
          </w:tcPr>
          <w:p>
            <w:pPr>
              <w:ind w:left="320"/>
              <w:spacing w:after="0" w:line="202" w:lineRule="exact"/>
              <w:rPr>
                <w:sz w:val="20"/>
                <w:szCs w:val="20"/>
                <w:color w:val="auto"/>
              </w:rPr>
            </w:pPr>
            <w:r>
              <w:rPr>
                <w:rFonts w:ascii="Arial" w:cs="Arial" w:eastAsia="Arial" w:hAnsi="Arial"/>
                <w:sz w:val="18"/>
                <w:szCs w:val="18"/>
                <w:color w:val="auto"/>
              </w:rPr>
              <w:t>Net income (loss)</w:t>
            </w:r>
          </w:p>
        </w:tc>
        <w:tc>
          <w:tcPr>
            <w:tcW w:w="3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1.54</w:t>
            </w: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72"/>
              <w:spacing w:after="0" w:line="202" w:lineRule="exact"/>
              <w:rPr>
                <w:sz w:val="20"/>
                <w:szCs w:val="20"/>
                <w:color w:val="auto"/>
              </w:rPr>
            </w:pPr>
            <w:r>
              <w:rPr>
                <w:rFonts w:ascii="Arial" w:cs="Arial" w:eastAsia="Arial" w:hAnsi="Arial"/>
                <w:sz w:val="18"/>
                <w:szCs w:val="18"/>
                <w:color w:val="auto"/>
              </w:rPr>
              <w:t>(0.39)</w:t>
            </w: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780" w:type="dxa"/>
            <w:vAlign w:val="bottom"/>
          </w:tcPr>
          <w:p>
            <w:pPr>
              <w:jc w:val="right"/>
              <w:ind w:right="952"/>
              <w:spacing w:after="0" w:line="202" w:lineRule="exact"/>
              <w:rPr>
                <w:sz w:val="20"/>
                <w:szCs w:val="20"/>
                <w:color w:val="auto"/>
              </w:rPr>
            </w:pPr>
            <w:r>
              <w:rPr>
                <w:rFonts w:ascii="Arial" w:cs="Arial" w:eastAsia="Arial" w:hAnsi="Arial"/>
                <w:sz w:val="18"/>
                <w:szCs w:val="18"/>
                <w:color w:val="auto"/>
              </w:rPr>
              <w:t>(0.44)</w:t>
            </w:r>
          </w:p>
        </w:tc>
        <w:tc>
          <w:tcPr>
            <w:tcW w:w="20" w:type="dxa"/>
            <w:vAlign w:val="bottom"/>
          </w:tcPr>
          <w:p>
            <w:pPr>
              <w:spacing w:after="0"/>
              <w:rPr>
                <w:sz w:val="17"/>
                <w:szCs w:val="17"/>
                <w:color w:val="auto"/>
              </w:rPr>
            </w:pPr>
          </w:p>
        </w:tc>
      </w:tr>
      <w:tr>
        <w:trPr>
          <w:trHeight w:val="203"/>
        </w:trPr>
        <w:tc>
          <w:tcPr>
            <w:tcW w:w="5160" w:type="dxa"/>
            <w:vAlign w:val="bottom"/>
            <w:shd w:val="clear" w:color="auto" w:fill="E6E6E6"/>
          </w:tcPr>
          <w:p>
            <w:pPr>
              <w:ind w:left="160"/>
              <w:spacing w:after="0" w:line="202" w:lineRule="exact"/>
              <w:rPr>
                <w:sz w:val="20"/>
                <w:szCs w:val="20"/>
                <w:color w:val="auto"/>
              </w:rPr>
            </w:pPr>
            <w:r>
              <w:rPr>
                <w:rFonts w:ascii="Arial" w:cs="Arial" w:eastAsia="Arial" w:hAnsi="Arial"/>
                <w:sz w:val="18"/>
                <w:szCs w:val="18"/>
                <w:color w:val="auto"/>
              </w:rPr>
              <w:t>Diluted:</w:t>
            </w:r>
          </w:p>
        </w:tc>
        <w:tc>
          <w:tcPr>
            <w:tcW w:w="340" w:type="dxa"/>
            <w:vAlign w:val="bottom"/>
            <w:shd w:val="clear" w:color="auto" w:fill="E6E6E6"/>
          </w:tcPr>
          <w:p>
            <w:pPr>
              <w:spacing w:after="0"/>
              <w:rPr>
                <w:sz w:val="17"/>
                <w:szCs w:val="17"/>
                <w:color w:val="auto"/>
              </w:rPr>
            </w:pPr>
          </w:p>
        </w:tc>
        <w:tc>
          <w:tcPr>
            <w:tcW w:w="920" w:type="dxa"/>
            <w:vAlign w:val="bottom"/>
            <w:shd w:val="clear" w:color="auto" w:fill="E6E6E6"/>
          </w:tcPr>
          <w:p>
            <w:pPr>
              <w:spacing w:after="0"/>
              <w:rPr>
                <w:sz w:val="17"/>
                <w:szCs w:val="17"/>
                <w:color w:val="auto"/>
              </w:rPr>
            </w:pPr>
          </w:p>
        </w:tc>
        <w:tc>
          <w:tcPr>
            <w:tcW w:w="1160" w:type="dxa"/>
            <w:vAlign w:val="bottom"/>
            <w:shd w:val="clear" w:color="auto" w:fill="E6E6E6"/>
          </w:tcPr>
          <w:p>
            <w:pPr>
              <w:spacing w:after="0"/>
              <w:rPr>
                <w:sz w:val="17"/>
                <w:szCs w:val="17"/>
                <w:color w:val="auto"/>
              </w:rPr>
            </w:pPr>
          </w:p>
        </w:tc>
        <w:tc>
          <w:tcPr>
            <w:tcW w:w="920" w:type="dxa"/>
            <w:vAlign w:val="bottom"/>
            <w:shd w:val="clear" w:color="auto" w:fill="E6E6E6"/>
          </w:tcPr>
          <w:p>
            <w:pPr>
              <w:spacing w:after="0"/>
              <w:rPr>
                <w:sz w:val="17"/>
                <w:szCs w:val="17"/>
                <w:color w:val="auto"/>
              </w:rPr>
            </w:pPr>
          </w:p>
        </w:tc>
        <w:tc>
          <w:tcPr>
            <w:tcW w:w="1140" w:type="dxa"/>
            <w:vAlign w:val="bottom"/>
            <w:shd w:val="clear" w:color="auto" w:fill="E6E6E6"/>
          </w:tcPr>
          <w:p>
            <w:pPr>
              <w:spacing w:after="0"/>
              <w:rPr>
                <w:sz w:val="17"/>
                <w:szCs w:val="17"/>
                <w:color w:val="auto"/>
              </w:rPr>
            </w:pPr>
          </w:p>
        </w:tc>
        <w:tc>
          <w:tcPr>
            <w:tcW w:w="1780" w:type="dxa"/>
            <w:vAlign w:val="bottom"/>
            <w:shd w:val="clear" w:color="auto" w:fill="E6E6E6"/>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5160" w:type="dxa"/>
            <w:vAlign w:val="bottom"/>
          </w:tcPr>
          <w:p>
            <w:pPr>
              <w:ind w:left="320"/>
              <w:spacing w:after="0" w:line="202" w:lineRule="exact"/>
              <w:rPr>
                <w:sz w:val="20"/>
                <w:szCs w:val="20"/>
                <w:color w:val="auto"/>
              </w:rPr>
            </w:pPr>
            <w:r>
              <w:rPr>
                <w:rFonts w:ascii="Arial" w:cs="Arial" w:eastAsia="Arial" w:hAnsi="Arial"/>
                <w:sz w:val="18"/>
                <w:szCs w:val="18"/>
                <w:color w:val="auto"/>
              </w:rPr>
              <w:t>Earnings from continuing operations</w:t>
            </w:r>
          </w:p>
        </w:tc>
        <w:tc>
          <w:tcPr>
            <w:tcW w:w="3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1.59</w:t>
            </w: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0.35</w:t>
            </w: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780" w:type="dxa"/>
            <w:vAlign w:val="bottom"/>
          </w:tcPr>
          <w:p>
            <w:pPr>
              <w:jc w:val="right"/>
              <w:ind w:right="1012"/>
              <w:spacing w:after="0" w:line="202" w:lineRule="exact"/>
              <w:rPr>
                <w:sz w:val="20"/>
                <w:szCs w:val="20"/>
                <w:color w:val="auto"/>
              </w:rPr>
            </w:pPr>
            <w:r>
              <w:rPr>
                <w:rFonts w:ascii="Arial" w:cs="Arial" w:eastAsia="Arial" w:hAnsi="Arial"/>
                <w:sz w:val="18"/>
                <w:szCs w:val="18"/>
                <w:color w:val="auto"/>
              </w:rPr>
              <w:t>2.99</w:t>
            </w:r>
          </w:p>
        </w:tc>
        <w:tc>
          <w:tcPr>
            <w:tcW w:w="20" w:type="dxa"/>
            <w:vAlign w:val="bottom"/>
          </w:tcPr>
          <w:p>
            <w:pPr>
              <w:spacing w:after="0"/>
              <w:rPr>
                <w:sz w:val="17"/>
                <w:szCs w:val="17"/>
                <w:color w:val="auto"/>
              </w:rPr>
            </w:pPr>
          </w:p>
        </w:tc>
      </w:tr>
      <w:tr>
        <w:trPr>
          <w:trHeight w:val="203"/>
        </w:trPr>
        <w:tc>
          <w:tcPr>
            <w:tcW w:w="5160" w:type="dxa"/>
            <w:vAlign w:val="bottom"/>
            <w:shd w:val="clear" w:color="auto" w:fill="E6E6E6"/>
          </w:tcPr>
          <w:p>
            <w:pPr>
              <w:ind w:left="320"/>
              <w:spacing w:after="0" w:line="202" w:lineRule="exact"/>
              <w:rPr>
                <w:sz w:val="20"/>
                <w:szCs w:val="20"/>
                <w:color w:val="auto"/>
              </w:rPr>
            </w:pPr>
            <w:r>
              <w:rPr>
                <w:rFonts w:ascii="Arial" w:cs="Arial" w:eastAsia="Arial" w:hAnsi="Arial"/>
                <w:sz w:val="18"/>
                <w:szCs w:val="18"/>
                <w:color w:val="auto"/>
              </w:rPr>
              <w:t>Loss from discontinued operations</w:t>
            </w:r>
          </w:p>
        </w:tc>
        <w:tc>
          <w:tcPr>
            <w:tcW w:w="34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shd w:val="clear" w:color="auto" w:fill="E6E6E6"/>
          </w:tcPr>
          <w:p>
            <w:pPr>
              <w:jc w:val="right"/>
              <w:ind w:right="72"/>
              <w:spacing w:after="0" w:line="202" w:lineRule="exact"/>
              <w:rPr>
                <w:sz w:val="20"/>
                <w:szCs w:val="20"/>
                <w:color w:val="auto"/>
              </w:rPr>
            </w:pPr>
            <w:r>
              <w:rPr>
                <w:rFonts w:ascii="Arial" w:cs="Arial" w:eastAsia="Arial" w:hAnsi="Arial"/>
                <w:sz w:val="18"/>
                <w:szCs w:val="18"/>
                <w:color w:val="auto"/>
              </w:rPr>
              <w:t>(0.07)</w:t>
            </w:r>
          </w:p>
        </w:tc>
        <w:tc>
          <w:tcPr>
            <w:tcW w:w="116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shd w:val="clear" w:color="auto" w:fill="E6E6E6"/>
          </w:tcPr>
          <w:p>
            <w:pPr>
              <w:jc w:val="right"/>
              <w:ind w:right="72"/>
              <w:spacing w:after="0" w:line="202" w:lineRule="exact"/>
              <w:rPr>
                <w:sz w:val="20"/>
                <w:szCs w:val="20"/>
                <w:color w:val="auto"/>
              </w:rPr>
            </w:pPr>
            <w:r>
              <w:rPr>
                <w:rFonts w:ascii="Arial" w:cs="Arial" w:eastAsia="Arial" w:hAnsi="Arial"/>
                <w:sz w:val="18"/>
                <w:szCs w:val="18"/>
                <w:color w:val="auto"/>
              </w:rPr>
              <w:t>(0.73)</w:t>
            </w:r>
          </w:p>
        </w:tc>
        <w:tc>
          <w:tcPr>
            <w:tcW w:w="114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w:t>
            </w:r>
          </w:p>
        </w:tc>
        <w:tc>
          <w:tcPr>
            <w:tcW w:w="1780" w:type="dxa"/>
            <w:vAlign w:val="bottom"/>
            <w:shd w:val="clear" w:color="auto" w:fill="E6E6E6"/>
          </w:tcPr>
          <w:p>
            <w:pPr>
              <w:jc w:val="right"/>
              <w:ind w:right="952"/>
              <w:spacing w:after="0" w:line="202" w:lineRule="exact"/>
              <w:rPr>
                <w:sz w:val="20"/>
                <w:szCs w:val="20"/>
                <w:color w:val="auto"/>
              </w:rPr>
            </w:pPr>
            <w:r>
              <w:rPr>
                <w:rFonts w:ascii="Arial" w:cs="Arial" w:eastAsia="Arial" w:hAnsi="Arial"/>
                <w:sz w:val="18"/>
                <w:szCs w:val="18"/>
                <w:color w:val="auto"/>
              </w:rPr>
              <w:t>(3.43)</w:t>
            </w:r>
          </w:p>
        </w:tc>
        <w:tc>
          <w:tcPr>
            <w:tcW w:w="20" w:type="dxa"/>
            <w:vAlign w:val="bottom"/>
          </w:tcPr>
          <w:p>
            <w:pPr>
              <w:spacing w:after="0"/>
              <w:rPr>
                <w:sz w:val="17"/>
                <w:szCs w:val="17"/>
                <w:color w:val="auto"/>
              </w:rPr>
            </w:pPr>
          </w:p>
        </w:tc>
      </w:tr>
      <w:tr>
        <w:trPr>
          <w:trHeight w:val="214"/>
        </w:trPr>
        <w:tc>
          <w:tcPr>
            <w:tcW w:w="5160" w:type="dxa"/>
            <w:vAlign w:val="bottom"/>
          </w:tcPr>
          <w:p>
            <w:pPr>
              <w:ind w:left="320"/>
              <w:spacing w:after="0"/>
              <w:rPr>
                <w:sz w:val="20"/>
                <w:szCs w:val="20"/>
                <w:color w:val="auto"/>
              </w:rPr>
            </w:pPr>
            <w:r>
              <w:rPr>
                <w:rFonts w:ascii="Arial" w:cs="Arial" w:eastAsia="Arial" w:hAnsi="Arial"/>
                <w:sz w:val="18"/>
                <w:szCs w:val="18"/>
                <w:color w:val="auto"/>
              </w:rPr>
              <w:t>Net income (loss)</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32"/>
              <w:spacing w:after="0"/>
              <w:rPr>
                <w:sz w:val="20"/>
                <w:szCs w:val="20"/>
                <w:color w:val="auto"/>
              </w:rPr>
            </w:pPr>
            <w:r>
              <w:rPr>
                <w:rFonts w:ascii="Arial" w:cs="Arial" w:eastAsia="Arial" w:hAnsi="Arial"/>
                <w:sz w:val="18"/>
                <w:szCs w:val="18"/>
                <w:color w:val="auto"/>
              </w:rPr>
              <w:t>1.52</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72"/>
              <w:spacing w:after="0"/>
              <w:rPr>
                <w:sz w:val="20"/>
                <w:szCs w:val="20"/>
                <w:color w:val="auto"/>
              </w:rPr>
            </w:pPr>
            <w:r>
              <w:rPr>
                <w:rFonts w:ascii="Arial" w:cs="Arial" w:eastAsia="Arial" w:hAnsi="Arial"/>
                <w:sz w:val="18"/>
                <w:szCs w:val="18"/>
                <w:color w:val="auto"/>
              </w:rPr>
              <w:t>(0.38)</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780" w:type="dxa"/>
            <w:vAlign w:val="bottom"/>
          </w:tcPr>
          <w:p>
            <w:pPr>
              <w:jc w:val="right"/>
              <w:ind w:right="952"/>
              <w:spacing w:after="0"/>
              <w:rPr>
                <w:sz w:val="20"/>
                <w:szCs w:val="20"/>
                <w:color w:val="auto"/>
              </w:rPr>
            </w:pPr>
            <w:r>
              <w:rPr>
                <w:rFonts w:ascii="Arial" w:cs="Arial" w:eastAsia="Arial" w:hAnsi="Arial"/>
                <w:sz w:val="18"/>
                <w:szCs w:val="18"/>
                <w:color w:val="auto"/>
              </w:rPr>
              <w:t>(0.44)</w:t>
            </w:r>
          </w:p>
        </w:tc>
        <w:tc>
          <w:tcPr>
            <w:tcW w:w="20" w:type="dxa"/>
            <w:vAlign w:val="bottom"/>
          </w:tcPr>
          <w:p>
            <w:pPr>
              <w:spacing w:after="0"/>
              <w:rPr>
                <w:sz w:val="18"/>
                <w:szCs w:val="18"/>
                <w:color w:val="auto"/>
              </w:rPr>
            </w:pPr>
          </w:p>
        </w:tc>
      </w:tr>
      <w:tr>
        <w:trPr>
          <w:trHeight w:val="107"/>
        </w:trPr>
        <w:tc>
          <w:tcPr>
            <w:tcW w:w="516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178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3270250</wp:posOffset>
            </wp:positionH>
            <wp:positionV relativeFrom="paragraph">
              <wp:posOffset>-14605</wp:posOffset>
            </wp:positionV>
            <wp:extent cx="1270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-14605</wp:posOffset>
            </wp:positionV>
            <wp:extent cx="1270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3493135</wp:posOffset>
            </wp:positionH>
            <wp:positionV relativeFrom="paragraph">
              <wp:posOffset>-14605</wp:posOffset>
            </wp:positionV>
            <wp:extent cx="1270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3930650</wp:posOffset>
            </wp:positionH>
            <wp:positionV relativeFrom="paragraph">
              <wp:posOffset>-14605</wp:posOffset>
            </wp:positionV>
            <wp:extent cx="1270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-14605</wp:posOffset>
            </wp:positionV>
            <wp:extent cx="1270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4153535</wp:posOffset>
            </wp:positionH>
            <wp:positionV relativeFrom="paragraph">
              <wp:posOffset>-14605</wp:posOffset>
            </wp:positionV>
            <wp:extent cx="1270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-14605</wp:posOffset>
            </wp:positionV>
            <wp:extent cx="1270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-14605</wp:posOffset>
            </wp:positionV>
            <wp:extent cx="1270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-14605</wp:posOffset>
            </wp:positionV>
            <wp:extent cx="1270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-14605</wp:posOffset>
            </wp:positionV>
            <wp:extent cx="1270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-14605</wp:posOffset>
            </wp:positionV>
            <wp:extent cx="1270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-14605</wp:posOffset>
            </wp:positionV>
            <wp:extent cx="1270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-14605</wp:posOffset>
            </wp:positionV>
            <wp:extent cx="1270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6049010</wp:posOffset>
            </wp:positionH>
            <wp:positionV relativeFrom="paragraph">
              <wp:posOffset>-14605</wp:posOffset>
            </wp:positionV>
            <wp:extent cx="1270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6117590</wp:posOffset>
            </wp:positionH>
            <wp:positionV relativeFrom="paragraph">
              <wp:posOffset>-14605</wp:posOffset>
            </wp:positionV>
            <wp:extent cx="1270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6546215</wp:posOffset>
            </wp:positionH>
            <wp:positionV relativeFrom="paragraph">
              <wp:posOffset>-14605</wp:posOffset>
            </wp:positionV>
            <wp:extent cx="1270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6683375</wp:posOffset>
            </wp:positionH>
            <wp:positionV relativeFrom="paragraph">
              <wp:posOffset>-14605</wp:posOffset>
            </wp:positionV>
            <wp:extent cx="1270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-14605</wp:posOffset>
            </wp:positionV>
            <wp:extent cx="1270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-14605</wp:posOffset>
            </wp:positionV>
            <wp:extent cx="1270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41"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4"/>
          <w:szCs w:val="14"/>
          <w:color w:val="auto"/>
        </w:rPr>
      </w:pPr>
      <w:r>
        <w:rPr>
          <w:rFonts w:ascii="Arial" w:cs="Arial" w:eastAsia="Arial" w:hAnsi="Arial"/>
          <w:sz w:val="14"/>
          <w:szCs w:val="14"/>
          <w:color w:val="auto"/>
        </w:rPr>
        <w:t>Represents percentage of total revenues.</w:t>
      </w:r>
    </w:p>
    <w:p>
      <w:pPr>
        <w:spacing w:after="0" w:line="136" w:lineRule="exact"/>
        <w:rPr>
          <w:rFonts w:ascii="Arial" w:cs="Arial" w:eastAsia="Arial" w:hAnsi="Arial"/>
          <w:sz w:val="14"/>
          <w:szCs w:val="14"/>
          <w:color w:val="auto"/>
        </w:rPr>
      </w:pPr>
    </w:p>
    <w:p>
      <w:pPr>
        <w:ind w:left="460" w:hanging="452"/>
        <w:spacing w:after="0"/>
        <w:tabs>
          <w:tab w:leader="none" w:pos="460" w:val="left"/>
        </w:tabs>
        <w:numPr>
          <w:ilvl w:val="0"/>
          <w:numId w:val="5"/>
        </w:numPr>
        <w:rPr>
          <w:rFonts w:ascii="Arial" w:cs="Arial" w:eastAsia="Arial" w:hAnsi="Arial"/>
          <w:sz w:val="14"/>
          <w:szCs w:val="14"/>
          <w:color w:val="auto"/>
        </w:rPr>
      </w:pPr>
      <w:r>
        <w:rPr>
          <w:rFonts w:ascii="Arial" w:cs="Arial" w:eastAsia="Arial" w:hAnsi="Arial"/>
          <w:sz w:val="14"/>
          <w:szCs w:val="14"/>
          <w:color w:val="auto"/>
        </w:rPr>
        <w:t>In fiscal 2008, the Company recorded a pre-tax $3.8 charge for the impairment of certain intangible assets and prepublication costs.</w:t>
      </w:r>
    </w:p>
    <w:p>
      <w:pPr>
        <w:spacing w:after="0" w:line="136" w:lineRule="exact"/>
        <w:rPr>
          <w:rFonts w:ascii="Arial" w:cs="Arial" w:eastAsia="Arial" w:hAnsi="Arial"/>
          <w:sz w:val="14"/>
          <w:szCs w:val="14"/>
          <w:color w:val="auto"/>
        </w:rPr>
      </w:pPr>
    </w:p>
    <w:p>
      <w:pPr>
        <w:ind w:left="460" w:right="60" w:hanging="452"/>
        <w:spacing w:after="0" w:line="225" w:lineRule="auto"/>
        <w:tabs>
          <w:tab w:leader="none" w:pos="460" w:val="left"/>
        </w:tabs>
        <w:numPr>
          <w:ilvl w:val="0"/>
          <w:numId w:val="5"/>
        </w:numPr>
        <w:rPr>
          <w:rFonts w:ascii="Arial" w:cs="Arial" w:eastAsia="Arial" w:hAnsi="Arial"/>
          <w:sz w:val="14"/>
          <w:szCs w:val="14"/>
          <w:color w:val="auto"/>
        </w:rPr>
      </w:pPr>
      <w:r>
        <w:rPr>
          <w:rFonts w:ascii="Arial" w:cs="Arial" w:eastAsia="Arial" w:hAnsi="Arial"/>
          <w:sz w:val="14"/>
          <w:szCs w:val="14"/>
          <w:color w:val="auto"/>
        </w:rPr>
        <w:t>In fiscal 2010, the Company recorded a pre-tax asset impairment charge of $36.3 attributable to intangible assets and prepublication costs associated with the library business, a pre-tax charge of $3.8 associated with a customer list, a pre-tax charge of $3.0 for goodwill and intangible assets associated with the Company’s direct-to-home toy catalog business and a pre-tax loss of $1.5 in a U.S. based investment. In fiscal 2009, the Company recorded a pre-tax $17.0 goodwill impairment charge related to the Company’s UK operations and a pre-tax $13.5 loss on investments in the UK. The Company also recorded a pre-tax severance charge of $18.1, which was primarily related to the Company’s previously announced voluntary retirement program and a workforce reduction program.</w:t>
      </w:r>
    </w:p>
    <w:p>
      <w:pPr>
        <w:spacing w:after="0" w:line="136" w:lineRule="exact"/>
        <w:rPr>
          <w:rFonts w:ascii="Arial" w:cs="Arial" w:eastAsia="Arial" w:hAnsi="Arial"/>
          <w:sz w:val="14"/>
          <w:szCs w:val="14"/>
          <w:color w:val="auto"/>
        </w:rPr>
      </w:pPr>
    </w:p>
    <w:p>
      <w:pPr>
        <w:ind w:left="460" w:right="100" w:hanging="452"/>
        <w:spacing w:after="0" w:line="228" w:lineRule="auto"/>
        <w:tabs>
          <w:tab w:leader="none" w:pos="460" w:val="left"/>
        </w:tabs>
        <w:numPr>
          <w:ilvl w:val="0"/>
          <w:numId w:val="5"/>
        </w:numPr>
        <w:rPr>
          <w:rFonts w:ascii="Arial" w:cs="Arial" w:eastAsia="Arial" w:hAnsi="Arial"/>
          <w:sz w:val="14"/>
          <w:szCs w:val="14"/>
          <w:color w:val="auto"/>
        </w:rPr>
      </w:pPr>
      <w:r>
        <w:rPr>
          <w:rFonts w:ascii="Arial" w:cs="Arial" w:eastAsia="Arial" w:hAnsi="Arial"/>
          <w:sz w:val="14"/>
          <w:szCs w:val="14"/>
          <w:color w:val="auto"/>
        </w:rPr>
        <w:t>In fiscal 2010, the Company recorded a pre-tax gain of $0.9 on note repurchases of $4.1. In fiscal 2009, the Company recorded a pre-tax gain of $0.4 on note repurchases of $2.1 and a pre-tax gain of $0.3 related to an accelerated payment of a note. In fiscal 2008, the Company recorded a pre-tax gain on note repurchases of $2.1and a pre-tax currency gain on settlement of a loan of $1.4, partially offset by $0.9 of pre-tax expense from early termination of one of the Company’s subleases.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2663825</wp:posOffset>
            </wp:positionH>
            <wp:positionV relativeFrom="paragraph">
              <wp:posOffset>129540</wp:posOffset>
            </wp:positionV>
            <wp:extent cx="1929765" cy="23177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929765"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387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40"/>
          </w:cols>
          <w:pgMar w:left="240" w:top="760" w:right="21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63765" cy="8890"/>
                    </a:xfrm>
                    <a:prstGeom prst="rect">
                      <a:avLst/>
                    </a:prstGeom>
                    <a:noFill/>
                  </pic:spPr>
                </pic:pic>
              </a:graphicData>
            </a:graphic>
          </wp:anchor>
        </w:drawing>
        <w:t>Results of Operations – Consolidated</w:t>
      </w:r>
    </w:p>
    <w:p>
      <w:pPr>
        <w:spacing w:after="0" w:line="231"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 xml:space="preserve">Revenues for fiscal 2010 from continuing operations increased $63.6 million, or 3.4%, to $1,912.9 million, compared to $1,849.3 million in fiscal 2009. This increase was principally related to higher </w:t>
      </w:r>
      <w:r>
        <w:rPr>
          <w:rFonts w:ascii="Arial" w:cs="Arial" w:eastAsia="Arial" w:hAnsi="Arial"/>
          <w:sz w:val="16"/>
          <w:szCs w:val="16"/>
          <w:i w:val="1"/>
          <w:iCs w:val="1"/>
          <w:color w:val="auto"/>
        </w:rPr>
        <w:t>Educational Publishing segment</w:t>
      </w:r>
      <w:r>
        <w:rPr>
          <w:rFonts w:ascii="Arial" w:cs="Arial" w:eastAsia="Arial" w:hAnsi="Arial"/>
          <w:sz w:val="16"/>
          <w:szCs w:val="16"/>
          <w:color w:val="auto"/>
        </w:rPr>
        <w:t xml:space="preserve"> revenues of $92.3 million driven by increased sales of educational technology products and related services. This reflected the strong execution and the benefit of new products and adoptions, as well as the significant impact of federal stimulus funding. In addition, foreign exchange positively impacted the Company’s revenues by $27.2 million, principally related to a weakening U.S. dollar against the Canadian dollar and Australian dollar. The increase was partially offset by a decline in revenues from the Company’s </w:t>
      </w:r>
      <w:r>
        <w:rPr>
          <w:rFonts w:ascii="Arial" w:cs="Arial" w:eastAsia="Arial" w:hAnsi="Arial"/>
          <w:sz w:val="16"/>
          <w:szCs w:val="16"/>
          <w:i w:val="1"/>
          <w:iCs w:val="1"/>
          <w:color w:val="auto"/>
        </w:rPr>
        <w:t>Children’s Book Publishing and Distribution</w:t>
      </w:r>
      <w:r>
        <w:rPr>
          <w:rFonts w:ascii="Arial" w:cs="Arial" w:eastAsia="Arial" w:hAnsi="Arial"/>
          <w:sz w:val="16"/>
          <w:szCs w:val="16"/>
          <w:color w:val="auto"/>
        </w:rPr>
        <w:t xml:space="preserve"> segment of $29.8 million, or 3.2%. Revenues for fiscal 2009 decreased $309.8 million, or 14.3%, to $1,849.3 million, compared to $2,159.1 million in fiscal 2008, primarily related to the release in fiscal 2008 of </w:t>
      </w:r>
      <w:r>
        <w:rPr>
          <w:rFonts w:ascii="Arial" w:cs="Arial" w:eastAsia="Arial" w:hAnsi="Arial"/>
          <w:sz w:val="16"/>
          <w:szCs w:val="16"/>
          <w:i w:val="1"/>
          <w:iCs w:val="1"/>
          <w:color w:val="auto"/>
        </w:rPr>
        <w:t>Harry Potter and the Deathly Hallows</w:t>
      </w:r>
      <w:r>
        <w:rPr>
          <w:rFonts w:ascii="Arial" w:cs="Arial" w:eastAsia="Arial" w:hAnsi="Arial"/>
          <w:sz w:val="16"/>
          <w:szCs w:val="16"/>
          <w:color w:val="auto"/>
        </w:rPr>
        <w:t>, the seventh and final book in the series, and a $62.5 million negative impact of foreign currency exchange rates.</w:t>
      </w:r>
    </w:p>
    <w:p>
      <w:pPr>
        <w:spacing w:after="0" w:line="172" w:lineRule="exact"/>
        <w:rPr>
          <w:sz w:val="20"/>
          <w:szCs w:val="20"/>
          <w:color w:val="auto"/>
        </w:rPr>
      </w:pPr>
    </w:p>
    <w:p>
      <w:pPr>
        <w:ind w:right="160"/>
        <w:spacing w:after="0" w:line="298" w:lineRule="auto"/>
        <w:rPr>
          <w:sz w:val="20"/>
          <w:szCs w:val="20"/>
          <w:color w:val="auto"/>
        </w:rPr>
      </w:pPr>
      <w:r>
        <w:rPr>
          <w:rFonts w:ascii="Arial" w:cs="Arial" w:eastAsia="Arial" w:hAnsi="Arial"/>
          <w:sz w:val="16"/>
          <w:szCs w:val="16"/>
          <w:color w:val="auto"/>
        </w:rPr>
        <w:t>Cost of goods sold for fiscal 2010 decreased to $859.8 million, or 44.9% of revenues, compared to $881.7 million, or 47.7% of revenues, in the prior fiscal year. This decrease as a percentage of revenue is primarily related to the higher ratio of higher-margin educational technology product sales in fiscal 2010. In fiscal 2009, Cost of goods sold decreased to $881.7 million, or 47.7% of revenues, from $1,042.3 million, or 48.3% of revenues, in fiscal 2008, which was related to higher costs related to the Harry Potter release in fiscal 2008. Components of Cost of goods sold for fiscal 2010, 2009 and 2008 are as follows.</w:t>
      </w:r>
    </w:p>
    <w:p>
      <w:pPr>
        <w:spacing w:after="0" w:line="178" w:lineRule="exact"/>
        <w:rPr>
          <w:sz w:val="20"/>
          <w:szCs w:val="20"/>
          <w:color w:val="auto"/>
        </w:rPr>
      </w:pPr>
    </w:p>
    <w:p>
      <w:pPr>
        <w:ind w:left="9140"/>
        <w:spacing w:after="0"/>
        <w:rPr>
          <w:sz w:val="20"/>
          <w:szCs w:val="20"/>
          <w:color w:val="auto"/>
        </w:rPr>
      </w:pPr>
      <w:r>
        <w:rPr>
          <w:rFonts w:ascii="Arial" w:cs="Arial" w:eastAsia="Arial" w:hAnsi="Arial"/>
          <w:sz w:val="14"/>
          <w:szCs w:val="14"/>
          <w:color w:val="auto"/>
        </w:rPr>
        <w:t>($ amounts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263765"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626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760" w:type="dxa"/>
            <w:vAlign w:val="bottom"/>
          </w:tcPr>
          <w:p>
            <w:pPr>
              <w:jc w:val="right"/>
              <w:ind w:right="316"/>
              <w:spacing w:after="0"/>
              <w:rPr>
                <w:sz w:val="20"/>
                <w:szCs w:val="20"/>
                <w:color w:val="auto"/>
              </w:rPr>
            </w:pPr>
            <w:r>
              <w:rPr>
                <w:rFonts w:ascii="Arial" w:cs="Arial" w:eastAsia="Arial" w:hAnsi="Arial"/>
                <w:sz w:val="14"/>
                <w:szCs w:val="14"/>
                <w:b w:val="1"/>
                <w:bCs w:val="1"/>
                <w:color w:val="auto"/>
              </w:rPr>
              <w:t>2010</w:t>
            </w:r>
          </w:p>
        </w:tc>
        <w:tc>
          <w:tcPr>
            <w:tcW w:w="300" w:type="dxa"/>
            <w:vAlign w:val="bottom"/>
          </w:tcPr>
          <w:p>
            <w:pPr>
              <w:spacing w:after="0"/>
              <w:rPr>
                <w:sz w:val="15"/>
                <w:szCs w:val="15"/>
                <w:color w:val="auto"/>
              </w:rPr>
            </w:pPr>
          </w:p>
        </w:tc>
        <w:tc>
          <w:tcPr>
            <w:tcW w:w="740" w:type="dxa"/>
            <w:vAlign w:val="bottom"/>
          </w:tcPr>
          <w:p>
            <w:pPr>
              <w:jc w:val="right"/>
              <w:ind w:right="296"/>
              <w:spacing w:after="0"/>
              <w:rPr>
                <w:sz w:val="20"/>
                <w:szCs w:val="20"/>
                <w:color w:val="auto"/>
              </w:rPr>
            </w:pPr>
            <w:r>
              <w:rPr>
                <w:rFonts w:ascii="Arial" w:cs="Arial" w:eastAsia="Arial" w:hAnsi="Arial"/>
                <w:sz w:val="14"/>
                <w:szCs w:val="14"/>
                <w:b w:val="1"/>
                <w:bCs w:val="1"/>
                <w:color w:val="auto"/>
              </w:rPr>
              <w:t>2009</w:t>
            </w:r>
          </w:p>
        </w:tc>
        <w:tc>
          <w:tcPr>
            <w:tcW w:w="340" w:type="dxa"/>
            <w:vAlign w:val="bottom"/>
          </w:tcPr>
          <w:p>
            <w:pPr>
              <w:spacing w:after="0"/>
              <w:rPr>
                <w:sz w:val="15"/>
                <w:szCs w:val="15"/>
                <w:color w:val="auto"/>
              </w:rPr>
            </w:pPr>
          </w:p>
        </w:tc>
        <w:tc>
          <w:tcPr>
            <w:tcW w:w="860" w:type="dxa"/>
            <w:vAlign w:val="bottom"/>
          </w:tcPr>
          <w:p>
            <w:pPr>
              <w:jc w:val="right"/>
              <w:ind w:right="376"/>
              <w:spacing w:after="0"/>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5"/>
                <w:szCs w:val="15"/>
                <w:color w:val="auto"/>
              </w:rPr>
            </w:pPr>
          </w:p>
        </w:tc>
      </w:tr>
      <w:tr>
        <w:trPr>
          <w:trHeight w:val="95"/>
        </w:trPr>
        <w:tc>
          <w:tcPr>
            <w:tcW w:w="6260" w:type="dxa"/>
            <w:vAlign w:val="bottom"/>
            <w:tcBorders>
              <w:bottom w:val="single" w:sz="8" w:color="auto"/>
            </w:tcBorders>
          </w:tcPr>
          <w:p>
            <w:pPr>
              <w:spacing w:after="0"/>
              <w:rPr>
                <w:sz w:val="8"/>
                <w:szCs w:val="8"/>
                <w:color w:val="auto"/>
              </w:rPr>
            </w:pPr>
          </w:p>
        </w:tc>
        <w:tc>
          <w:tcPr>
            <w:tcW w:w="216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r>
      <w:tr>
        <w:trPr>
          <w:trHeight w:val="102"/>
        </w:trPr>
        <w:tc>
          <w:tcPr>
            <w:tcW w:w="6260" w:type="dxa"/>
            <w:vAlign w:val="bottom"/>
          </w:tcPr>
          <w:p>
            <w:pPr>
              <w:spacing w:after="0"/>
              <w:rPr>
                <w:sz w:val="8"/>
                <w:szCs w:val="8"/>
                <w:color w:val="auto"/>
              </w:rPr>
            </w:pPr>
          </w:p>
        </w:tc>
        <w:tc>
          <w:tcPr>
            <w:tcW w:w="2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300" w:type="dxa"/>
            <w:vAlign w:val="bottom"/>
          </w:tcPr>
          <w:p>
            <w:pPr>
              <w:spacing w:after="0"/>
              <w:rPr>
                <w:sz w:val="8"/>
                <w:szCs w:val="8"/>
                <w:color w:val="auto"/>
              </w:rPr>
            </w:pPr>
          </w:p>
        </w:tc>
        <w:tc>
          <w:tcPr>
            <w:tcW w:w="740" w:type="dxa"/>
            <w:vAlign w:val="bottom"/>
          </w:tcPr>
          <w:p>
            <w:pPr>
              <w:spacing w:after="0"/>
              <w:rPr>
                <w:sz w:val="8"/>
                <w:szCs w:val="8"/>
                <w:color w:val="auto"/>
              </w:rPr>
            </w:pPr>
          </w:p>
        </w:tc>
        <w:tc>
          <w:tcPr>
            <w:tcW w:w="34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203"/>
        </w:trPr>
        <w:tc>
          <w:tcPr>
            <w:tcW w:w="626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Product, service and production costs</w:t>
            </w:r>
          </w:p>
        </w:tc>
        <w:tc>
          <w:tcPr>
            <w:tcW w:w="216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w:t>
            </w:r>
          </w:p>
        </w:tc>
        <w:tc>
          <w:tcPr>
            <w:tcW w:w="760" w:type="dxa"/>
            <w:vAlign w:val="bottom"/>
            <w:shd w:val="clear" w:color="auto" w:fill="E6E6E6"/>
          </w:tcPr>
          <w:p>
            <w:pPr>
              <w:jc w:val="right"/>
              <w:ind w:right="36"/>
              <w:spacing w:after="0" w:line="202" w:lineRule="exact"/>
              <w:rPr>
                <w:sz w:val="20"/>
                <w:szCs w:val="20"/>
                <w:color w:val="auto"/>
              </w:rPr>
            </w:pPr>
            <w:r>
              <w:rPr>
                <w:rFonts w:ascii="Arial" w:cs="Arial" w:eastAsia="Arial" w:hAnsi="Arial"/>
                <w:sz w:val="18"/>
                <w:szCs w:val="18"/>
                <w:color w:val="auto"/>
              </w:rPr>
              <w:t>504.0</w:t>
            </w:r>
          </w:p>
        </w:tc>
        <w:tc>
          <w:tcPr>
            <w:tcW w:w="300" w:type="dxa"/>
            <w:vAlign w:val="bottom"/>
            <w:shd w:val="clear" w:color="auto" w:fill="E6E6E6"/>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740" w:type="dxa"/>
            <w:vAlign w:val="bottom"/>
            <w:shd w:val="clear" w:color="auto" w:fill="E6E6E6"/>
          </w:tcPr>
          <w:p>
            <w:pPr>
              <w:jc w:val="right"/>
              <w:ind w:right="36"/>
              <w:spacing w:after="0" w:line="202" w:lineRule="exact"/>
              <w:rPr>
                <w:sz w:val="20"/>
                <w:szCs w:val="20"/>
                <w:color w:val="auto"/>
              </w:rPr>
            </w:pPr>
            <w:r>
              <w:rPr>
                <w:rFonts w:ascii="Arial" w:cs="Arial" w:eastAsia="Arial" w:hAnsi="Arial"/>
                <w:sz w:val="18"/>
                <w:szCs w:val="18"/>
                <w:color w:val="auto"/>
              </w:rPr>
              <w:t>507.8</w:t>
            </w:r>
          </w:p>
        </w:tc>
        <w:tc>
          <w:tcPr>
            <w:tcW w:w="340" w:type="dxa"/>
            <w:vAlign w:val="bottom"/>
            <w:shd w:val="clear" w:color="auto" w:fill="E6E6E6"/>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E6E6E6"/>
          </w:tcPr>
          <w:p>
            <w:pPr>
              <w:jc w:val="right"/>
              <w:ind w:right="36"/>
              <w:spacing w:after="0" w:line="202" w:lineRule="exact"/>
              <w:rPr>
                <w:sz w:val="20"/>
                <w:szCs w:val="20"/>
                <w:color w:val="auto"/>
              </w:rPr>
            </w:pPr>
            <w:r>
              <w:rPr>
                <w:rFonts w:ascii="Arial" w:cs="Arial" w:eastAsia="Arial" w:hAnsi="Arial"/>
                <w:sz w:val="18"/>
                <w:szCs w:val="18"/>
                <w:color w:val="auto"/>
              </w:rPr>
              <w:t>550.5</w:t>
            </w:r>
          </w:p>
        </w:tc>
        <w:tc>
          <w:tcPr>
            <w:tcW w:w="20" w:type="dxa"/>
            <w:vAlign w:val="bottom"/>
          </w:tcPr>
          <w:p>
            <w:pPr>
              <w:spacing w:after="0"/>
              <w:rPr>
                <w:sz w:val="17"/>
                <w:szCs w:val="17"/>
                <w:color w:val="auto"/>
              </w:rPr>
            </w:pPr>
          </w:p>
        </w:tc>
      </w:tr>
      <w:tr>
        <w:trPr>
          <w:trHeight w:val="203"/>
        </w:trPr>
        <w:tc>
          <w:tcPr>
            <w:tcW w:w="6260" w:type="dxa"/>
            <w:vAlign w:val="bottom"/>
          </w:tcPr>
          <w:p>
            <w:pPr>
              <w:spacing w:after="0" w:line="202" w:lineRule="exact"/>
              <w:rPr>
                <w:sz w:val="20"/>
                <w:szCs w:val="20"/>
                <w:color w:val="auto"/>
              </w:rPr>
            </w:pPr>
            <w:r>
              <w:rPr>
                <w:rFonts w:ascii="Arial" w:cs="Arial" w:eastAsia="Arial" w:hAnsi="Arial"/>
                <w:sz w:val="18"/>
                <w:szCs w:val="18"/>
                <w:color w:val="auto"/>
              </w:rPr>
              <w:t>Royalty costs</w:t>
            </w:r>
          </w:p>
        </w:tc>
        <w:tc>
          <w:tcPr>
            <w:tcW w:w="2160" w:type="dxa"/>
            <w:vAlign w:val="bottom"/>
          </w:tcPr>
          <w:p>
            <w:pPr>
              <w:spacing w:after="0"/>
              <w:rPr>
                <w:sz w:val="17"/>
                <w:szCs w:val="17"/>
                <w:color w:val="auto"/>
              </w:rPr>
            </w:pPr>
          </w:p>
        </w:tc>
        <w:tc>
          <w:tcPr>
            <w:tcW w:w="760" w:type="dxa"/>
            <w:vAlign w:val="bottom"/>
          </w:tcPr>
          <w:p>
            <w:pPr>
              <w:jc w:val="right"/>
              <w:ind w:right="36"/>
              <w:spacing w:after="0" w:line="202" w:lineRule="exact"/>
              <w:rPr>
                <w:sz w:val="20"/>
                <w:szCs w:val="20"/>
                <w:color w:val="auto"/>
              </w:rPr>
            </w:pPr>
            <w:r>
              <w:rPr>
                <w:rFonts w:ascii="Arial" w:cs="Arial" w:eastAsia="Arial" w:hAnsi="Arial"/>
                <w:sz w:val="18"/>
                <w:szCs w:val="18"/>
                <w:color w:val="auto"/>
              </w:rPr>
              <w:t>94.0</w:t>
            </w:r>
          </w:p>
        </w:tc>
        <w:tc>
          <w:tcPr>
            <w:tcW w:w="300" w:type="dxa"/>
            <w:vAlign w:val="bottom"/>
          </w:tcPr>
          <w:p>
            <w:pPr>
              <w:spacing w:after="0"/>
              <w:rPr>
                <w:sz w:val="17"/>
                <w:szCs w:val="17"/>
                <w:color w:val="auto"/>
              </w:rPr>
            </w:pPr>
          </w:p>
        </w:tc>
        <w:tc>
          <w:tcPr>
            <w:tcW w:w="740" w:type="dxa"/>
            <w:vAlign w:val="bottom"/>
          </w:tcPr>
          <w:p>
            <w:pPr>
              <w:jc w:val="right"/>
              <w:ind w:right="36"/>
              <w:spacing w:after="0" w:line="202" w:lineRule="exact"/>
              <w:rPr>
                <w:sz w:val="20"/>
                <w:szCs w:val="20"/>
                <w:color w:val="auto"/>
              </w:rPr>
            </w:pPr>
            <w:r>
              <w:rPr>
                <w:rFonts w:ascii="Arial" w:cs="Arial" w:eastAsia="Arial" w:hAnsi="Arial"/>
                <w:sz w:val="18"/>
                <w:szCs w:val="18"/>
                <w:color w:val="auto"/>
              </w:rPr>
              <w:t>106.3</w:t>
            </w:r>
          </w:p>
        </w:tc>
        <w:tc>
          <w:tcPr>
            <w:tcW w:w="340" w:type="dxa"/>
            <w:vAlign w:val="bottom"/>
          </w:tcPr>
          <w:p>
            <w:pPr>
              <w:spacing w:after="0"/>
              <w:rPr>
                <w:sz w:val="17"/>
                <w:szCs w:val="17"/>
                <w:color w:val="auto"/>
              </w:rPr>
            </w:pPr>
          </w:p>
        </w:tc>
        <w:tc>
          <w:tcPr>
            <w:tcW w:w="860" w:type="dxa"/>
            <w:vAlign w:val="bottom"/>
          </w:tcPr>
          <w:p>
            <w:pPr>
              <w:jc w:val="right"/>
              <w:ind w:right="36"/>
              <w:spacing w:after="0" w:line="202" w:lineRule="exact"/>
              <w:rPr>
                <w:sz w:val="20"/>
                <w:szCs w:val="20"/>
                <w:color w:val="auto"/>
              </w:rPr>
            </w:pPr>
            <w:r>
              <w:rPr>
                <w:rFonts w:ascii="Arial" w:cs="Arial" w:eastAsia="Arial" w:hAnsi="Arial"/>
                <w:sz w:val="18"/>
                <w:szCs w:val="18"/>
                <w:color w:val="auto"/>
              </w:rPr>
              <w:t>200.4</w:t>
            </w:r>
          </w:p>
        </w:tc>
        <w:tc>
          <w:tcPr>
            <w:tcW w:w="20" w:type="dxa"/>
            <w:vAlign w:val="bottom"/>
          </w:tcPr>
          <w:p>
            <w:pPr>
              <w:spacing w:after="0"/>
              <w:rPr>
                <w:sz w:val="17"/>
                <w:szCs w:val="17"/>
                <w:color w:val="auto"/>
              </w:rPr>
            </w:pPr>
          </w:p>
        </w:tc>
      </w:tr>
      <w:tr>
        <w:trPr>
          <w:trHeight w:val="203"/>
        </w:trPr>
        <w:tc>
          <w:tcPr>
            <w:tcW w:w="626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Prepublication and production amortization</w:t>
            </w:r>
          </w:p>
        </w:tc>
        <w:tc>
          <w:tcPr>
            <w:tcW w:w="2160" w:type="dxa"/>
            <w:vAlign w:val="bottom"/>
            <w:shd w:val="clear" w:color="auto" w:fill="E6E6E6"/>
          </w:tcPr>
          <w:p>
            <w:pPr>
              <w:spacing w:after="0"/>
              <w:rPr>
                <w:sz w:val="17"/>
                <w:szCs w:val="17"/>
                <w:color w:val="auto"/>
              </w:rPr>
            </w:pPr>
          </w:p>
        </w:tc>
        <w:tc>
          <w:tcPr>
            <w:tcW w:w="760" w:type="dxa"/>
            <w:vAlign w:val="bottom"/>
            <w:shd w:val="clear" w:color="auto" w:fill="E6E6E6"/>
          </w:tcPr>
          <w:p>
            <w:pPr>
              <w:jc w:val="right"/>
              <w:ind w:right="36"/>
              <w:spacing w:after="0" w:line="202" w:lineRule="exact"/>
              <w:rPr>
                <w:sz w:val="20"/>
                <w:szCs w:val="20"/>
                <w:color w:val="auto"/>
              </w:rPr>
            </w:pPr>
            <w:r>
              <w:rPr>
                <w:rFonts w:ascii="Arial" w:cs="Arial" w:eastAsia="Arial" w:hAnsi="Arial"/>
                <w:sz w:val="18"/>
                <w:szCs w:val="18"/>
                <w:color w:val="auto"/>
              </w:rPr>
              <w:t>51.0</w:t>
            </w:r>
          </w:p>
        </w:tc>
        <w:tc>
          <w:tcPr>
            <w:tcW w:w="300" w:type="dxa"/>
            <w:vAlign w:val="bottom"/>
            <w:shd w:val="clear" w:color="auto" w:fill="E6E6E6"/>
          </w:tcPr>
          <w:p>
            <w:pPr>
              <w:spacing w:after="0"/>
              <w:rPr>
                <w:sz w:val="17"/>
                <w:szCs w:val="17"/>
                <w:color w:val="auto"/>
              </w:rPr>
            </w:pPr>
          </w:p>
        </w:tc>
        <w:tc>
          <w:tcPr>
            <w:tcW w:w="740" w:type="dxa"/>
            <w:vAlign w:val="bottom"/>
            <w:shd w:val="clear" w:color="auto" w:fill="E6E6E6"/>
          </w:tcPr>
          <w:p>
            <w:pPr>
              <w:jc w:val="right"/>
              <w:ind w:right="16"/>
              <w:spacing w:after="0" w:line="202" w:lineRule="exact"/>
              <w:rPr>
                <w:sz w:val="20"/>
                <w:szCs w:val="20"/>
                <w:color w:val="auto"/>
              </w:rPr>
            </w:pPr>
            <w:r>
              <w:rPr>
                <w:rFonts w:ascii="Arial" w:cs="Arial" w:eastAsia="Arial" w:hAnsi="Arial"/>
                <w:sz w:val="18"/>
                <w:szCs w:val="18"/>
                <w:color w:val="auto"/>
              </w:rPr>
              <w:t>44.8</w:t>
            </w:r>
          </w:p>
        </w:tc>
        <w:tc>
          <w:tcPr>
            <w:tcW w:w="340" w:type="dxa"/>
            <w:vAlign w:val="bottom"/>
            <w:shd w:val="clear" w:color="auto" w:fill="E6E6E6"/>
          </w:tcPr>
          <w:p>
            <w:pPr>
              <w:spacing w:after="0"/>
              <w:rPr>
                <w:sz w:val="17"/>
                <w:szCs w:val="17"/>
                <w:color w:val="auto"/>
              </w:rPr>
            </w:pPr>
          </w:p>
        </w:tc>
        <w:tc>
          <w:tcPr>
            <w:tcW w:w="860" w:type="dxa"/>
            <w:vAlign w:val="bottom"/>
            <w:shd w:val="clear" w:color="auto" w:fill="E6E6E6"/>
          </w:tcPr>
          <w:p>
            <w:pPr>
              <w:jc w:val="right"/>
              <w:ind w:right="36"/>
              <w:spacing w:after="0" w:line="202" w:lineRule="exact"/>
              <w:rPr>
                <w:sz w:val="20"/>
                <w:szCs w:val="20"/>
                <w:color w:val="auto"/>
              </w:rPr>
            </w:pPr>
            <w:r>
              <w:rPr>
                <w:rFonts w:ascii="Arial" w:cs="Arial" w:eastAsia="Arial" w:hAnsi="Arial"/>
                <w:sz w:val="18"/>
                <w:szCs w:val="18"/>
                <w:color w:val="auto"/>
              </w:rPr>
              <w:t>46.1</w:t>
            </w:r>
          </w:p>
        </w:tc>
        <w:tc>
          <w:tcPr>
            <w:tcW w:w="20" w:type="dxa"/>
            <w:vAlign w:val="bottom"/>
          </w:tcPr>
          <w:p>
            <w:pPr>
              <w:spacing w:after="0"/>
              <w:rPr>
                <w:sz w:val="17"/>
                <w:szCs w:val="17"/>
                <w:color w:val="auto"/>
              </w:rPr>
            </w:pPr>
          </w:p>
        </w:tc>
      </w:tr>
      <w:tr>
        <w:trPr>
          <w:trHeight w:val="214"/>
        </w:trPr>
        <w:tc>
          <w:tcPr>
            <w:tcW w:w="6260" w:type="dxa"/>
            <w:vAlign w:val="bottom"/>
          </w:tcPr>
          <w:p>
            <w:pPr>
              <w:spacing w:after="0"/>
              <w:rPr>
                <w:sz w:val="20"/>
                <w:szCs w:val="20"/>
                <w:color w:val="auto"/>
              </w:rPr>
            </w:pPr>
            <w:r>
              <w:rPr>
                <w:rFonts w:ascii="Arial" w:cs="Arial" w:eastAsia="Arial" w:hAnsi="Arial"/>
                <w:sz w:val="18"/>
                <w:szCs w:val="18"/>
                <w:color w:val="auto"/>
              </w:rPr>
              <w:t>Postage, freight, shipping, fulfillment and all other costs</w:t>
            </w:r>
          </w:p>
        </w:tc>
        <w:tc>
          <w:tcPr>
            <w:tcW w:w="2160" w:type="dxa"/>
            <w:vAlign w:val="bottom"/>
          </w:tcPr>
          <w:p>
            <w:pPr>
              <w:spacing w:after="0"/>
              <w:rPr>
                <w:sz w:val="18"/>
                <w:szCs w:val="18"/>
                <w:color w:val="auto"/>
              </w:rPr>
            </w:pPr>
          </w:p>
        </w:tc>
        <w:tc>
          <w:tcPr>
            <w:tcW w:w="760" w:type="dxa"/>
            <w:vAlign w:val="bottom"/>
          </w:tcPr>
          <w:p>
            <w:pPr>
              <w:jc w:val="right"/>
              <w:ind w:right="36"/>
              <w:spacing w:after="0"/>
              <w:rPr>
                <w:sz w:val="20"/>
                <w:szCs w:val="20"/>
                <w:color w:val="auto"/>
              </w:rPr>
            </w:pPr>
            <w:r>
              <w:rPr>
                <w:rFonts w:ascii="Arial" w:cs="Arial" w:eastAsia="Arial" w:hAnsi="Arial"/>
                <w:sz w:val="18"/>
                <w:szCs w:val="18"/>
                <w:color w:val="auto"/>
              </w:rPr>
              <w:t>210.8</w:t>
            </w:r>
          </w:p>
        </w:tc>
        <w:tc>
          <w:tcPr>
            <w:tcW w:w="300" w:type="dxa"/>
            <w:vAlign w:val="bottom"/>
          </w:tcPr>
          <w:p>
            <w:pPr>
              <w:spacing w:after="0"/>
              <w:rPr>
                <w:sz w:val="18"/>
                <w:szCs w:val="18"/>
                <w:color w:val="auto"/>
              </w:rPr>
            </w:pPr>
          </w:p>
        </w:tc>
        <w:tc>
          <w:tcPr>
            <w:tcW w:w="740" w:type="dxa"/>
            <w:vAlign w:val="bottom"/>
          </w:tcPr>
          <w:p>
            <w:pPr>
              <w:jc w:val="right"/>
              <w:ind w:right="36"/>
              <w:spacing w:after="0"/>
              <w:rPr>
                <w:sz w:val="20"/>
                <w:szCs w:val="20"/>
                <w:color w:val="auto"/>
              </w:rPr>
            </w:pPr>
            <w:r>
              <w:rPr>
                <w:rFonts w:ascii="Arial" w:cs="Arial" w:eastAsia="Arial" w:hAnsi="Arial"/>
                <w:sz w:val="18"/>
                <w:szCs w:val="18"/>
                <w:color w:val="auto"/>
              </w:rPr>
              <w:t>222.8</w:t>
            </w:r>
          </w:p>
        </w:tc>
        <w:tc>
          <w:tcPr>
            <w:tcW w:w="340" w:type="dxa"/>
            <w:vAlign w:val="bottom"/>
          </w:tcPr>
          <w:p>
            <w:pPr>
              <w:spacing w:after="0"/>
              <w:rPr>
                <w:sz w:val="18"/>
                <w:szCs w:val="18"/>
                <w:color w:val="auto"/>
              </w:rPr>
            </w:pPr>
          </w:p>
        </w:tc>
        <w:tc>
          <w:tcPr>
            <w:tcW w:w="860" w:type="dxa"/>
            <w:vAlign w:val="bottom"/>
          </w:tcPr>
          <w:p>
            <w:pPr>
              <w:jc w:val="right"/>
              <w:ind w:right="36"/>
              <w:spacing w:after="0"/>
              <w:rPr>
                <w:sz w:val="20"/>
                <w:szCs w:val="20"/>
                <w:color w:val="auto"/>
              </w:rPr>
            </w:pPr>
            <w:r>
              <w:rPr>
                <w:rFonts w:ascii="Arial" w:cs="Arial" w:eastAsia="Arial" w:hAnsi="Arial"/>
                <w:sz w:val="18"/>
                <w:szCs w:val="18"/>
                <w:color w:val="auto"/>
              </w:rPr>
              <w:t>245.3</w:t>
            </w:r>
          </w:p>
        </w:tc>
        <w:tc>
          <w:tcPr>
            <w:tcW w:w="20" w:type="dxa"/>
            <w:vAlign w:val="bottom"/>
          </w:tcPr>
          <w:p>
            <w:pPr>
              <w:spacing w:after="0"/>
              <w:rPr>
                <w:sz w:val="18"/>
                <w:szCs w:val="18"/>
                <w:color w:val="auto"/>
              </w:rPr>
            </w:pPr>
          </w:p>
        </w:tc>
      </w:tr>
      <w:tr>
        <w:trPr>
          <w:trHeight w:val="97"/>
        </w:trPr>
        <w:tc>
          <w:tcPr>
            <w:tcW w:w="6260" w:type="dxa"/>
            <w:vAlign w:val="bottom"/>
            <w:tcBorders>
              <w:bottom w:val="single" w:sz="8" w:color="808080"/>
            </w:tcBorders>
          </w:tcPr>
          <w:p>
            <w:pPr>
              <w:spacing w:after="0"/>
              <w:rPr>
                <w:sz w:val="8"/>
                <w:szCs w:val="8"/>
                <w:color w:val="auto"/>
              </w:rPr>
            </w:pPr>
          </w:p>
        </w:tc>
        <w:tc>
          <w:tcPr>
            <w:tcW w:w="216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r>
      <w:tr>
        <w:trPr>
          <w:trHeight w:val="102"/>
        </w:trPr>
        <w:tc>
          <w:tcPr>
            <w:tcW w:w="6260" w:type="dxa"/>
            <w:vAlign w:val="bottom"/>
          </w:tcPr>
          <w:p>
            <w:pPr>
              <w:spacing w:after="0"/>
              <w:rPr>
                <w:sz w:val="8"/>
                <w:szCs w:val="8"/>
                <w:color w:val="auto"/>
              </w:rPr>
            </w:pPr>
          </w:p>
        </w:tc>
        <w:tc>
          <w:tcPr>
            <w:tcW w:w="2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300" w:type="dxa"/>
            <w:vAlign w:val="bottom"/>
          </w:tcPr>
          <w:p>
            <w:pPr>
              <w:spacing w:after="0"/>
              <w:rPr>
                <w:sz w:val="8"/>
                <w:szCs w:val="8"/>
                <w:color w:val="auto"/>
              </w:rPr>
            </w:pPr>
          </w:p>
        </w:tc>
        <w:tc>
          <w:tcPr>
            <w:tcW w:w="740" w:type="dxa"/>
            <w:vAlign w:val="bottom"/>
          </w:tcPr>
          <w:p>
            <w:pPr>
              <w:spacing w:after="0"/>
              <w:rPr>
                <w:sz w:val="8"/>
                <w:szCs w:val="8"/>
                <w:color w:val="auto"/>
              </w:rPr>
            </w:pPr>
          </w:p>
        </w:tc>
        <w:tc>
          <w:tcPr>
            <w:tcW w:w="34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203"/>
        </w:trPr>
        <w:tc>
          <w:tcPr>
            <w:tcW w:w="626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Total</w:t>
            </w:r>
          </w:p>
        </w:tc>
        <w:tc>
          <w:tcPr>
            <w:tcW w:w="216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w:t>
            </w:r>
          </w:p>
        </w:tc>
        <w:tc>
          <w:tcPr>
            <w:tcW w:w="760" w:type="dxa"/>
            <w:vAlign w:val="bottom"/>
            <w:shd w:val="clear" w:color="auto" w:fill="E6E6E6"/>
          </w:tcPr>
          <w:p>
            <w:pPr>
              <w:jc w:val="right"/>
              <w:ind w:right="36"/>
              <w:spacing w:after="0" w:line="202" w:lineRule="exact"/>
              <w:rPr>
                <w:sz w:val="20"/>
                <w:szCs w:val="20"/>
                <w:color w:val="auto"/>
              </w:rPr>
            </w:pPr>
            <w:r>
              <w:rPr>
                <w:rFonts w:ascii="Arial" w:cs="Arial" w:eastAsia="Arial" w:hAnsi="Arial"/>
                <w:sz w:val="18"/>
                <w:szCs w:val="18"/>
                <w:color w:val="auto"/>
              </w:rPr>
              <w:t>859.8</w:t>
            </w:r>
          </w:p>
        </w:tc>
        <w:tc>
          <w:tcPr>
            <w:tcW w:w="300" w:type="dxa"/>
            <w:vAlign w:val="bottom"/>
            <w:shd w:val="clear" w:color="auto" w:fill="E6E6E6"/>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740" w:type="dxa"/>
            <w:vAlign w:val="bottom"/>
            <w:shd w:val="clear" w:color="auto" w:fill="E6E6E6"/>
          </w:tcPr>
          <w:p>
            <w:pPr>
              <w:jc w:val="right"/>
              <w:ind w:right="36"/>
              <w:spacing w:after="0" w:line="202" w:lineRule="exact"/>
              <w:rPr>
                <w:sz w:val="20"/>
                <w:szCs w:val="20"/>
                <w:color w:val="auto"/>
              </w:rPr>
            </w:pPr>
            <w:r>
              <w:rPr>
                <w:rFonts w:ascii="Arial" w:cs="Arial" w:eastAsia="Arial" w:hAnsi="Arial"/>
                <w:sz w:val="18"/>
                <w:szCs w:val="18"/>
                <w:color w:val="auto"/>
              </w:rPr>
              <w:t>881.7</w:t>
            </w:r>
          </w:p>
        </w:tc>
        <w:tc>
          <w:tcPr>
            <w:tcW w:w="340" w:type="dxa"/>
            <w:vAlign w:val="bottom"/>
            <w:shd w:val="clear" w:color="auto" w:fill="E6E6E6"/>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E6E6E6"/>
          </w:tcPr>
          <w:p>
            <w:pPr>
              <w:jc w:val="right"/>
              <w:ind w:right="36"/>
              <w:spacing w:after="0" w:line="202" w:lineRule="exact"/>
              <w:rPr>
                <w:sz w:val="20"/>
                <w:szCs w:val="20"/>
                <w:color w:val="auto"/>
              </w:rPr>
            </w:pPr>
            <w:r>
              <w:rPr>
                <w:rFonts w:ascii="Arial" w:cs="Arial" w:eastAsia="Arial" w:hAnsi="Arial"/>
                <w:sz w:val="18"/>
                <w:szCs w:val="18"/>
                <w:color w:val="auto"/>
              </w:rPr>
              <w:t>1,042.3</w:t>
            </w:r>
          </w:p>
        </w:tc>
        <w:tc>
          <w:tcPr>
            <w:tcW w:w="20" w:type="dxa"/>
            <w:vAlign w:val="bottom"/>
          </w:tcPr>
          <w:p>
            <w:pPr>
              <w:spacing w:after="0"/>
              <w:rPr>
                <w:sz w:val="17"/>
                <w:szCs w:val="17"/>
                <w:color w:val="auto"/>
              </w:rPr>
            </w:pPr>
          </w:p>
        </w:tc>
      </w:tr>
      <w:tr>
        <w:trPr>
          <w:trHeight w:val="108"/>
        </w:trPr>
        <w:tc>
          <w:tcPr>
            <w:tcW w:w="6260" w:type="dxa"/>
            <w:vAlign w:val="bottom"/>
            <w:tcBorders>
              <w:bottom w:val="single" w:sz="8" w:color="808080"/>
            </w:tcBorders>
          </w:tcPr>
          <w:p>
            <w:pPr>
              <w:spacing w:after="0"/>
              <w:rPr>
                <w:sz w:val="9"/>
                <w:szCs w:val="9"/>
                <w:color w:val="auto"/>
              </w:rPr>
            </w:pPr>
          </w:p>
        </w:tc>
        <w:tc>
          <w:tcPr>
            <w:tcW w:w="216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r>
    </w:tbl>
    <w:p>
      <w:pPr>
        <w:spacing w:after="0" w:line="316" w:lineRule="exact"/>
        <w:rPr>
          <w:sz w:val="20"/>
          <w:szCs w:val="20"/>
          <w:color w:val="auto"/>
        </w:rPr>
      </w:pPr>
    </w:p>
    <w:p>
      <w:pPr>
        <w:ind w:right="280"/>
        <w:spacing w:after="0" w:line="298" w:lineRule="auto"/>
        <w:rPr>
          <w:sz w:val="20"/>
          <w:szCs w:val="20"/>
          <w:color w:val="auto"/>
        </w:rPr>
      </w:pPr>
      <w:r>
        <w:rPr>
          <w:rFonts w:ascii="Arial" w:cs="Arial" w:eastAsia="Arial" w:hAnsi="Arial"/>
          <w:sz w:val="16"/>
          <w:szCs w:val="16"/>
          <w:color w:val="auto"/>
        </w:rPr>
        <w:t xml:space="preserve">Product, service and production costs for fiscal 2010 remained relatively flat compared to fiscal 2009. Product, service and production costs as well as Royalty costs for fiscal 2009 decreased compared to fiscal 2008 primarily due to the release of </w:t>
      </w:r>
      <w:r>
        <w:rPr>
          <w:rFonts w:ascii="Arial" w:cs="Arial" w:eastAsia="Arial" w:hAnsi="Arial"/>
          <w:sz w:val="16"/>
          <w:szCs w:val="16"/>
          <w:i w:val="1"/>
          <w:iCs w:val="1"/>
          <w:color w:val="auto"/>
        </w:rPr>
        <w:t>Harry Potter and the Deathly Hallows</w:t>
      </w:r>
      <w:r>
        <w:rPr>
          <w:rFonts w:ascii="Arial" w:cs="Arial" w:eastAsia="Arial" w:hAnsi="Arial"/>
          <w:sz w:val="16"/>
          <w:szCs w:val="16"/>
          <w:color w:val="auto"/>
        </w:rPr>
        <w:t xml:space="preserve"> in fiscal 2008. Royalty costs for fiscal 2010 decreased from fiscal 2009 due to the release of </w:t>
      </w:r>
      <w:r>
        <w:rPr>
          <w:rFonts w:ascii="Arial" w:cs="Arial" w:eastAsia="Arial" w:hAnsi="Arial"/>
          <w:sz w:val="16"/>
          <w:szCs w:val="16"/>
          <w:i w:val="1"/>
          <w:iCs w:val="1"/>
          <w:color w:val="auto"/>
        </w:rPr>
        <w:t>The Tales of Beedle the Bard</w:t>
      </w:r>
      <w:r>
        <w:rPr>
          <w:rFonts w:ascii="Arial" w:cs="Arial" w:eastAsia="Arial" w:hAnsi="Arial"/>
          <w:sz w:val="16"/>
          <w:szCs w:val="16"/>
          <w:color w:val="auto"/>
        </w:rPr>
        <w:t xml:space="preserve"> in fiscal 2009. Prepublication and production amortization for fiscal 2010 increased compared to fiscal 2009 due to the acceleration of amortization of certain interactive and educational technology products.</w:t>
      </w:r>
    </w:p>
    <w:p>
      <w:pPr>
        <w:spacing w:after="0" w:line="167"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 xml:space="preserve">Selling, general and administrative expenses for fiscal 2010 increased by $26.2 million, to $803.4 million, from $777.2 million, in fiscal 2009. Selling, general and administrative expense increases in fiscal 2010 were primarily related to accruals for sales taxes of $15.4 million principally related to a settlement with a taxing authority, as well as increased employee costs (including bonuses and higher sales commissions in Scholastic Education) of $30.8 million related to the increase in sales in the </w:t>
      </w:r>
      <w:r>
        <w:rPr>
          <w:rFonts w:ascii="Arial" w:cs="Arial" w:eastAsia="Arial" w:hAnsi="Arial"/>
          <w:sz w:val="16"/>
          <w:szCs w:val="16"/>
          <w:i w:val="1"/>
          <w:iCs w:val="1"/>
          <w:color w:val="auto"/>
        </w:rPr>
        <w:t>Educational Publishing</w:t>
      </w:r>
      <w:r>
        <w:rPr>
          <w:rFonts w:ascii="Arial" w:cs="Arial" w:eastAsia="Arial" w:hAnsi="Arial"/>
          <w:sz w:val="16"/>
          <w:szCs w:val="16"/>
          <w:color w:val="auto"/>
        </w:rPr>
        <w:t xml:space="preserve"> segment. Selling, general and administrative expenses decreased by $48.4 million to $777.2 million in fiscal 2009, from $825.6 million in fiscal 2008, primarily due to lower employee costs as well as higher Harry Potter related expenses in fiscal 2008.</w:t>
      </w:r>
    </w:p>
    <w:p>
      <w:pPr>
        <w:spacing w:after="0" w:line="170" w:lineRule="exact"/>
        <w:rPr>
          <w:sz w:val="20"/>
          <w:szCs w:val="20"/>
          <w:color w:val="auto"/>
        </w:rPr>
      </w:pPr>
    </w:p>
    <w:p>
      <w:pPr>
        <w:jc w:val="both"/>
        <w:ind w:right="120"/>
        <w:spacing w:after="0" w:line="306" w:lineRule="auto"/>
        <w:rPr>
          <w:sz w:val="20"/>
          <w:szCs w:val="20"/>
          <w:color w:val="auto"/>
        </w:rPr>
      </w:pPr>
      <w:r>
        <w:rPr>
          <w:rFonts w:ascii="Arial" w:cs="Arial" w:eastAsia="Arial" w:hAnsi="Arial"/>
          <w:sz w:val="16"/>
          <w:szCs w:val="16"/>
          <w:color w:val="auto"/>
        </w:rPr>
        <w:t xml:space="preserve">Bad debt expense decreased by $6.3 million, to $9.5 million in fiscal 2010, compared to $15.8 million in fiscal 2009, when the Company recorded increased bad debt reserves in the </w:t>
      </w:r>
      <w:r>
        <w:rPr>
          <w:rFonts w:ascii="Arial" w:cs="Arial" w:eastAsia="Arial" w:hAnsi="Arial"/>
          <w:sz w:val="16"/>
          <w:szCs w:val="16"/>
          <w:i w:val="1"/>
          <w:iCs w:val="1"/>
          <w:color w:val="auto"/>
        </w:rPr>
        <w:t>Children’s Book Publishing and Distribution</w:t>
      </w:r>
      <w:r>
        <w:rPr>
          <w:rFonts w:ascii="Arial" w:cs="Arial" w:eastAsia="Arial" w:hAnsi="Arial"/>
          <w:sz w:val="16"/>
          <w:szCs w:val="16"/>
          <w:color w:val="auto"/>
        </w:rPr>
        <w:t xml:space="preserve"> and </w:t>
      </w:r>
      <w:r>
        <w:rPr>
          <w:rFonts w:ascii="Arial" w:cs="Arial" w:eastAsia="Arial" w:hAnsi="Arial"/>
          <w:sz w:val="16"/>
          <w:szCs w:val="16"/>
          <w:i w:val="1"/>
          <w:iCs w:val="1"/>
          <w:color w:val="auto"/>
        </w:rPr>
        <w:t>Educational Publishing</w:t>
      </w:r>
      <w:r>
        <w:rPr>
          <w:rFonts w:ascii="Arial" w:cs="Arial" w:eastAsia="Arial" w:hAnsi="Arial"/>
          <w:sz w:val="16"/>
          <w:szCs w:val="16"/>
          <w:color w:val="auto"/>
        </w:rPr>
        <w:t xml:space="preserve"> segments. In fiscal 2009, Bad debt expense reflected an increase of $7.2 million, to $15.8 million, compared to $8.6 million in fiscal 2008, due to increased bad debt reserves in fiscal 2009.</w:t>
      </w:r>
    </w:p>
    <w:p>
      <w:pPr>
        <w:spacing w:after="0" w:line="161" w:lineRule="exact"/>
        <w:rPr>
          <w:sz w:val="20"/>
          <w:szCs w:val="20"/>
          <w:color w:val="auto"/>
        </w:rPr>
      </w:pPr>
    </w:p>
    <w:p>
      <w:pPr>
        <w:ind w:right="160"/>
        <w:spacing w:after="0" w:line="332" w:lineRule="auto"/>
        <w:rPr>
          <w:sz w:val="20"/>
          <w:szCs w:val="20"/>
          <w:color w:val="auto"/>
        </w:rPr>
      </w:pPr>
      <w:r>
        <w:rPr>
          <w:rFonts w:ascii="Arial" w:cs="Arial" w:eastAsia="Arial" w:hAnsi="Arial"/>
          <w:sz w:val="16"/>
          <w:szCs w:val="16"/>
          <w:color w:val="auto"/>
        </w:rPr>
        <w:t>Severance expense for fiscal 2010 decreased by $17.3 million to $9.2 million, compared to $26.5 million in fiscal 2009, primarily due to the prior year expenses incurred related to previously announced cost reduction programs. In fiscal 2009, Severance expense increased by $19.5 million, to $26.5 million, compared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2663825</wp:posOffset>
            </wp:positionH>
            <wp:positionV relativeFrom="paragraph">
              <wp:posOffset>93980</wp:posOffset>
            </wp:positionV>
            <wp:extent cx="1929765" cy="23177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929765"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387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40"/>
          </w:cols>
          <w:pgMar w:left="240" w:top="760" w:right="219" w:bottom="1440" w:gutter="0" w:footer="0" w:header="0"/>
        </w:sectPr>
      </w:pPr>
    </w:p>
    <w:bookmarkStart w:id="29" w:name="page30"/>
    <w:bookmarkEnd w:id="2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63765" cy="8890"/>
                    </a:xfrm>
                    <a:prstGeom prst="rect">
                      <a:avLst/>
                    </a:prstGeom>
                    <a:noFill/>
                  </pic:spPr>
                </pic:pic>
              </a:graphicData>
            </a:graphic>
          </wp:anchor>
        </w:drawing>
        <w:t>to $7.0 million in fiscal 2008, also related to the cost reduction initiatives in fiscal 2009.</w:t>
      </w:r>
    </w:p>
    <w:p>
      <w:pPr>
        <w:spacing w:after="0" w:line="225"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 xml:space="preserve">In fiscal 2010, the Company recorded charges of $43.1 million for asset impairments consisting of: $36.3 million recorded in the </w:t>
      </w:r>
      <w:r>
        <w:rPr>
          <w:rFonts w:ascii="Arial" w:cs="Arial" w:eastAsia="Arial" w:hAnsi="Arial"/>
          <w:sz w:val="16"/>
          <w:szCs w:val="16"/>
          <w:i w:val="1"/>
          <w:iCs w:val="1"/>
          <w:color w:val="auto"/>
        </w:rPr>
        <w:t>Educational Publishing</w:t>
      </w:r>
      <w:r>
        <w:rPr>
          <w:rFonts w:ascii="Arial" w:cs="Arial" w:eastAsia="Arial" w:hAnsi="Arial"/>
          <w:sz w:val="16"/>
          <w:szCs w:val="16"/>
          <w:color w:val="auto"/>
        </w:rPr>
        <w:t xml:space="preserve"> segment, as the Company implemented certain strategic initiatives during the fiscal year to centralize publishing efforts within the </w:t>
      </w:r>
      <w:r>
        <w:rPr>
          <w:rFonts w:ascii="Arial" w:cs="Arial" w:eastAsia="Arial" w:hAnsi="Arial"/>
          <w:sz w:val="16"/>
          <w:szCs w:val="16"/>
          <w:i w:val="1"/>
          <w:iCs w:val="1"/>
          <w:color w:val="auto"/>
        </w:rPr>
        <w:t>Children’s Book Publishing</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and Distribution </w:t>
      </w:r>
      <w:r>
        <w:rPr>
          <w:rFonts w:ascii="Arial" w:cs="Arial" w:eastAsia="Arial" w:hAnsi="Arial"/>
          <w:sz w:val="16"/>
          <w:szCs w:val="16"/>
          <w:color w:val="auto"/>
        </w:rPr>
        <w:t>segment, including the elimination of the front list for certain library-specific titles within the</w:t>
      </w:r>
      <w:r>
        <w:rPr>
          <w:rFonts w:ascii="Arial" w:cs="Arial" w:eastAsia="Arial" w:hAnsi="Arial"/>
          <w:sz w:val="16"/>
          <w:szCs w:val="16"/>
          <w:i w:val="1"/>
          <w:iCs w:val="1"/>
          <w:color w:val="auto"/>
        </w:rPr>
        <w:t xml:space="preserve"> Educational Publishing </w:t>
      </w:r>
      <w:r>
        <w:rPr>
          <w:rFonts w:ascii="Arial" w:cs="Arial" w:eastAsia="Arial" w:hAnsi="Arial"/>
          <w:sz w:val="16"/>
          <w:szCs w:val="16"/>
          <w:color w:val="auto"/>
        </w:rPr>
        <w:t>segment; $3.8 million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recorded in the Company’s </w:t>
      </w:r>
      <w:r>
        <w:rPr>
          <w:rFonts w:ascii="Arial" w:cs="Arial" w:eastAsia="Arial" w:hAnsi="Arial"/>
          <w:sz w:val="16"/>
          <w:szCs w:val="16"/>
          <w:i w:val="1"/>
          <w:iCs w:val="1"/>
          <w:color w:val="auto"/>
        </w:rPr>
        <w:t>International</w:t>
      </w:r>
      <w:r>
        <w:rPr>
          <w:rFonts w:ascii="Arial" w:cs="Arial" w:eastAsia="Arial" w:hAnsi="Arial"/>
          <w:sz w:val="16"/>
          <w:szCs w:val="16"/>
          <w:color w:val="auto"/>
        </w:rPr>
        <w:t xml:space="preserve"> segment related to customer lists acquired as part of the dissolution of a joint venture in the United Kingdom; and $3.0 million relating to goodwill and other intangible assets of the Company’s direct-to-home toy catalog business recorded in the Company’s </w:t>
      </w:r>
      <w:r>
        <w:rPr>
          <w:rFonts w:ascii="Arial" w:cs="Arial" w:eastAsia="Arial" w:hAnsi="Arial"/>
          <w:sz w:val="16"/>
          <w:szCs w:val="16"/>
          <w:i w:val="1"/>
          <w:iCs w:val="1"/>
          <w:color w:val="auto"/>
        </w:rPr>
        <w:t>Media, Licensing and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Advertising </w:t>
      </w:r>
      <w:r>
        <w:rPr>
          <w:rFonts w:ascii="Arial" w:cs="Arial" w:eastAsia="Arial" w:hAnsi="Arial"/>
          <w:sz w:val="16"/>
          <w:szCs w:val="16"/>
          <w:color w:val="auto"/>
        </w:rPr>
        <w:t>segment. In fiscal 2009, the Company recognized a non-cash charge for impairment of goodwill in its UK business of $17.0 million.</w:t>
      </w:r>
    </w:p>
    <w:p>
      <w:pPr>
        <w:spacing w:after="0" w:line="174"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 xml:space="preserve">The resulting operating income for fiscal 2010 increased by $58.0 million, or 82.4%, to $128.4 million, compared to $70.4 million in the prior fiscal year, principally reflecting the strong results in the Company’s </w:t>
      </w:r>
      <w:r>
        <w:rPr>
          <w:rFonts w:ascii="Arial" w:cs="Arial" w:eastAsia="Arial" w:hAnsi="Arial"/>
          <w:sz w:val="18"/>
          <w:szCs w:val="18"/>
          <w:i w:val="1"/>
          <w:iCs w:val="1"/>
          <w:color w:val="auto"/>
        </w:rPr>
        <w:t>Educational Publishing</w:t>
      </w:r>
      <w:r>
        <w:rPr>
          <w:rFonts w:ascii="Arial" w:cs="Arial" w:eastAsia="Arial" w:hAnsi="Arial"/>
          <w:sz w:val="18"/>
          <w:szCs w:val="18"/>
          <w:color w:val="auto"/>
        </w:rPr>
        <w:t xml:space="preserve"> segment, compared to the prior fiscal year. In fiscal 2009, operating income decreased by $143.0 million, to $70.4 million, compared to $213.4 million in the prior fiscal year, primarily related to the fiscal 2008 release of </w:t>
      </w:r>
      <w:r>
        <w:rPr>
          <w:rFonts w:ascii="Arial" w:cs="Arial" w:eastAsia="Arial" w:hAnsi="Arial"/>
          <w:sz w:val="18"/>
          <w:szCs w:val="18"/>
          <w:i w:val="1"/>
          <w:iCs w:val="1"/>
          <w:color w:val="auto"/>
        </w:rPr>
        <w:t>Harry Potter and</w:t>
      </w:r>
      <w:r>
        <w:rPr>
          <w:rFonts w:ascii="Arial" w:cs="Arial" w:eastAsia="Arial" w:hAnsi="Arial"/>
          <w:sz w:val="18"/>
          <w:szCs w:val="18"/>
          <w:color w:val="auto"/>
        </w:rPr>
        <w:t xml:space="preserve"> </w:t>
      </w:r>
      <w:r>
        <w:rPr>
          <w:rFonts w:ascii="Arial" w:cs="Arial" w:eastAsia="Arial" w:hAnsi="Arial"/>
          <w:sz w:val="18"/>
          <w:szCs w:val="18"/>
          <w:i w:val="1"/>
          <w:iCs w:val="1"/>
          <w:color w:val="auto"/>
        </w:rPr>
        <w:t>the Deathly Hallows</w:t>
      </w:r>
      <w:r>
        <w:rPr>
          <w:rFonts w:ascii="Arial" w:cs="Arial" w:eastAsia="Arial" w:hAnsi="Arial"/>
          <w:sz w:val="18"/>
          <w:szCs w:val="18"/>
          <w:color w:val="auto"/>
        </w:rPr>
        <w:t>.</w:t>
      </w:r>
    </w:p>
    <w:p>
      <w:pPr>
        <w:spacing w:after="0" w:line="197"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Interest expense for fiscal 2010 was $17.8 million, compared to $24.2 million in fiscal 2009 and $32.9 million in fiscal 2008, driven by lower borrowing levels and favorable interest rates.</w:t>
      </w:r>
    </w:p>
    <w:p>
      <w:pPr>
        <w:spacing w:after="0" w:line="186"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In fiscal 2010, the Company recognized a non-cash loss on a U.S based investment in the amount of $1.5 million. In fiscal 2009, the Company recognized non-cash unrealized losses on investments in a UK book distribution business and related entities of $13.5 million.</w:t>
      </w:r>
    </w:p>
    <w:p>
      <w:pPr>
        <w:spacing w:after="0" w:line="186" w:lineRule="exact"/>
        <w:rPr>
          <w:sz w:val="20"/>
          <w:szCs w:val="20"/>
          <w:color w:val="auto"/>
        </w:rPr>
      </w:pPr>
    </w:p>
    <w:p>
      <w:pPr>
        <w:ind w:right="300"/>
        <w:spacing w:after="0" w:line="306" w:lineRule="auto"/>
        <w:rPr>
          <w:sz w:val="20"/>
          <w:szCs w:val="20"/>
          <w:color w:val="auto"/>
        </w:rPr>
      </w:pPr>
      <w:r>
        <w:rPr>
          <w:rFonts w:ascii="Arial" w:cs="Arial" w:eastAsia="Arial" w:hAnsi="Arial"/>
          <w:sz w:val="16"/>
          <w:szCs w:val="16"/>
          <w:color w:val="auto"/>
        </w:rPr>
        <w:t>The Company’s provision for income taxes with respect to continuing operations resulted in an effective tax rate of 47.4%, 61.8% and 37.0% for fiscal 2010, 2009 and 2008, respectively. The Company’s effective tax rate for fiscal year 2009 exceeds statutory rates as a result of net operating losses experienced in foreign operations, primarily in the United Kingdom, for which the Company does not expect to realize future tax benefits.</w:t>
      </w:r>
    </w:p>
    <w:p>
      <w:pPr>
        <w:spacing w:after="0" w:line="161"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Earnings from continuing operations increased by $45.5 million to $58.7 million in fiscal 2010, from $13.2 million in fiscal 2009, which decreased by $104.1 million from $117.3 million in fiscal 2008. The basic and diluted earnings from continuing operations per share of Class A Stock and Common Stock were $1.61 and $1.59, respectively, in fiscal 2010, $0.35 in fiscal 2009, and $3.03 and $2.99, respectively, in fiscal 2008.</w:t>
      </w:r>
    </w:p>
    <w:p>
      <w:pPr>
        <w:spacing w:after="0" w:line="16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Loss from discontinued operations, net of tax, decreased to $2.6 million in fiscal 2010, compared to $27.5 million in fiscal 2009 and $134.5 million in fiscal 2008. The higher amount in fiscal 2008 was substantially due to the write-down of certain assets associated with the decision to sell the domestic, Canadian and UK continuities businesses.</w:t>
      </w:r>
    </w:p>
    <w:p>
      <w:pPr>
        <w:spacing w:after="0" w:line="194"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The resulting net income for fiscal 2010 was $56.1 million, or $1.54 and $1.52 per basic and diluted share, respectively, compared to a net loss of $14.3 million, or $0.39 and $0.38 per basic and diluted share, respectively, in fiscal 2009. Net loss in fiscal 2008 was $17.2 million, or $0.44 per basic and diluted share. The weighted average shares of Class A Stock and Common Stock outstanding, which is used to calculate earnings or loss per share, were lower in fiscal 2010, 2009 and 2008 primarily due to an accelerated share repurchase agreement entered into by the Corporation on June 1, 2007 (the “ASR”), as more fully discussed in Note 10 of Notes to Consolidated Financial Statements in Item 8, “Consolidated Financial Statements and Supplementary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2663825</wp:posOffset>
            </wp:positionH>
            <wp:positionV relativeFrom="paragraph">
              <wp:posOffset>113030</wp:posOffset>
            </wp:positionV>
            <wp:extent cx="1929765" cy="23177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929765"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387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40"/>
          </w:cols>
          <w:pgMar w:left="240" w:top="833" w:right="31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63765" cy="8890"/>
                    </a:xfrm>
                    <a:prstGeom prst="rect">
                      <a:avLst/>
                    </a:prstGeom>
                    <a:noFill/>
                  </pic:spPr>
                </pic:pic>
              </a:graphicData>
            </a:graphic>
          </wp:anchor>
        </w:drawing>
        <w:t>Results of Operations – Segments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HILDREN’S</w:t>
      </w:r>
      <w:r>
        <w:rPr>
          <w:rFonts w:ascii="Arial" w:cs="Arial" w:eastAsia="Arial" w:hAnsi="Arial"/>
          <w:sz w:val="18"/>
          <w:szCs w:val="18"/>
          <w:b w:val="1"/>
          <w:bCs w:val="1"/>
          <w:color w:val="auto"/>
        </w:rPr>
        <w:t xml:space="preserve"> B</w:t>
      </w:r>
      <w:r>
        <w:rPr>
          <w:rFonts w:ascii="Arial" w:cs="Arial" w:eastAsia="Arial" w:hAnsi="Arial"/>
          <w:sz w:val="14"/>
          <w:szCs w:val="14"/>
          <w:b w:val="1"/>
          <w:bCs w:val="1"/>
          <w:color w:val="auto"/>
        </w:rPr>
        <w:t>OOK</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UBLISHING AND</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ISTRIBUTION</w:t>
      </w:r>
    </w:p>
    <w:p>
      <w:pPr>
        <w:spacing w:after="0" w:line="243" w:lineRule="exact"/>
        <w:rPr>
          <w:sz w:val="20"/>
          <w:szCs w:val="20"/>
          <w:color w:val="auto"/>
        </w:rPr>
      </w:pPr>
    </w:p>
    <w:p>
      <w:pPr>
        <w:ind w:left="9940"/>
        <w:spacing w:after="0"/>
        <w:rPr>
          <w:sz w:val="20"/>
          <w:szCs w:val="20"/>
          <w:color w:val="auto"/>
        </w:rPr>
      </w:pPr>
      <w:r>
        <w:rPr>
          <w:rFonts w:ascii="Arial" w:cs="Arial" w:eastAsia="Arial" w:hAnsi="Arial"/>
          <w:sz w:val="14"/>
          <w:szCs w:val="14"/>
          <w:color w:val="auto"/>
        </w:rPr>
        <w:t>($ amounts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7186295"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86295" cy="8890"/>
                    </a:xfrm>
                    <a:prstGeom prst="rect">
                      <a:avLst/>
                    </a:prstGeom>
                    <a:noFill/>
                  </pic:spPr>
                </pic:pic>
              </a:graphicData>
            </a:graphic>
          </wp:anchor>
        </w:drawing>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740" w:type="dxa"/>
            <w:vAlign w:val="bottom"/>
          </w:tcPr>
          <w:p>
            <w:pPr>
              <w:spacing w:after="0"/>
              <w:rPr>
                <w:sz w:val="15"/>
                <w:szCs w:val="15"/>
                <w:color w:val="auto"/>
              </w:rPr>
            </w:pPr>
          </w:p>
        </w:tc>
        <w:tc>
          <w:tcPr>
            <w:tcW w:w="4360" w:type="dxa"/>
            <w:vAlign w:val="bottom"/>
          </w:tcPr>
          <w:p>
            <w:pPr>
              <w:jc w:val="right"/>
              <w:ind w:right="377"/>
              <w:spacing w:after="0"/>
              <w:rPr>
                <w:sz w:val="20"/>
                <w:szCs w:val="20"/>
                <w:color w:val="auto"/>
              </w:rPr>
            </w:pPr>
            <w:r>
              <w:rPr>
                <w:rFonts w:ascii="Arial" w:cs="Arial" w:eastAsia="Arial" w:hAnsi="Arial"/>
                <w:sz w:val="14"/>
                <w:szCs w:val="14"/>
                <w:b w:val="1"/>
                <w:bCs w:val="1"/>
                <w:color w:val="auto"/>
              </w:rPr>
              <w:t>2010</w:t>
            </w:r>
          </w:p>
        </w:tc>
        <w:tc>
          <w:tcPr>
            <w:tcW w:w="220" w:type="dxa"/>
            <w:vAlign w:val="bottom"/>
          </w:tcPr>
          <w:p>
            <w:pPr>
              <w:spacing w:after="0"/>
              <w:rPr>
                <w:sz w:val="15"/>
                <w:szCs w:val="15"/>
                <w:color w:val="auto"/>
              </w:rPr>
            </w:pPr>
          </w:p>
        </w:tc>
        <w:tc>
          <w:tcPr>
            <w:tcW w:w="820" w:type="dxa"/>
            <w:vAlign w:val="bottom"/>
          </w:tcPr>
          <w:p>
            <w:pPr>
              <w:jc w:val="right"/>
              <w:ind w:right="377"/>
              <w:spacing w:after="0"/>
              <w:rPr>
                <w:sz w:val="20"/>
                <w:szCs w:val="20"/>
                <w:color w:val="auto"/>
              </w:rPr>
            </w:pPr>
            <w:r>
              <w:rPr>
                <w:rFonts w:ascii="Arial" w:cs="Arial" w:eastAsia="Arial" w:hAnsi="Arial"/>
                <w:sz w:val="14"/>
                <w:szCs w:val="14"/>
                <w:b w:val="1"/>
                <w:bCs w:val="1"/>
                <w:color w:val="auto"/>
              </w:rPr>
              <w:t>2009</w:t>
            </w:r>
          </w:p>
        </w:tc>
        <w:tc>
          <w:tcPr>
            <w:tcW w:w="260" w:type="dxa"/>
            <w:vAlign w:val="bottom"/>
          </w:tcPr>
          <w:p>
            <w:pPr>
              <w:spacing w:after="0"/>
              <w:rPr>
                <w:sz w:val="15"/>
                <w:szCs w:val="15"/>
                <w:color w:val="auto"/>
              </w:rPr>
            </w:pPr>
          </w:p>
        </w:tc>
        <w:tc>
          <w:tcPr>
            <w:tcW w:w="900" w:type="dxa"/>
            <w:vAlign w:val="bottom"/>
          </w:tcPr>
          <w:p>
            <w:pPr>
              <w:jc w:val="right"/>
              <w:ind w:right="437"/>
              <w:spacing w:after="0"/>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5"/>
                <w:szCs w:val="15"/>
                <w:color w:val="auto"/>
              </w:rPr>
            </w:pPr>
          </w:p>
        </w:tc>
      </w:tr>
      <w:tr>
        <w:trPr>
          <w:trHeight w:val="95"/>
        </w:trPr>
        <w:tc>
          <w:tcPr>
            <w:tcW w:w="4740" w:type="dxa"/>
            <w:vAlign w:val="bottom"/>
            <w:tcBorders>
              <w:bottom w:val="single" w:sz="8" w:color="auto"/>
            </w:tcBorders>
          </w:tcPr>
          <w:p>
            <w:pPr>
              <w:spacing w:after="0"/>
              <w:rPr>
                <w:sz w:val="8"/>
                <w:szCs w:val="8"/>
                <w:color w:val="auto"/>
              </w:rPr>
            </w:pPr>
          </w:p>
        </w:tc>
        <w:tc>
          <w:tcPr>
            <w:tcW w:w="436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r>
      <w:tr>
        <w:trPr>
          <w:trHeight w:val="102"/>
        </w:trPr>
        <w:tc>
          <w:tcPr>
            <w:tcW w:w="4740" w:type="dxa"/>
            <w:vAlign w:val="bottom"/>
          </w:tcPr>
          <w:p>
            <w:pPr>
              <w:spacing w:after="0"/>
              <w:rPr>
                <w:sz w:val="8"/>
                <w:szCs w:val="8"/>
                <w:color w:val="auto"/>
              </w:rPr>
            </w:pPr>
          </w:p>
        </w:tc>
        <w:tc>
          <w:tcPr>
            <w:tcW w:w="4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6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203"/>
        </w:trPr>
        <w:tc>
          <w:tcPr>
            <w:tcW w:w="474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Revenues</w:t>
            </w:r>
          </w:p>
        </w:tc>
        <w:tc>
          <w:tcPr>
            <w:tcW w:w="4360" w:type="dxa"/>
            <w:vAlign w:val="bottom"/>
            <w:shd w:val="clear" w:color="auto" w:fill="E6E6E6"/>
          </w:tcPr>
          <w:p>
            <w:pPr>
              <w:jc w:val="right"/>
              <w:ind w:right="117"/>
              <w:spacing w:after="0" w:line="202" w:lineRule="exact"/>
              <w:rPr>
                <w:sz w:val="20"/>
                <w:szCs w:val="20"/>
                <w:color w:val="auto"/>
              </w:rPr>
            </w:pPr>
            <w:r>
              <w:rPr>
                <w:rFonts w:ascii="Arial" w:cs="Arial" w:eastAsia="Arial" w:hAnsi="Arial"/>
                <w:sz w:val="18"/>
                <w:szCs w:val="18"/>
                <w:color w:val="auto"/>
              </w:rPr>
              <w:t>$   910.6</w:t>
            </w:r>
          </w:p>
        </w:tc>
        <w:tc>
          <w:tcPr>
            <w:tcW w:w="220" w:type="dxa"/>
            <w:vAlign w:val="bottom"/>
            <w:shd w:val="clear" w:color="auto" w:fill="E6E6E6"/>
          </w:tcPr>
          <w:p>
            <w:pPr>
              <w:jc w:val="right"/>
              <w:ind w:right="12"/>
              <w:spacing w:after="0" w:line="202" w:lineRule="exact"/>
              <w:rPr>
                <w:sz w:val="20"/>
                <w:szCs w:val="20"/>
                <w:color w:val="auto"/>
              </w:rPr>
            </w:pPr>
            <w:r>
              <w:rPr>
                <w:rFonts w:ascii="Arial" w:cs="Arial" w:eastAsia="Arial" w:hAnsi="Arial"/>
                <w:sz w:val="18"/>
                <w:szCs w:val="18"/>
                <w:color w:val="auto"/>
                <w:w w:val="99"/>
              </w:rPr>
              <w:t>$</w:t>
            </w:r>
          </w:p>
        </w:tc>
        <w:tc>
          <w:tcPr>
            <w:tcW w:w="820" w:type="dxa"/>
            <w:vAlign w:val="bottom"/>
            <w:shd w:val="clear" w:color="auto" w:fill="E6E6E6"/>
          </w:tcPr>
          <w:p>
            <w:pPr>
              <w:jc w:val="right"/>
              <w:ind w:right="117"/>
              <w:spacing w:after="0" w:line="202" w:lineRule="exact"/>
              <w:rPr>
                <w:sz w:val="20"/>
                <w:szCs w:val="20"/>
                <w:color w:val="auto"/>
              </w:rPr>
            </w:pPr>
            <w:r>
              <w:rPr>
                <w:rFonts w:ascii="Arial" w:cs="Arial" w:eastAsia="Arial" w:hAnsi="Arial"/>
                <w:sz w:val="18"/>
                <w:szCs w:val="18"/>
                <w:color w:val="auto"/>
              </w:rPr>
              <w:t>940.4</w:t>
            </w:r>
          </w:p>
        </w:tc>
        <w:tc>
          <w:tcPr>
            <w:tcW w:w="260" w:type="dxa"/>
            <w:vAlign w:val="bottom"/>
            <w:shd w:val="clear" w:color="auto" w:fill="E6E6E6"/>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E6E6E6"/>
          </w:tcPr>
          <w:p>
            <w:pPr>
              <w:jc w:val="right"/>
              <w:ind w:right="97"/>
              <w:spacing w:after="0" w:line="202" w:lineRule="exact"/>
              <w:rPr>
                <w:sz w:val="20"/>
                <w:szCs w:val="20"/>
                <w:color w:val="auto"/>
              </w:rPr>
            </w:pPr>
            <w:r>
              <w:rPr>
                <w:rFonts w:ascii="Arial" w:cs="Arial" w:eastAsia="Arial" w:hAnsi="Arial"/>
                <w:sz w:val="18"/>
                <w:szCs w:val="18"/>
                <w:color w:val="auto"/>
              </w:rPr>
              <w:t>1,187.5</w:t>
            </w:r>
          </w:p>
        </w:tc>
        <w:tc>
          <w:tcPr>
            <w:tcW w:w="20" w:type="dxa"/>
            <w:vAlign w:val="bottom"/>
          </w:tcPr>
          <w:p>
            <w:pPr>
              <w:spacing w:after="0"/>
              <w:rPr>
                <w:sz w:val="17"/>
                <w:szCs w:val="17"/>
                <w:color w:val="auto"/>
              </w:rPr>
            </w:pPr>
          </w:p>
        </w:tc>
      </w:tr>
      <w:tr>
        <w:trPr>
          <w:trHeight w:val="214"/>
        </w:trPr>
        <w:tc>
          <w:tcPr>
            <w:tcW w:w="4740" w:type="dxa"/>
            <w:vAlign w:val="bottom"/>
          </w:tcPr>
          <w:p>
            <w:pPr>
              <w:spacing w:after="0"/>
              <w:rPr>
                <w:sz w:val="20"/>
                <w:szCs w:val="20"/>
                <w:color w:val="auto"/>
              </w:rPr>
            </w:pPr>
            <w:r>
              <w:rPr>
                <w:rFonts w:ascii="Arial" w:cs="Arial" w:eastAsia="Arial" w:hAnsi="Arial"/>
                <w:sz w:val="18"/>
                <w:szCs w:val="18"/>
                <w:color w:val="auto"/>
              </w:rPr>
              <w:t>Operating income</w:t>
            </w:r>
          </w:p>
        </w:tc>
        <w:tc>
          <w:tcPr>
            <w:tcW w:w="4360" w:type="dxa"/>
            <w:vAlign w:val="bottom"/>
          </w:tcPr>
          <w:p>
            <w:pPr>
              <w:jc w:val="right"/>
              <w:ind w:right="117"/>
              <w:spacing w:after="0"/>
              <w:rPr>
                <w:sz w:val="20"/>
                <w:szCs w:val="20"/>
                <w:color w:val="auto"/>
              </w:rPr>
            </w:pPr>
            <w:r>
              <w:rPr>
                <w:rFonts w:ascii="Arial" w:cs="Arial" w:eastAsia="Arial" w:hAnsi="Arial"/>
                <w:sz w:val="18"/>
                <w:szCs w:val="18"/>
                <w:color w:val="auto"/>
              </w:rPr>
              <w:t>117.9</w:t>
            </w:r>
          </w:p>
        </w:tc>
        <w:tc>
          <w:tcPr>
            <w:tcW w:w="220" w:type="dxa"/>
            <w:vAlign w:val="bottom"/>
          </w:tcPr>
          <w:p>
            <w:pPr>
              <w:spacing w:after="0"/>
              <w:rPr>
                <w:sz w:val="18"/>
                <w:szCs w:val="18"/>
                <w:color w:val="auto"/>
              </w:rPr>
            </w:pPr>
          </w:p>
        </w:tc>
        <w:tc>
          <w:tcPr>
            <w:tcW w:w="820" w:type="dxa"/>
            <w:vAlign w:val="bottom"/>
          </w:tcPr>
          <w:p>
            <w:pPr>
              <w:jc w:val="right"/>
              <w:ind w:right="117"/>
              <w:spacing w:after="0"/>
              <w:rPr>
                <w:sz w:val="20"/>
                <w:szCs w:val="20"/>
                <w:color w:val="auto"/>
              </w:rPr>
            </w:pPr>
            <w:r>
              <w:rPr>
                <w:rFonts w:ascii="Arial" w:cs="Arial" w:eastAsia="Arial" w:hAnsi="Arial"/>
                <w:sz w:val="18"/>
                <w:szCs w:val="18"/>
                <w:color w:val="auto"/>
              </w:rPr>
              <w:t>101.8</w:t>
            </w:r>
          </w:p>
        </w:tc>
        <w:tc>
          <w:tcPr>
            <w:tcW w:w="260" w:type="dxa"/>
            <w:vAlign w:val="bottom"/>
          </w:tcPr>
          <w:p>
            <w:pPr>
              <w:spacing w:after="0"/>
              <w:rPr>
                <w:sz w:val="18"/>
                <w:szCs w:val="18"/>
                <w:color w:val="auto"/>
              </w:rPr>
            </w:pPr>
          </w:p>
        </w:tc>
        <w:tc>
          <w:tcPr>
            <w:tcW w:w="900" w:type="dxa"/>
            <w:vAlign w:val="bottom"/>
          </w:tcPr>
          <w:p>
            <w:pPr>
              <w:jc w:val="right"/>
              <w:ind w:right="97"/>
              <w:spacing w:after="0"/>
              <w:rPr>
                <w:sz w:val="20"/>
                <w:szCs w:val="20"/>
                <w:color w:val="auto"/>
              </w:rPr>
            </w:pPr>
            <w:r>
              <w:rPr>
                <w:rFonts w:ascii="Arial" w:cs="Arial" w:eastAsia="Arial" w:hAnsi="Arial"/>
                <w:sz w:val="18"/>
                <w:szCs w:val="18"/>
                <w:color w:val="auto"/>
              </w:rPr>
              <w:t>185.1</w:t>
            </w:r>
          </w:p>
        </w:tc>
        <w:tc>
          <w:tcPr>
            <w:tcW w:w="20" w:type="dxa"/>
            <w:vAlign w:val="bottom"/>
          </w:tcPr>
          <w:p>
            <w:pPr>
              <w:spacing w:after="0"/>
              <w:rPr>
                <w:sz w:val="18"/>
                <w:szCs w:val="18"/>
                <w:color w:val="auto"/>
              </w:rPr>
            </w:pPr>
          </w:p>
        </w:tc>
      </w:tr>
      <w:tr>
        <w:trPr>
          <w:trHeight w:val="97"/>
        </w:trPr>
        <w:tc>
          <w:tcPr>
            <w:tcW w:w="4740" w:type="dxa"/>
            <w:vAlign w:val="bottom"/>
            <w:tcBorders>
              <w:bottom w:val="single" w:sz="8" w:color="808080"/>
            </w:tcBorders>
          </w:tcPr>
          <w:p>
            <w:pPr>
              <w:spacing w:after="0"/>
              <w:rPr>
                <w:sz w:val="8"/>
                <w:szCs w:val="8"/>
                <w:color w:val="auto"/>
              </w:rPr>
            </w:pPr>
          </w:p>
        </w:tc>
        <w:tc>
          <w:tcPr>
            <w:tcW w:w="436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r>
      <w:tr>
        <w:trPr>
          <w:trHeight w:val="102"/>
        </w:trPr>
        <w:tc>
          <w:tcPr>
            <w:tcW w:w="4740" w:type="dxa"/>
            <w:vAlign w:val="bottom"/>
          </w:tcPr>
          <w:p>
            <w:pPr>
              <w:spacing w:after="0"/>
              <w:rPr>
                <w:sz w:val="8"/>
                <w:szCs w:val="8"/>
                <w:color w:val="auto"/>
              </w:rPr>
            </w:pPr>
          </w:p>
        </w:tc>
        <w:tc>
          <w:tcPr>
            <w:tcW w:w="4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6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203"/>
        </w:trPr>
        <w:tc>
          <w:tcPr>
            <w:tcW w:w="474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Operating margin</w:t>
            </w:r>
          </w:p>
        </w:tc>
        <w:tc>
          <w:tcPr>
            <w:tcW w:w="436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12.9%</w:t>
            </w:r>
          </w:p>
        </w:tc>
        <w:tc>
          <w:tcPr>
            <w:tcW w:w="220" w:type="dxa"/>
            <w:vAlign w:val="bottom"/>
            <w:shd w:val="clear" w:color="auto" w:fill="E6E6E6"/>
          </w:tcPr>
          <w:p>
            <w:pPr>
              <w:spacing w:after="0"/>
              <w:rPr>
                <w:sz w:val="17"/>
                <w:szCs w:val="17"/>
                <w:color w:val="auto"/>
              </w:rPr>
            </w:pPr>
          </w:p>
        </w:tc>
        <w:tc>
          <w:tcPr>
            <w:tcW w:w="82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10.8%</w:t>
            </w:r>
          </w:p>
        </w:tc>
        <w:tc>
          <w:tcPr>
            <w:tcW w:w="260" w:type="dxa"/>
            <w:vAlign w:val="bottom"/>
            <w:shd w:val="clear" w:color="auto" w:fill="E6E6E6"/>
          </w:tcPr>
          <w:p>
            <w:pPr>
              <w:spacing w:after="0"/>
              <w:rPr>
                <w:sz w:val="17"/>
                <w:szCs w:val="17"/>
                <w:color w:val="auto"/>
              </w:rPr>
            </w:pPr>
          </w:p>
        </w:tc>
        <w:tc>
          <w:tcPr>
            <w:tcW w:w="90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15.6%</w:t>
            </w:r>
          </w:p>
        </w:tc>
        <w:tc>
          <w:tcPr>
            <w:tcW w:w="20" w:type="dxa"/>
            <w:vAlign w:val="bottom"/>
          </w:tcPr>
          <w:p>
            <w:pPr>
              <w:spacing w:after="0"/>
              <w:rPr>
                <w:sz w:val="17"/>
                <w:szCs w:val="17"/>
                <w:color w:val="auto"/>
              </w:rPr>
            </w:pPr>
          </w:p>
        </w:tc>
      </w:tr>
    </w:tbl>
    <w:p>
      <w:pPr>
        <w:spacing w:after="0" w:line="208"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 xml:space="preserve">Revenues in the </w:t>
      </w:r>
      <w:r>
        <w:rPr>
          <w:rFonts w:ascii="Arial" w:cs="Arial" w:eastAsia="Arial" w:hAnsi="Arial"/>
          <w:sz w:val="18"/>
          <w:szCs w:val="18"/>
          <w:i w:val="1"/>
          <w:iCs w:val="1"/>
          <w:color w:val="auto"/>
        </w:rPr>
        <w:t>Children’s Book Publishing and Distribution</w:t>
      </w:r>
      <w:r>
        <w:rPr>
          <w:rFonts w:ascii="Arial" w:cs="Arial" w:eastAsia="Arial" w:hAnsi="Arial"/>
          <w:sz w:val="18"/>
          <w:szCs w:val="18"/>
          <w:color w:val="auto"/>
        </w:rPr>
        <w:t xml:space="preserve"> segment accounted for 47.6% of the Company’s revenues in fiscal 2010, 50.9% in fiscal 2009 and 55.0% in fiscal 2008. In fiscal 2010, segment revenues decreased by $29.8 million, or 3.2%, to $910.6 million from $940.4 million in the prior fiscal year. This decrease was primarily due to lower revenues in the </w:t>
      </w:r>
      <w:r>
        <w:rPr>
          <w:rFonts w:ascii="Arial" w:cs="Arial" w:eastAsia="Arial" w:hAnsi="Arial"/>
          <w:sz w:val="18"/>
          <w:szCs w:val="18"/>
          <w:i w:val="1"/>
          <w:iCs w:val="1"/>
          <w:color w:val="auto"/>
        </w:rPr>
        <w:t>Children’s Book Publishing and Distribution</w:t>
      </w:r>
      <w:r>
        <w:rPr>
          <w:rFonts w:ascii="Arial" w:cs="Arial" w:eastAsia="Arial" w:hAnsi="Arial"/>
          <w:sz w:val="18"/>
          <w:szCs w:val="18"/>
          <w:color w:val="auto"/>
        </w:rPr>
        <w:t xml:space="preserve"> school-based book club business, which declined by $36.0 million compared to the prior fiscal year, related to fewer orders and sponsors, and the prior year benefit from the release of </w:t>
      </w:r>
      <w:r>
        <w:rPr>
          <w:rFonts w:ascii="Arial" w:cs="Arial" w:eastAsia="Arial" w:hAnsi="Arial"/>
          <w:sz w:val="18"/>
          <w:szCs w:val="18"/>
          <w:i w:val="1"/>
          <w:iCs w:val="1"/>
          <w:color w:val="auto"/>
        </w:rPr>
        <w:t>The Tales of Beedle the Bard</w:t>
      </w:r>
      <w:r>
        <w:rPr>
          <w:rFonts w:ascii="Arial" w:cs="Arial" w:eastAsia="Arial" w:hAnsi="Arial"/>
          <w:sz w:val="18"/>
          <w:szCs w:val="18"/>
          <w:color w:val="auto"/>
        </w:rPr>
        <w:t xml:space="preserve">. In fiscal 2009, segment revenues decreased by $247.1 million, or 20.8%, from $1,187.5 million in fiscal 2008, primarily related to the fiscal 2008 release of </w:t>
      </w:r>
      <w:r>
        <w:rPr>
          <w:rFonts w:ascii="Arial" w:cs="Arial" w:eastAsia="Arial" w:hAnsi="Arial"/>
          <w:sz w:val="18"/>
          <w:szCs w:val="18"/>
          <w:i w:val="1"/>
          <w:iCs w:val="1"/>
          <w:color w:val="auto"/>
        </w:rPr>
        <w:t>Harry Potter</w:t>
      </w:r>
      <w:r>
        <w:rPr>
          <w:rFonts w:ascii="Arial" w:cs="Arial" w:eastAsia="Arial" w:hAnsi="Arial"/>
          <w:sz w:val="18"/>
          <w:szCs w:val="18"/>
          <w:color w:val="auto"/>
        </w:rPr>
        <w:t xml:space="preserve"> </w:t>
      </w:r>
      <w:r>
        <w:rPr>
          <w:rFonts w:ascii="Arial" w:cs="Arial" w:eastAsia="Arial" w:hAnsi="Arial"/>
          <w:sz w:val="18"/>
          <w:szCs w:val="18"/>
          <w:i w:val="1"/>
          <w:iCs w:val="1"/>
          <w:color w:val="auto"/>
        </w:rPr>
        <w:t>and the Deathly Hallows</w:t>
      </w:r>
      <w:r>
        <w:rPr>
          <w:rFonts w:ascii="Arial" w:cs="Arial" w:eastAsia="Arial" w:hAnsi="Arial"/>
          <w:sz w:val="18"/>
          <w:szCs w:val="18"/>
          <w:color w:val="auto"/>
        </w:rPr>
        <w:t>.</w:t>
      </w:r>
    </w:p>
    <w:p>
      <w:pPr>
        <w:spacing w:after="0" w:line="198"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Revenues from school book fairs accounted for 47.3% of segment revenues in fiscal 2010, compared to 44.2% in fiscal 2009 and 35.5% in fiscal 2008. In fiscal 2010, school book fair revenues increased by $15.3 million, or 3.7%, to $431.1 million, compared to $415.8 million in fiscal 2009, primarily due to higher revenue per fair. In fiscal 2009, school book fair revenues decreased by $6.2 million, or 1.5%, from $422.0 million in fiscal 2008, primarily due to lower revenues from clearance sales as well as lower fair count partially offset by higher revenue per fair.</w:t>
      </w:r>
    </w:p>
    <w:p>
      <w:pPr>
        <w:spacing w:after="0" w:line="197"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Revenues from school book clubs accounted for 33.5% of segment revenues in fiscal 2010, compared to 36.3% in fiscal 2009 and 29.2% in fiscal 2008. In fiscal 2010, school book club revenues decreased by $36.0 million, or 10.6%, to $304.9 million, compared to $340.9 million in fiscal 2009, primarily reflecting fewer orders and sponsors, principally related to teacher reassignments at the start of the school year which impacted customer acquisition. In fiscal 2009, school book clubs revenues declined by 1.6%, or $5.6 million, compared to $346.5 million in fiscal 2008, primarily due to lower revenue per order partially offset by an increase in order volume.</w:t>
      </w:r>
    </w:p>
    <w:p>
      <w:pPr>
        <w:spacing w:after="0" w:line="19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 xml:space="preserve">The trade distribution channel accounted for 19.2% of segment revenues in fiscal 2010, compared to 19.5% in fiscal 2009 and 35.3% in fiscal 2008. Trade revenues decreased by $9.1 million to $174.6 million in fiscal 2010, compared to $183.7 million in fiscal 2009 when the Company released </w:t>
      </w:r>
      <w:r>
        <w:rPr>
          <w:rFonts w:ascii="Arial" w:cs="Arial" w:eastAsia="Arial" w:hAnsi="Arial"/>
          <w:sz w:val="18"/>
          <w:szCs w:val="18"/>
          <w:i w:val="1"/>
          <w:iCs w:val="1"/>
          <w:color w:val="auto"/>
        </w:rPr>
        <w:t>The Tales of Beedle</w:t>
      </w:r>
      <w:r>
        <w:rPr>
          <w:rFonts w:ascii="Arial" w:cs="Arial" w:eastAsia="Arial" w:hAnsi="Arial"/>
          <w:sz w:val="18"/>
          <w:szCs w:val="18"/>
          <w:color w:val="auto"/>
        </w:rPr>
        <w:t xml:space="preserve"> </w:t>
      </w:r>
      <w:r>
        <w:rPr>
          <w:rFonts w:ascii="Arial" w:cs="Arial" w:eastAsia="Arial" w:hAnsi="Arial"/>
          <w:sz w:val="18"/>
          <w:szCs w:val="18"/>
          <w:i w:val="1"/>
          <w:iCs w:val="1"/>
          <w:color w:val="auto"/>
        </w:rPr>
        <w:t>the Bard</w:t>
      </w:r>
      <w:r>
        <w:rPr>
          <w:rFonts w:ascii="Arial" w:cs="Arial" w:eastAsia="Arial" w:hAnsi="Arial"/>
          <w:sz w:val="18"/>
          <w:szCs w:val="18"/>
          <w:color w:val="auto"/>
        </w:rPr>
        <w:t>. In fiscal 2009, trade revenues decreased by $235.3 million from $419.0 million in fiscal 2008, related to the prior year’s release of</w:t>
      </w:r>
      <w:r>
        <w:rPr>
          <w:rFonts w:ascii="Arial" w:cs="Arial" w:eastAsia="Arial" w:hAnsi="Arial"/>
          <w:sz w:val="18"/>
          <w:szCs w:val="18"/>
          <w:i w:val="1"/>
          <w:iCs w:val="1"/>
          <w:color w:val="auto"/>
        </w:rPr>
        <w:t xml:space="preserve"> Harry Potter and the Deathly Hallows</w:t>
      </w:r>
      <w:r>
        <w:rPr>
          <w:rFonts w:ascii="Arial" w:cs="Arial" w:eastAsia="Arial" w:hAnsi="Arial"/>
          <w:sz w:val="18"/>
          <w:szCs w:val="18"/>
          <w:color w:val="auto"/>
        </w:rPr>
        <w:t>. Trade revenues for Harry Potter, including</w:t>
      </w:r>
      <w:r>
        <w:rPr>
          <w:rFonts w:ascii="Arial" w:cs="Arial" w:eastAsia="Arial" w:hAnsi="Arial"/>
          <w:sz w:val="18"/>
          <w:szCs w:val="18"/>
          <w:i w:val="1"/>
          <w:iCs w:val="1"/>
          <w:color w:val="auto"/>
        </w:rPr>
        <w:t xml:space="preserve"> The Tales of Beedle the Bard</w:t>
      </w:r>
      <w:r>
        <w:rPr>
          <w:rFonts w:ascii="Arial" w:cs="Arial" w:eastAsia="Arial" w:hAnsi="Arial"/>
          <w:sz w:val="18"/>
          <w:szCs w:val="18"/>
          <w:color w:val="auto"/>
        </w:rPr>
        <w:t>, were approximately $25 million, $35 million and $270 million in fiscal</w:t>
      </w:r>
      <w:r>
        <w:rPr>
          <w:rFonts w:ascii="Arial" w:cs="Arial" w:eastAsia="Arial" w:hAnsi="Arial"/>
          <w:sz w:val="18"/>
          <w:szCs w:val="18"/>
          <w:i w:val="1"/>
          <w:iCs w:val="1"/>
          <w:color w:val="auto"/>
        </w:rPr>
        <w:t xml:space="preserve"> </w:t>
      </w:r>
      <w:r>
        <w:rPr>
          <w:rFonts w:ascii="Arial" w:cs="Arial" w:eastAsia="Arial" w:hAnsi="Arial"/>
          <w:sz w:val="18"/>
          <w:szCs w:val="18"/>
          <w:color w:val="auto"/>
        </w:rPr>
        <w:t>2010, 2009 and 2008, respectively.</w:t>
      </w:r>
    </w:p>
    <w:p>
      <w:pPr>
        <w:spacing w:after="0" w:line="197" w:lineRule="exact"/>
        <w:rPr>
          <w:sz w:val="20"/>
          <w:szCs w:val="20"/>
          <w:color w:val="auto"/>
        </w:rPr>
      </w:pPr>
    </w:p>
    <w:p>
      <w:pPr>
        <w:ind w:right="340"/>
        <w:spacing w:after="0" w:line="298" w:lineRule="auto"/>
        <w:rPr>
          <w:sz w:val="20"/>
          <w:szCs w:val="20"/>
          <w:color w:val="auto"/>
        </w:rPr>
      </w:pPr>
      <w:r>
        <w:rPr>
          <w:rFonts w:ascii="Arial" w:cs="Arial" w:eastAsia="Arial" w:hAnsi="Arial"/>
          <w:sz w:val="16"/>
          <w:szCs w:val="16"/>
          <w:color w:val="auto"/>
        </w:rPr>
        <w:t>Segment operating income in fiscal 2010 increased by $16.1 million, or 15.8%, to $117.9 million, compared to $101.8 million in fiscal 2009. This increase is primarily related to operational improvements in the Company’s school-based book fairs business, favorable returns and reduced bad debt expenses in the Company’s trade business and reduced promotional expenses in the Company’s school-based book clubs business, partially offset by lower school book clubs revenues and an increase in sales tax expense primarily related to a settlement with a taxing authority.</w:t>
      </w:r>
    </w:p>
    <w:p>
      <w:pPr>
        <w:spacing w:after="0" w:line="167"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 xml:space="preserve">In fiscal 2009, segment operating income decreased by $83.3 million, or 45.0%, from $185.1 million in fiscal 2008, primarily in the Company’s trade business resulting from the fiscal 2008 release of </w:t>
      </w:r>
      <w:r>
        <w:rPr>
          <w:rFonts w:ascii="Arial" w:cs="Arial" w:eastAsia="Arial" w:hAnsi="Arial"/>
          <w:sz w:val="18"/>
          <w:szCs w:val="18"/>
          <w:i w:val="1"/>
          <w:iCs w:val="1"/>
          <w:color w:val="auto"/>
        </w:rPr>
        <w:t>Harry Potter and the Deathly Hallows</w:t>
      </w:r>
      <w:r>
        <w:rPr>
          <w:rFonts w:ascii="Arial" w:cs="Arial" w:eastAsia="Arial" w:hAnsi="Arial"/>
          <w:sz w:val="18"/>
          <w:szCs w:val="18"/>
          <w:color w:val="auto"/>
        </w:rPr>
        <w: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w:t>
      </w:r>
      <w:r>
        <w:rPr>
          <w:rFonts w:ascii="Arial" w:cs="Arial" w:eastAsia="Arial" w:hAnsi="Arial"/>
          <w:sz w:val="14"/>
          <w:szCs w:val="14"/>
          <w:b w:val="1"/>
          <w:bCs w:val="1"/>
          <w:color w:val="auto"/>
        </w:rPr>
        <w:t>DUCATIONAL</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UBLISHING</w:t>
      </w:r>
    </w:p>
    <w:p>
      <w:pPr>
        <w:spacing w:after="0" w:line="243" w:lineRule="exact"/>
        <w:rPr>
          <w:sz w:val="20"/>
          <w:szCs w:val="20"/>
          <w:color w:val="auto"/>
        </w:rPr>
      </w:pPr>
    </w:p>
    <w:p>
      <w:pPr>
        <w:jc w:val="right"/>
        <w:ind w:right="20"/>
        <w:spacing w:after="0"/>
        <w:rPr>
          <w:sz w:val="20"/>
          <w:szCs w:val="20"/>
          <w:color w:val="auto"/>
        </w:rPr>
      </w:pPr>
      <w:r>
        <w:rPr>
          <w:rFonts w:ascii="Arial" w:cs="Arial" w:eastAsia="Arial" w:hAnsi="Arial"/>
          <w:sz w:val="14"/>
          <w:szCs w:val="14"/>
          <w:color w:val="auto"/>
        </w:rPr>
        <w:t>($ amounts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7263765"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780" w:type="dxa"/>
            <w:vAlign w:val="bottom"/>
          </w:tcPr>
          <w:p>
            <w:pPr>
              <w:spacing w:after="0"/>
              <w:rPr>
                <w:sz w:val="15"/>
                <w:szCs w:val="15"/>
                <w:color w:val="auto"/>
              </w:rPr>
            </w:pPr>
          </w:p>
        </w:tc>
        <w:tc>
          <w:tcPr>
            <w:tcW w:w="4420" w:type="dxa"/>
            <w:vAlign w:val="bottom"/>
          </w:tcPr>
          <w:p>
            <w:pPr>
              <w:jc w:val="right"/>
              <w:ind w:right="417"/>
              <w:spacing w:after="0"/>
              <w:rPr>
                <w:sz w:val="20"/>
                <w:szCs w:val="20"/>
                <w:color w:val="auto"/>
              </w:rPr>
            </w:pPr>
            <w:r>
              <w:rPr>
                <w:rFonts w:ascii="Arial" w:cs="Arial" w:eastAsia="Arial" w:hAnsi="Arial"/>
                <w:sz w:val="14"/>
                <w:szCs w:val="14"/>
                <w:b w:val="1"/>
                <w:bCs w:val="1"/>
                <w:color w:val="auto"/>
              </w:rPr>
              <w:t>2010</w:t>
            </w:r>
          </w:p>
        </w:tc>
        <w:tc>
          <w:tcPr>
            <w:tcW w:w="1140" w:type="dxa"/>
            <w:vAlign w:val="bottom"/>
          </w:tcPr>
          <w:p>
            <w:pPr>
              <w:jc w:val="right"/>
              <w:ind w:right="417"/>
              <w:spacing w:after="0"/>
              <w:rPr>
                <w:sz w:val="20"/>
                <w:szCs w:val="20"/>
                <w:color w:val="auto"/>
              </w:rPr>
            </w:pPr>
            <w:r>
              <w:rPr>
                <w:rFonts w:ascii="Arial" w:cs="Arial" w:eastAsia="Arial" w:hAnsi="Arial"/>
                <w:sz w:val="14"/>
                <w:szCs w:val="14"/>
                <w:b w:val="1"/>
                <w:bCs w:val="1"/>
                <w:color w:val="auto"/>
              </w:rPr>
              <w:t>2009</w:t>
            </w:r>
          </w:p>
        </w:tc>
        <w:tc>
          <w:tcPr>
            <w:tcW w:w="1080" w:type="dxa"/>
            <w:vAlign w:val="bottom"/>
          </w:tcPr>
          <w:p>
            <w:pPr>
              <w:jc w:val="right"/>
              <w:ind w:right="357"/>
              <w:spacing w:after="0"/>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5"/>
                <w:szCs w:val="15"/>
                <w:color w:val="auto"/>
              </w:rPr>
            </w:pPr>
          </w:p>
        </w:tc>
      </w:tr>
      <w:tr>
        <w:trPr>
          <w:trHeight w:val="95"/>
        </w:trPr>
        <w:tc>
          <w:tcPr>
            <w:tcW w:w="4780" w:type="dxa"/>
            <w:vAlign w:val="bottom"/>
            <w:tcBorders>
              <w:bottom w:val="single" w:sz="8" w:color="auto"/>
            </w:tcBorders>
          </w:tcPr>
          <w:p>
            <w:pPr>
              <w:spacing w:after="0"/>
              <w:rPr>
                <w:sz w:val="8"/>
                <w:szCs w:val="8"/>
                <w:color w:val="auto"/>
              </w:rPr>
            </w:pPr>
          </w:p>
        </w:tc>
        <w:tc>
          <w:tcPr>
            <w:tcW w:w="442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r>
      <w:tr>
        <w:trPr>
          <w:trHeight w:val="102"/>
        </w:trPr>
        <w:tc>
          <w:tcPr>
            <w:tcW w:w="4780" w:type="dxa"/>
            <w:vAlign w:val="bottom"/>
          </w:tcPr>
          <w:p>
            <w:pPr>
              <w:spacing w:after="0"/>
              <w:rPr>
                <w:sz w:val="8"/>
                <w:szCs w:val="8"/>
                <w:color w:val="auto"/>
              </w:rPr>
            </w:pPr>
          </w:p>
        </w:tc>
        <w:tc>
          <w:tcPr>
            <w:tcW w:w="44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203"/>
        </w:trPr>
        <w:tc>
          <w:tcPr>
            <w:tcW w:w="478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Revenues</w:t>
            </w:r>
          </w:p>
        </w:tc>
        <w:tc>
          <w:tcPr>
            <w:tcW w:w="4420" w:type="dxa"/>
            <w:vAlign w:val="bottom"/>
            <w:shd w:val="clear" w:color="auto" w:fill="E6E6E6"/>
          </w:tcPr>
          <w:p>
            <w:pPr>
              <w:jc w:val="right"/>
              <w:ind w:right="157"/>
              <w:spacing w:after="0" w:line="202" w:lineRule="exact"/>
              <w:rPr>
                <w:sz w:val="20"/>
                <w:szCs w:val="20"/>
                <w:color w:val="auto"/>
              </w:rPr>
            </w:pPr>
            <w:r>
              <w:rPr>
                <w:rFonts w:ascii="Arial" w:cs="Arial" w:eastAsia="Arial" w:hAnsi="Arial"/>
                <w:sz w:val="18"/>
                <w:szCs w:val="18"/>
                <w:color w:val="auto"/>
              </w:rPr>
              <w:t>$   476.5</w:t>
            </w:r>
          </w:p>
        </w:tc>
        <w:tc>
          <w:tcPr>
            <w:tcW w:w="1140" w:type="dxa"/>
            <w:vAlign w:val="bottom"/>
            <w:shd w:val="clear" w:color="auto" w:fill="E6E6E6"/>
          </w:tcPr>
          <w:p>
            <w:pPr>
              <w:jc w:val="right"/>
              <w:ind w:right="157"/>
              <w:spacing w:after="0" w:line="202" w:lineRule="exact"/>
              <w:rPr>
                <w:sz w:val="20"/>
                <w:szCs w:val="20"/>
                <w:color w:val="auto"/>
              </w:rPr>
            </w:pPr>
            <w:r>
              <w:rPr>
                <w:rFonts w:ascii="Arial" w:cs="Arial" w:eastAsia="Arial" w:hAnsi="Arial"/>
                <w:sz w:val="18"/>
                <w:szCs w:val="18"/>
                <w:color w:val="auto"/>
              </w:rPr>
              <w:t>$   384.2</w:t>
            </w:r>
          </w:p>
        </w:tc>
        <w:tc>
          <w:tcPr>
            <w:tcW w:w="1080" w:type="dxa"/>
            <w:vAlign w:val="bottom"/>
            <w:shd w:val="clear" w:color="auto" w:fill="E6E6E6"/>
          </w:tcPr>
          <w:p>
            <w:pPr>
              <w:jc w:val="right"/>
              <w:ind w:right="97"/>
              <w:spacing w:after="0" w:line="202" w:lineRule="exact"/>
              <w:rPr>
                <w:sz w:val="20"/>
                <w:szCs w:val="20"/>
                <w:color w:val="auto"/>
              </w:rPr>
            </w:pPr>
            <w:r>
              <w:rPr>
                <w:rFonts w:ascii="Arial" w:cs="Arial" w:eastAsia="Arial" w:hAnsi="Arial"/>
                <w:sz w:val="18"/>
                <w:szCs w:val="18"/>
                <w:color w:val="auto"/>
              </w:rPr>
              <w:t>$   407.1</w:t>
            </w:r>
          </w:p>
        </w:tc>
        <w:tc>
          <w:tcPr>
            <w:tcW w:w="20" w:type="dxa"/>
            <w:vAlign w:val="bottom"/>
          </w:tcPr>
          <w:p>
            <w:pPr>
              <w:spacing w:after="0"/>
              <w:rPr>
                <w:sz w:val="17"/>
                <w:szCs w:val="17"/>
                <w:color w:val="auto"/>
              </w:rPr>
            </w:pPr>
          </w:p>
        </w:tc>
      </w:tr>
      <w:tr>
        <w:trPr>
          <w:trHeight w:val="214"/>
        </w:trPr>
        <w:tc>
          <w:tcPr>
            <w:tcW w:w="4780" w:type="dxa"/>
            <w:vAlign w:val="bottom"/>
          </w:tcPr>
          <w:p>
            <w:pPr>
              <w:spacing w:after="0"/>
              <w:rPr>
                <w:sz w:val="20"/>
                <w:szCs w:val="20"/>
                <w:color w:val="auto"/>
              </w:rPr>
            </w:pPr>
            <w:r>
              <w:rPr>
                <w:rFonts w:ascii="Arial" w:cs="Arial" w:eastAsia="Arial" w:hAnsi="Arial"/>
                <w:sz w:val="18"/>
                <w:szCs w:val="18"/>
                <w:color w:val="auto"/>
              </w:rPr>
              <w:t>Operating income</w:t>
            </w:r>
          </w:p>
        </w:tc>
        <w:tc>
          <w:tcPr>
            <w:tcW w:w="4420" w:type="dxa"/>
            <w:vAlign w:val="bottom"/>
          </w:tcPr>
          <w:p>
            <w:pPr>
              <w:jc w:val="right"/>
              <w:ind w:right="157"/>
              <w:spacing w:after="0"/>
              <w:rPr>
                <w:sz w:val="20"/>
                <w:szCs w:val="20"/>
                <w:color w:val="auto"/>
              </w:rPr>
            </w:pPr>
            <w:r>
              <w:rPr>
                <w:rFonts w:ascii="Arial" w:cs="Arial" w:eastAsia="Arial" w:hAnsi="Arial"/>
                <w:sz w:val="18"/>
                <w:szCs w:val="18"/>
                <w:color w:val="auto"/>
              </w:rPr>
              <w:t>67.2</w:t>
            </w:r>
          </w:p>
        </w:tc>
        <w:tc>
          <w:tcPr>
            <w:tcW w:w="1140" w:type="dxa"/>
            <w:vAlign w:val="bottom"/>
          </w:tcPr>
          <w:p>
            <w:pPr>
              <w:jc w:val="right"/>
              <w:ind w:right="157"/>
              <w:spacing w:after="0"/>
              <w:rPr>
                <w:sz w:val="20"/>
                <w:szCs w:val="20"/>
                <w:color w:val="auto"/>
              </w:rPr>
            </w:pPr>
            <w:r>
              <w:rPr>
                <w:rFonts w:ascii="Arial" w:cs="Arial" w:eastAsia="Arial" w:hAnsi="Arial"/>
                <w:sz w:val="18"/>
                <w:szCs w:val="18"/>
                <w:color w:val="auto"/>
              </w:rPr>
              <w:t>55.8</w:t>
            </w:r>
          </w:p>
        </w:tc>
        <w:tc>
          <w:tcPr>
            <w:tcW w:w="1080" w:type="dxa"/>
            <w:vAlign w:val="bottom"/>
          </w:tcPr>
          <w:p>
            <w:pPr>
              <w:jc w:val="right"/>
              <w:ind w:right="97"/>
              <w:spacing w:after="0"/>
              <w:rPr>
                <w:sz w:val="20"/>
                <w:szCs w:val="20"/>
                <w:color w:val="auto"/>
              </w:rPr>
            </w:pPr>
            <w:r>
              <w:rPr>
                <w:rFonts w:ascii="Arial" w:cs="Arial" w:eastAsia="Arial" w:hAnsi="Arial"/>
                <w:sz w:val="18"/>
                <w:szCs w:val="18"/>
                <w:color w:val="auto"/>
              </w:rPr>
              <w:t>65.9</w:t>
            </w:r>
          </w:p>
        </w:tc>
        <w:tc>
          <w:tcPr>
            <w:tcW w:w="20" w:type="dxa"/>
            <w:vAlign w:val="bottom"/>
          </w:tcPr>
          <w:p>
            <w:pPr>
              <w:spacing w:after="0"/>
              <w:rPr>
                <w:sz w:val="18"/>
                <w:szCs w:val="18"/>
                <w:color w:val="auto"/>
              </w:rPr>
            </w:pPr>
          </w:p>
        </w:tc>
      </w:tr>
      <w:tr>
        <w:trPr>
          <w:trHeight w:val="97"/>
        </w:trPr>
        <w:tc>
          <w:tcPr>
            <w:tcW w:w="4780" w:type="dxa"/>
            <w:vAlign w:val="bottom"/>
            <w:tcBorders>
              <w:bottom w:val="single" w:sz="8" w:color="808080"/>
            </w:tcBorders>
          </w:tcPr>
          <w:p>
            <w:pPr>
              <w:spacing w:after="0"/>
              <w:rPr>
                <w:sz w:val="8"/>
                <w:szCs w:val="8"/>
                <w:color w:val="auto"/>
              </w:rPr>
            </w:pPr>
          </w:p>
        </w:tc>
        <w:tc>
          <w:tcPr>
            <w:tcW w:w="4420" w:type="dxa"/>
            <w:vAlign w:val="bottom"/>
            <w:tcBorders>
              <w:bottom w:val="single" w:sz="8" w:color="808080"/>
            </w:tcBorders>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108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r>
      <w:tr>
        <w:trPr>
          <w:trHeight w:val="102"/>
        </w:trPr>
        <w:tc>
          <w:tcPr>
            <w:tcW w:w="4780" w:type="dxa"/>
            <w:vAlign w:val="bottom"/>
          </w:tcPr>
          <w:p>
            <w:pPr>
              <w:spacing w:after="0"/>
              <w:rPr>
                <w:sz w:val="8"/>
                <w:szCs w:val="8"/>
                <w:color w:val="auto"/>
              </w:rPr>
            </w:pPr>
          </w:p>
        </w:tc>
        <w:tc>
          <w:tcPr>
            <w:tcW w:w="44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203"/>
        </w:trPr>
        <w:tc>
          <w:tcPr>
            <w:tcW w:w="478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Operating margin</w:t>
            </w:r>
          </w:p>
        </w:tc>
        <w:tc>
          <w:tcPr>
            <w:tcW w:w="442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14.1%</w:t>
            </w:r>
          </w:p>
        </w:tc>
        <w:tc>
          <w:tcPr>
            <w:tcW w:w="114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14.5%</w:t>
            </w:r>
          </w:p>
        </w:tc>
        <w:tc>
          <w:tcPr>
            <w:tcW w:w="108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16.2%</w:t>
            </w:r>
          </w:p>
        </w:tc>
        <w:tc>
          <w:tcPr>
            <w:tcW w:w="2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2663825</wp:posOffset>
            </wp:positionH>
            <wp:positionV relativeFrom="paragraph">
              <wp:posOffset>137160</wp:posOffset>
            </wp:positionV>
            <wp:extent cx="1929765" cy="23177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929765"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387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40"/>
          </w:cols>
          <w:pgMar w:left="240" w:top="827" w:right="219" w:bottom="1440" w:gutter="0" w:footer="0" w:header="0"/>
        </w:sectPr>
      </w:pPr>
    </w:p>
    <w:bookmarkStart w:id="31" w:name="page32"/>
    <w:bookmarkEnd w:id="31"/>
    <w:p>
      <w:pPr>
        <w:ind w:right="140"/>
        <w:spacing w:after="0" w:line="305"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63765" cy="8890"/>
                    </a:xfrm>
                    <a:prstGeom prst="rect">
                      <a:avLst/>
                    </a:prstGeom>
                    <a:noFill/>
                  </pic:spPr>
                </pic:pic>
              </a:graphicData>
            </a:graphic>
          </wp:anchor>
        </w:drawing>
        <w:t xml:space="preserve">Revenues in the </w:t>
      </w:r>
      <w:r>
        <w:rPr>
          <w:rFonts w:ascii="Arial" w:cs="Arial" w:eastAsia="Arial" w:hAnsi="Arial"/>
          <w:sz w:val="15"/>
          <w:szCs w:val="15"/>
          <w:i w:val="1"/>
          <w:iCs w:val="1"/>
          <w:color w:val="auto"/>
        </w:rPr>
        <w:t>Educational Publishing</w:t>
      </w:r>
      <w:r>
        <w:rPr>
          <w:rFonts w:ascii="Arial" w:cs="Arial" w:eastAsia="Arial" w:hAnsi="Arial"/>
          <w:sz w:val="15"/>
          <w:szCs w:val="15"/>
          <w:color w:val="auto"/>
        </w:rPr>
        <w:t xml:space="preserve"> segment accounted for 24.9% of the Company’s revenues in fiscal 2010, 20.8% in fiscal 2009 and 18.9% in fiscal 2008. In fiscal 2010, segment revenues increased by $92.3 million, or 24.0%, to $476.5 million, compared to $384.2 million in the prior year. This increase was the</w:t>
      </w:r>
    </w:p>
    <w:p>
      <w:pPr>
        <w:ind w:right="300"/>
        <w:spacing w:after="0" w:line="239" w:lineRule="auto"/>
        <w:rPr>
          <w:sz w:val="20"/>
          <w:szCs w:val="20"/>
          <w:color w:val="auto"/>
        </w:rPr>
      </w:pPr>
      <w:r>
        <w:rPr>
          <w:rFonts w:ascii="Arial" w:cs="Arial" w:eastAsia="Arial" w:hAnsi="Arial"/>
          <w:sz w:val="17"/>
          <w:szCs w:val="17"/>
          <w:color w:val="auto"/>
        </w:rPr>
        <w:t>result of higher sales of READ 180</w:t>
      </w:r>
      <w:r>
        <w:rPr>
          <w:rFonts w:ascii="Arial" w:cs="Arial" w:eastAsia="Arial" w:hAnsi="Arial"/>
          <w:sz w:val="28"/>
          <w:szCs w:val="28"/>
          <w:color w:val="auto"/>
          <w:vertAlign w:val="superscript"/>
        </w:rPr>
        <w:t>®</w:t>
      </w:r>
      <w:r>
        <w:rPr>
          <w:rFonts w:ascii="Arial" w:cs="Arial" w:eastAsia="Arial" w:hAnsi="Arial"/>
          <w:sz w:val="17"/>
          <w:szCs w:val="17"/>
          <w:color w:val="auto"/>
        </w:rPr>
        <w:t xml:space="preserve">, System 44 and other educational technology products and related services in Scholastic Education, along with new adoptions, in particular the California adoption of READ 180 and System 44, the significant impact of federal stimulus funding for education. Revenues in the </w:t>
      </w:r>
      <w:r>
        <w:rPr>
          <w:rFonts w:ascii="Arial" w:cs="Arial" w:eastAsia="Arial" w:hAnsi="Arial"/>
          <w:sz w:val="17"/>
          <w:szCs w:val="17"/>
          <w:i w:val="1"/>
          <w:iCs w:val="1"/>
          <w:color w:val="auto"/>
        </w:rPr>
        <w:t xml:space="preserve">Educational Publishing </w:t>
      </w:r>
      <w:r>
        <w:rPr>
          <w:rFonts w:ascii="Arial" w:cs="Arial" w:eastAsia="Arial" w:hAnsi="Arial"/>
          <w:sz w:val="17"/>
          <w:szCs w:val="17"/>
          <w:color w:val="auto"/>
        </w:rPr>
        <w:t>segment declined by $22.9 million to $384.2 million in fiscal 2009, compared to $407.1 million in fiscal 2008, principally driven by</w:t>
      </w:r>
      <w:r>
        <w:rPr>
          <w:rFonts w:ascii="Arial" w:cs="Arial" w:eastAsia="Arial" w:hAnsi="Arial"/>
          <w:sz w:val="17"/>
          <w:szCs w:val="17"/>
          <w:i w:val="1"/>
          <w:iCs w:val="1"/>
          <w:color w:val="auto"/>
        </w:rPr>
        <w:t xml:space="preserve"> </w:t>
      </w:r>
      <w:r>
        <w:rPr>
          <w:rFonts w:ascii="Arial" w:cs="Arial" w:eastAsia="Arial" w:hAnsi="Arial"/>
          <w:sz w:val="17"/>
          <w:szCs w:val="17"/>
          <w:color w:val="auto"/>
        </w:rPr>
        <w:t>lower sales of READ180 in the first quarter of fiscal 2009 as well as lower school classroom and library revenues.</w:t>
      </w:r>
    </w:p>
    <w:p>
      <w:pPr>
        <w:spacing w:after="0" w:line="210"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 xml:space="preserve">In fiscal 2010, segment operating income increased by $11.4 million, or 20.4%, to $67.2 million, compared to $55.8 million in the prior fiscal year, primarily due to the higher revenues, partially offset by an asset impairment charge of $36.3 million recorded in the second quarter of fiscal 2010 in connection with the Company’s decision to consolidate supplemental non-fiction and library publishing activities into the </w:t>
      </w:r>
      <w:r>
        <w:rPr>
          <w:rFonts w:ascii="Arial" w:cs="Arial" w:eastAsia="Arial" w:hAnsi="Arial"/>
          <w:sz w:val="16"/>
          <w:szCs w:val="16"/>
          <w:i w:val="1"/>
          <w:iCs w:val="1"/>
          <w:color w:val="auto"/>
        </w:rPr>
        <w:t>Children’s Book Publishing and Distribution</w:t>
      </w:r>
      <w:r>
        <w:rPr>
          <w:rFonts w:ascii="Arial" w:cs="Arial" w:eastAsia="Arial" w:hAnsi="Arial"/>
          <w:sz w:val="16"/>
          <w:szCs w:val="16"/>
          <w:color w:val="auto"/>
        </w:rPr>
        <w:t xml:space="preserve"> segment. In fiscal 2009, segment operating income decreased by $10.1 million, or 15.3%, from $65.9 million in fiscal 2008, primarily due to the lower revenues and a non-cash charge for fixed assets impairments of $1.4 million, partially offset by lower selling expenses.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w:t>
      </w:r>
      <w:r>
        <w:rPr>
          <w:rFonts w:ascii="Arial" w:cs="Arial" w:eastAsia="Arial" w:hAnsi="Arial"/>
          <w:sz w:val="14"/>
          <w:szCs w:val="14"/>
          <w:b w:val="1"/>
          <w:bCs w:val="1"/>
          <w:color w:val="auto"/>
        </w:rPr>
        <w:t>EDIA</w:t>
      </w:r>
      <w:r>
        <w:rPr>
          <w:rFonts w:ascii="Arial" w:cs="Arial" w:eastAsia="Arial" w:hAnsi="Arial"/>
          <w:sz w:val="18"/>
          <w:szCs w:val="18"/>
          <w:b w:val="1"/>
          <w:bCs w:val="1"/>
          <w:color w:val="auto"/>
        </w:rPr>
        <w:t>, L</w:t>
      </w:r>
      <w:r>
        <w:rPr>
          <w:rFonts w:ascii="Arial" w:cs="Arial" w:eastAsia="Arial" w:hAnsi="Arial"/>
          <w:sz w:val="14"/>
          <w:szCs w:val="14"/>
          <w:b w:val="1"/>
          <w:bCs w:val="1"/>
          <w:color w:val="auto"/>
        </w:rPr>
        <w:t>ICENSING AND</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DVERTISING</w:t>
      </w:r>
    </w:p>
    <w:p>
      <w:pPr>
        <w:spacing w:after="0" w:line="243" w:lineRule="exact"/>
        <w:rPr>
          <w:sz w:val="20"/>
          <w:szCs w:val="20"/>
          <w:color w:val="auto"/>
        </w:rPr>
      </w:pPr>
    </w:p>
    <w:p>
      <w:pPr>
        <w:jc w:val="right"/>
        <w:ind w:right="20"/>
        <w:spacing w:after="0"/>
        <w:rPr>
          <w:sz w:val="20"/>
          <w:szCs w:val="20"/>
          <w:color w:val="auto"/>
        </w:rPr>
      </w:pPr>
      <w:r>
        <w:rPr>
          <w:rFonts w:ascii="Arial" w:cs="Arial" w:eastAsia="Arial" w:hAnsi="Arial"/>
          <w:sz w:val="14"/>
          <w:szCs w:val="14"/>
          <w:color w:val="auto"/>
        </w:rPr>
        <w:t>($ amounts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7263765"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800" w:type="dxa"/>
            <w:vAlign w:val="bottom"/>
          </w:tcPr>
          <w:p>
            <w:pPr>
              <w:spacing w:after="0"/>
              <w:rPr>
                <w:sz w:val="15"/>
                <w:szCs w:val="15"/>
                <w:color w:val="auto"/>
              </w:rPr>
            </w:pPr>
          </w:p>
        </w:tc>
        <w:tc>
          <w:tcPr>
            <w:tcW w:w="4420" w:type="dxa"/>
            <w:vAlign w:val="bottom"/>
          </w:tcPr>
          <w:p>
            <w:pPr>
              <w:jc w:val="right"/>
              <w:ind w:right="377"/>
              <w:spacing w:after="0"/>
              <w:rPr>
                <w:sz w:val="20"/>
                <w:szCs w:val="20"/>
                <w:color w:val="auto"/>
              </w:rPr>
            </w:pPr>
            <w:r>
              <w:rPr>
                <w:rFonts w:ascii="Arial" w:cs="Arial" w:eastAsia="Arial" w:hAnsi="Arial"/>
                <w:sz w:val="14"/>
                <w:szCs w:val="14"/>
                <w:b w:val="1"/>
                <w:bCs w:val="1"/>
                <w:color w:val="auto"/>
              </w:rPr>
              <w:t>2010</w:t>
            </w:r>
          </w:p>
        </w:tc>
        <w:tc>
          <w:tcPr>
            <w:tcW w:w="1100" w:type="dxa"/>
            <w:vAlign w:val="bottom"/>
          </w:tcPr>
          <w:p>
            <w:pPr>
              <w:jc w:val="right"/>
              <w:ind w:right="357"/>
              <w:spacing w:after="0"/>
              <w:rPr>
                <w:sz w:val="20"/>
                <w:szCs w:val="20"/>
                <w:color w:val="auto"/>
              </w:rPr>
            </w:pPr>
            <w:r>
              <w:rPr>
                <w:rFonts w:ascii="Arial" w:cs="Arial" w:eastAsia="Arial" w:hAnsi="Arial"/>
                <w:sz w:val="14"/>
                <w:szCs w:val="14"/>
                <w:b w:val="1"/>
                <w:bCs w:val="1"/>
                <w:color w:val="auto"/>
              </w:rPr>
              <w:t>2009</w:t>
            </w:r>
          </w:p>
        </w:tc>
        <w:tc>
          <w:tcPr>
            <w:tcW w:w="1100" w:type="dxa"/>
            <w:vAlign w:val="bottom"/>
          </w:tcPr>
          <w:p>
            <w:pPr>
              <w:jc w:val="right"/>
              <w:ind w:right="317"/>
              <w:spacing w:after="0"/>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5"/>
                <w:szCs w:val="15"/>
                <w:color w:val="auto"/>
              </w:rPr>
            </w:pPr>
          </w:p>
        </w:tc>
      </w:tr>
      <w:tr>
        <w:trPr>
          <w:trHeight w:val="95"/>
        </w:trPr>
        <w:tc>
          <w:tcPr>
            <w:tcW w:w="4800" w:type="dxa"/>
            <w:vAlign w:val="bottom"/>
            <w:tcBorders>
              <w:bottom w:val="single" w:sz="8" w:color="auto"/>
            </w:tcBorders>
          </w:tcPr>
          <w:p>
            <w:pPr>
              <w:spacing w:after="0"/>
              <w:rPr>
                <w:sz w:val="8"/>
                <w:szCs w:val="8"/>
                <w:color w:val="auto"/>
              </w:rPr>
            </w:pPr>
          </w:p>
        </w:tc>
        <w:tc>
          <w:tcPr>
            <w:tcW w:w="442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r>
      <w:tr>
        <w:trPr>
          <w:trHeight w:val="102"/>
        </w:trPr>
        <w:tc>
          <w:tcPr>
            <w:tcW w:w="4800" w:type="dxa"/>
            <w:vAlign w:val="bottom"/>
          </w:tcPr>
          <w:p>
            <w:pPr>
              <w:spacing w:after="0"/>
              <w:rPr>
                <w:sz w:val="8"/>
                <w:szCs w:val="8"/>
                <w:color w:val="auto"/>
              </w:rPr>
            </w:pPr>
          </w:p>
        </w:tc>
        <w:tc>
          <w:tcPr>
            <w:tcW w:w="44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203"/>
        </w:trPr>
        <w:tc>
          <w:tcPr>
            <w:tcW w:w="480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Revenues</w:t>
            </w:r>
          </w:p>
        </w:tc>
        <w:tc>
          <w:tcPr>
            <w:tcW w:w="4420" w:type="dxa"/>
            <w:vAlign w:val="bottom"/>
            <w:shd w:val="clear" w:color="auto" w:fill="E6E6E6"/>
          </w:tcPr>
          <w:p>
            <w:pPr>
              <w:jc w:val="right"/>
              <w:ind w:right="117"/>
              <w:spacing w:after="0" w:line="202" w:lineRule="exact"/>
              <w:rPr>
                <w:sz w:val="20"/>
                <w:szCs w:val="20"/>
                <w:color w:val="auto"/>
              </w:rPr>
            </w:pPr>
            <w:r>
              <w:rPr>
                <w:rFonts w:ascii="Arial" w:cs="Arial" w:eastAsia="Arial" w:hAnsi="Arial"/>
                <w:sz w:val="18"/>
                <w:szCs w:val="18"/>
                <w:color w:val="auto"/>
              </w:rPr>
              <w:t>$   113.8</w:t>
            </w:r>
          </w:p>
        </w:tc>
        <w:tc>
          <w:tcPr>
            <w:tcW w:w="1100" w:type="dxa"/>
            <w:vAlign w:val="bottom"/>
            <w:shd w:val="clear" w:color="auto" w:fill="E6E6E6"/>
          </w:tcPr>
          <w:p>
            <w:pPr>
              <w:jc w:val="right"/>
              <w:ind w:right="77"/>
              <w:spacing w:after="0" w:line="202" w:lineRule="exact"/>
              <w:rPr>
                <w:sz w:val="20"/>
                <w:szCs w:val="20"/>
                <w:color w:val="auto"/>
              </w:rPr>
            </w:pPr>
            <w:r>
              <w:rPr>
                <w:rFonts w:ascii="Arial" w:cs="Arial" w:eastAsia="Arial" w:hAnsi="Arial"/>
                <w:sz w:val="18"/>
                <w:szCs w:val="18"/>
                <w:color w:val="auto"/>
              </w:rPr>
              <w:t>$   125.7</w:t>
            </w:r>
          </w:p>
        </w:tc>
        <w:tc>
          <w:tcPr>
            <w:tcW w:w="1100" w:type="dxa"/>
            <w:vAlign w:val="bottom"/>
            <w:shd w:val="clear" w:color="auto" w:fill="E6E6E6"/>
          </w:tcPr>
          <w:p>
            <w:pPr>
              <w:jc w:val="right"/>
              <w:ind w:right="37"/>
              <w:spacing w:after="0" w:line="202" w:lineRule="exact"/>
              <w:rPr>
                <w:sz w:val="20"/>
                <w:szCs w:val="20"/>
                <w:color w:val="auto"/>
              </w:rPr>
            </w:pPr>
            <w:r>
              <w:rPr>
                <w:rFonts w:ascii="Arial" w:cs="Arial" w:eastAsia="Arial" w:hAnsi="Arial"/>
                <w:sz w:val="18"/>
                <w:szCs w:val="18"/>
                <w:color w:val="auto"/>
              </w:rPr>
              <w:t>$   114.7</w:t>
            </w:r>
          </w:p>
        </w:tc>
        <w:tc>
          <w:tcPr>
            <w:tcW w:w="20" w:type="dxa"/>
            <w:vAlign w:val="bottom"/>
          </w:tcPr>
          <w:p>
            <w:pPr>
              <w:spacing w:after="0"/>
              <w:rPr>
                <w:sz w:val="17"/>
                <w:szCs w:val="17"/>
                <w:color w:val="auto"/>
              </w:rPr>
            </w:pPr>
          </w:p>
        </w:tc>
      </w:tr>
      <w:tr>
        <w:trPr>
          <w:trHeight w:val="214"/>
        </w:trPr>
        <w:tc>
          <w:tcPr>
            <w:tcW w:w="4800" w:type="dxa"/>
            <w:vAlign w:val="bottom"/>
          </w:tcPr>
          <w:p>
            <w:pPr>
              <w:spacing w:after="0"/>
              <w:rPr>
                <w:sz w:val="20"/>
                <w:szCs w:val="20"/>
                <w:color w:val="auto"/>
              </w:rPr>
            </w:pPr>
            <w:r>
              <w:rPr>
                <w:rFonts w:ascii="Arial" w:cs="Arial" w:eastAsia="Arial" w:hAnsi="Arial"/>
                <w:sz w:val="18"/>
                <w:szCs w:val="18"/>
                <w:color w:val="auto"/>
              </w:rPr>
              <w:t>Operating loss</w:t>
            </w:r>
          </w:p>
        </w:tc>
        <w:tc>
          <w:tcPr>
            <w:tcW w:w="4420" w:type="dxa"/>
            <w:vAlign w:val="bottom"/>
          </w:tcPr>
          <w:p>
            <w:pPr>
              <w:jc w:val="right"/>
              <w:ind w:right="57"/>
              <w:spacing w:after="0"/>
              <w:rPr>
                <w:sz w:val="20"/>
                <w:szCs w:val="20"/>
                <w:color w:val="auto"/>
              </w:rPr>
            </w:pPr>
            <w:r>
              <w:rPr>
                <w:rFonts w:ascii="Arial" w:cs="Arial" w:eastAsia="Arial" w:hAnsi="Arial"/>
                <w:sz w:val="18"/>
                <w:szCs w:val="18"/>
                <w:color w:val="auto"/>
              </w:rPr>
              <w:t>(4.2)</w:t>
            </w:r>
          </w:p>
        </w:tc>
        <w:tc>
          <w:tcPr>
            <w:tcW w:w="1100" w:type="dxa"/>
            <w:vAlign w:val="bottom"/>
          </w:tcPr>
          <w:p>
            <w:pPr>
              <w:jc w:val="right"/>
              <w:ind w:right="77"/>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18"/>
                <w:szCs w:val="18"/>
                <w:color w:val="auto"/>
              </w:rPr>
            </w:pPr>
          </w:p>
        </w:tc>
      </w:tr>
      <w:tr>
        <w:trPr>
          <w:trHeight w:val="97"/>
        </w:trPr>
        <w:tc>
          <w:tcPr>
            <w:tcW w:w="4800" w:type="dxa"/>
            <w:vAlign w:val="bottom"/>
            <w:tcBorders>
              <w:bottom w:val="single" w:sz="8" w:color="808080"/>
            </w:tcBorders>
          </w:tcPr>
          <w:p>
            <w:pPr>
              <w:spacing w:after="0"/>
              <w:rPr>
                <w:sz w:val="8"/>
                <w:szCs w:val="8"/>
                <w:color w:val="auto"/>
              </w:rPr>
            </w:pPr>
          </w:p>
        </w:tc>
        <w:tc>
          <w:tcPr>
            <w:tcW w:w="4420" w:type="dxa"/>
            <w:vAlign w:val="bottom"/>
            <w:tcBorders>
              <w:bottom w:val="single" w:sz="8" w:color="808080"/>
            </w:tcBorders>
          </w:tcPr>
          <w:p>
            <w:pPr>
              <w:spacing w:after="0"/>
              <w:rPr>
                <w:sz w:val="8"/>
                <w:szCs w:val="8"/>
                <w:color w:val="auto"/>
              </w:rPr>
            </w:pPr>
          </w:p>
        </w:tc>
        <w:tc>
          <w:tcPr>
            <w:tcW w:w="1100" w:type="dxa"/>
            <w:vAlign w:val="bottom"/>
            <w:tcBorders>
              <w:bottom w:val="single" w:sz="8" w:color="808080"/>
            </w:tcBorders>
          </w:tcPr>
          <w:p>
            <w:pPr>
              <w:spacing w:after="0"/>
              <w:rPr>
                <w:sz w:val="8"/>
                <w:szCs w:val="8"/>
                <w:color w:val="auto"/>
              </w:rPr>
            </w:pPr>
          </w:p>
        </w:tc>
        <w:tc>
          <w:tcPr>
            <w:tcW w:w="110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r>
      <w:tr>
        <w:trPr>
          <w:trHeight w:val="102"/>
        </w:trPr>
        <w:tc>
          <w:tcPr>
            <w:tcW w:w="4800" w:type="dxa"/>
            <w:vAlign w:val="bottom"/>
          </w:tcPr>
          <w:p>
            <w:pPr>
              <w:spacing w:after="0"/>
              <w:rPr>
                <w:sz w:val="8"/>
                <w:szCs w:val="8"/>
                <w:color w:val="auto"/>
              </w:rPr>
            </w:pPr>
          </w:p>
        </w:tc>
        <w:tc>
          <w:tcPr>
            <w:tcW w:w="44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203"/>
        </w:trPr>
        <w:tc>
          <w:tcPr>
            <w:tcW w:w="480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Operating margin</w:t>
            </w:r>
          </w:p>
        </w:tc>
        <w:tc>
          <w:tcPr>
            <w:tcW w:w="4420" w:type="dxa"/>
            <w:vAlign w:val="bottom"/>
            <w:shd w:val="clear" w:color="auto" w:fill="E6E6E6"/>
          </w:tcPr>
          <w:p>
            <w:pPr>
              <w:jc w:val="right"/>
              <w:ind w:right="117"/>
              <w:spacing w:after="0" w:line="202" w:lineRule="exact"/>
              <w:rPr>
                <w:sz w:val="20"/>
                <w:szCs w:val="20"/>
                <w:color w:val="auto"/>
              </w:rPr>
            </w:pPr>
            <w:r>
              <w:rPr>
                <w:rFonts w:ascii="Arial" w:cs="Arial" w:eastAsia="Arial" w:hAnsi="Arial"/>
                <w:sz w:val="18"/>
                <w:szCs w:val="18"/>
                <w:color w:val="auto"/>
              </w:rPr>
              <w:t>*</w:t>
            </w:r>
          </w:p>
        </w:tc>
        <w:tc>
          <w:tcPr>
            <w:tcW w:w="1100" w:type="dxa"/>
            <w:vAlign w:val="bottom"/>
            <w:shd w:val="clear" w:color="auto" w:fill="E6E6E6"/>
          </w:tcPr>
          <w:p>
            <w:pPr>
              <w:jc w:val="right"/>
              <w:ind w:right="77"/>
              <w:spacing w:after="0" w:line="202" w:lineRule="exact"/>
              <w:rPr>
                <w:sz w:val="20"/>
                <w:szCs w:val="20"/>
                <w:color w:val="auto"/>
              </w:rPr>
            </w:pPr>
            <w:r>
              <w:rPr>
                <w:rFonts w:ascii="Arial" w:cs="Arial" w:eastAsia="Arial" w:hAnsi="Arial"/>
                <w:sz w:val="18"/>
                <w:szCs w:val="18"/>
                <w:color w:val="auto"/>
              </w:rPr>
              <w:t>*</w:t>
            </w:r>
          </w:p>
        </w:tc>
        <w:tc>
          <w:tcPr>
            <w:tcW w:w="1100" w:type="dxa"/>
            <w:vAlign w:val="bottom"/>
            <w:shd w:val="clear" w:color="auto" w:fill="E6E6E6"/>
          </w:tcPr>
          <w:p>
            <w:pPr>
              <w:jc w:val="right"/>
              <w:ind w:right="37"/>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r>
    </w:tbl>
    <w:p>
      <w:pPr>
        <w:spacing w:after="0" w:line="256"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4"/>
          <w:szCs w:val="14"/>
          <w:color w:val="auto"/>
        </w:rPr>
      </w:pPr>
      <w:r>
        <w:rPr>
          <w:rFonts w:ascii="Arial" w:cs="Arial" w:eastAsia="Arial" w:hAnsi="Arial"/>
          <w:sz w:val="14"/>
          <w:szCs w:val="14"/>
          <w:color w:val="auto"/>
        </w:rPr>
        <w:t>not meaningful</w:t>
      </w:r>
    </w:p>
    <w:p>
      <w:pPr>
        <w:spacing w:after="0" w:line="196"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 xml:space="preserve">Revenues in the </w:t>
      </w:r>
      <w:r>
        <w:rPr>
          <w:rFonts w:ascii="Arial" w:cs="Arial" w:eastAsia="Arial" w:hAnsi="Arial"/>
          <w:sz w:val="16"/>
          <w:szCs w:val="16"/>
          <w:i w:val="1"/>
          <w:iCs w:val="1"/>
          <w:color w:val="auto"/>
        </w:rPr>
        <w:t>Media, Licensing and Advertising</w:t>
      </w:r>
      <w:r>
        <w:rPr>
          <w:rFonts w:ascii="Arial" w:cs="Arial" w:eastAsia="Arial" w:hAnsi="Arial"/>
          <w:sz w:val="16"/>
          <w:szCs w:val="16"/>
          <w:color w:val="auto"/>
        </w:rPr>
        <w:t xml:space="preserve"> segment accounted for 6.0% of the Company’s revenues in fiscal 2010, 6.7% in fiscal 2009 and 5.3% in fiscal 2008. In fiscal 2010, segment revenues decreased by $11.9 million, or 9.5%, to $113.8 million, from $125.7 million in fiscal 2009, primarily due to lower revenues from sales of software and interactive products as well as lower revenues from the Company’s direct-to-home toy catalog business. In fiscal 2009, segment revenues increased by $11.0 million, or 9.6%, from $114.7 million in fiscal 2008, primarily due to higher revenues from sales of software and interactive products, higher revenues in the custom publishing business and higher production revenues.</w:t>
      </w:r>
    </w:p>
    <w:p>
      <w:pPr>
        <w:spacing w:after="0" w:line="170"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In fiscal 2010, the segment experienced an operating loss of $4.2 million, primarily related to impairment charges totaling $3.0 million related to the Company’s direct-to-home toy catalog business and lower revenues as noted above. In fiscal 2009, segment operating loss was less than $0.1 million, compared to a loss of $2.9 million in fiscal 2008.</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4"/>
          <w:szCs w:val="14"/>
          <w:b w:val="1"/>
          <w:bCs w:val="1"/>
          <w:color w:val="auto"/>
        </w:rPr>
        <w:t>NTERNATIONAL</w:t>
      </w:r>
    </w:p>
    <w:p>
      <w:pPr>
        <w:spacing w:after="0" w:line="243" w:lineRule="exact"/>
        <w:rPr>
          <w:sz w:val="20"/>
          <w:szCs w:val="20"/>
          <w:color w:val="auto"/>
        </w:rPr>
      </w:pPr>
    </w:p>
    <w:p>
      <w:pPr>
        <w:jc w:val="right"/>
        <w:ind w:right="20"/>
        <w:spacing w:after="0"/>
        <w:rPr>
          <w:sz w:val="20"/>
          <w:szCs w:val="20"/>
          <w:color w:val="auto"/>
        </w:rPr>
      </w:pPr>
      <w:r>
        <w:rPr>
          <w:rFonts w:ascii="Arial" w:cs="Arial" w:eastAsia="Arial" w:hAnsi="Arial"/>
          <w:sz w:val="14"/>
          <w:szCs w:val="14"/>
          <w:color w:val="auto"/>
        </w:rPr>
        <w:t>($ amounts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7263765"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780" w:type="dxa"/>
            <w:vAlign w:val="bottom"/>
          </w:tcPr>
          <w:p>
            <w:pPr>
              <w:spacing w:after="0"/>
              <w:rPr>
                <w:sz w:val="15"/>
                <w:szCs w:val="15"/>
                <w:color w:val="auto"/>
              </w:rPr>
            </w:pPr>
          </w:p>
        </w:tc>
        <w:tc>
          <w:tcPr>
            <w:tcW w:w="4420" w:type="dxa"/>
            <w:vAlign w:val="bottom"/>
          </w:tcPr>
          <w:p>
            <w:pPr>
              <w:jc w:val="right"/>
              <w:ind w:right="417"/>
              <w:spacing w:after="0"/>
              <w:rPr>
                <w:sz w:val="20"/>
                <w:szCs w:val="20"/>
                <w:color w:val="auto"/>
              </w:rPr>
            </w:pPr>
            <w:r>
              <w:rPr>
                <w:rFonts w:ascii="Arial" w:cs="Arial" w:eastAsia="Arial" w:hAnsi="Arial"/>
                <w:sz w:val="14"/>
                <w:szCs w:val="14"/>
                <w:b w:val="1"/>
                <w:bCs w:val="1"/>
                <w:color w:val="auto"/>
              </w:rPr>
              <w:t>2010</w:t>
            </w:r>
          </w:p>
        </w:tc>
        <w:tc>
          <w:tcPr>
            <w:tcW w:w="1140" w:type="dxa"/>
            <w:vAlign w:val="bottom"/>
          </w:tcPr>
          <w:p>
            <w:pPr>
              <w:jc w:val="right"/>
              <w:ind w:right="417"/>
              <w:spacing w:after="0"/>
              <w:rPr>
                <w:sz w:val="20"/>
                <w:szCs w:val="20"/>
                <w:color w:val="auto"/>
              </w:rPr>
            </w:pPr>
            <w:r>
              <w:rPr>
                <w:rFonts w:ascii="Arial" w:cs="Arial" w:eastAsia="Arial" w:hAnsi="Arial"/>
                <w:sz w:val="14"/>
                <w:szCs w:val="14"/>
                <w:b w:val="1"/>
                <w:bCs w:val="1"/>
                <w:color w:val="auto"/>
              </w:rPr>
              <w:t>2009</w:t>
            </w:r>
          </w:p>
        </w:tc>
        <w:tc>
          <w:tcPr>
            <w:tcW w:w="1080" w:type="dxa"/>
            <w:vAlign w:val="bottom"/>
          </w:tcPr>
          <w:p>
            <w:pPr>
              <w:jc w:val="right"/>
              <w:ind w:right="357"/>
              <w:spacing w:after="0"/>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5"/>
                <w:szCs w:val="15"/>
                <w:color w:val="auto"/>
              </w:rPr>
            </w:pPr>
          </w:p>
        </w:tc>
      </w:tr>
      <w:tr>
        <w:trPr>
          <w:trHeight w:val="95"/>
        </w:trPr>
        <w:tc>
          <w:tcPr>
            <w:tcW w:w="4780" w:type="dxa"/>
            <w:vAlign w:val="bottom"/>
            <w:tcBorders>
              <w:bottom w:val="single" w:sz="8" w:color="auto"/>
            </w:tcBorders>
          </w:tcPr>
          <w:p>
            <w:pPr>
              <w:spacing w:after="0"/>
              <w:rPr>
                <w:sz w:val="8"/>
                <w:szCs w:val="8"/>
                <w:color w:val="auto"/>
              </w:rPr>
            </w:pPr>
          </w:p>
        </w:tc>
        <w:tc>
          <w:tcPr>
            <w:tcW w:w="442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r>
      <w:tr>
        <w:trPr>
          <w:trHeight w:val="102"/>
        </w:trPr>
        <w:tc>
          <w:tcPr>
            <w:tcW w:w="4780" w:type="dxa"/>
            <w:vAlign w:val="bottom"/>
          </w:tcPr>
          <w:p>
            <w:pPr>
              <w:spacing w:after="0"/>
              <w:rPr>
                <w:sz w:val="8"/>
                <w:szCs w:val="8"/>
                <w:color w:val="auto"/>
              </w:rPr>
            </w:pPr>
          </w:p>
        </w:tc>
        <w:tc>
          <w:tcPr>
            <w:tcW w:w="44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203"/>
        </w:trPr>
        <w:tc>
          <w:tcPr>
            <w:tcW w:w="478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Revenues</w:t>
            </w:r>
          </w:p>
        </w:tc>
        <w:tc>
          <w:tcPr>
            <w:tcW w:w="4420" w:type="dxa"/>
            <w:vAlign w:val="bottom"/>
            <w:shd w:val="clear" w:color="auto" w:fill="E6E6E6"/>
          </w:tcPr>
          <w:p>
            <w:pPr>
              <w:jc w:val="right"/>
              <w:ind w:right="157"/>
              <w:spacing w:after="0" w:line="202" w:lineRule="exact"/>
              <w:rPr>
                <w:sz w:val="20"/>
                <w:szCs w:val="20"/>
                <w:color w:val="auto"/>
              </w:rPr>
            </w:pPr>
            <w:r>
              <w:rPr>
                <w:rFonts w:ascii="Arial" w:cs="Arial" w:eastAsia="Arial" w:hAnsi="Arial"/>
                <w:sz w:val="18"/>
                <w:szCs w:val="18"/>
                <w:color w:val="auto"/>
              </w:rPr>
              <w:t>$   412.0</w:t>
            </w:r>
          </w:p>
        </w:tc>
        <w:tc>
          <w:tcPr>
            <w:tcW w:w="1140" w:type="dxa"/>
            <w:vAlign w:val="bottom"/>
            <w:shd w:val="clear" w:color="auto" w:fill="E6E6E6"/>
          </w:tcPr>
          <w:p>
            <w:pPr>
              <w:jc w:val="right"/>
              <w:ind w:right="157"/>
              <w:spacing w:after="0" w:line="202" w:lineRule="exact"/>
              <w:rPr>
                <w:sz w:val="20"/>
                <w:szCs w:val="20"/>
                <w:color w:val="auto"/>
              </w:rPr>
            </w:pPr>
            <w:r>
              <w:rPr>
                <w:rFonts w:ascii="Arial" w:cs="Arial" w:eastAsia="Arial" w:hAnsi="Arial"/>
                <w:sz w:val="18"/>
                <w:szCs w:val="18"/>
                <w:color w:val="auto"/>
              </w:rPr>
              <w:t>$   399.0</w:t>
            </w:r>
          </w:p>
        </w:tc>
        <w:tc>
          <w:tcPr>
            <w:tcW w:w="1080" w:type="dxa"/>
            <w:vAlign w:val="bottom"/>
            <w:shd w:val="clear" w:color="auto" w:fill="E6E6E6"/>
          </w:tcPr>
          <w:p>
            <w:pPr>
              <w:jc w:val="right"/>
              <w:ind w:right="97"/>
              <w:spacing w:after="0" w:line="202" w:lineRule="exact"/>
              <w:rPr>
                <w:sz w:val="20"/>
                <w:szCs w:val="20"/>
                <w:color w:val="auto"/>
              </w:rPr>
            </w:pPr>
            <w:r>
              <w:rPr>
                <w:rFonts w:ascii="Arial" w:cs="Arial" w:eastAsia="Arial" w:hAnsi="Arial"/>
                <w:sz w:val="18"/>
                <w:szCs w:val="18"/>
                <w:color w:val="auto"/>
              </w:rPr>
              <w:t>$   449.8</w:t>
            </w:r>
          </w:p>
        </w:tc>
        <w:tc>
          <w:tcPr>
            <w:tcW w:w="20" w:type="dxa"/>
            <w:vAlign w:val="bottom"/>
          </w:tcPr>
          <w:p>
            <w:pPr>
              <w:spacing w:after="0"/>
              <w:rPr>
                <w:sz w:val="17"/>
                <w:szCs w:val="17"/>
                <w:color w:val="auto"/>
              </w:rPr>
            </w:pPr>
          </w:p>
        </w:tc>
      </w:tr>
      <w:tr>
        <w:trPr>
          <w:trHeight w:val="214"/>
        </w:trPr>
        <w:tc>
          <w:tcPr>
            <w:tcW w:w="4780" w:type="dxa"/>
            <w:vAlign w:val="bottom"/>
          </w:tcPr>
          <w:p>
            <w:pPr>
              <w:spacing w:after="0"/>
              <w:rPr>
                <w:sz w:val="20"/>
                <w:szCs w:val="20"/>
                <w:color w:val="auto"/>
              </w:rPr>
            </w:pPr>
            <w:r>
              <w:rPr>
                <w:rFonts w:ascii="Arial" w:cs="Arial" w:eastAsia="Arial" w:hAnsi="Arial"/>
                <w:sz w:val="18"/>
                <w:szCs w:val="18"/>
                <w:color w:val="auto"/>
              </w:rPr>
              <w:t>Operating income</w:t>
            </w:r>
          </w:p>
        </w:tc>
        <w:tc>
          <w:tcPr>
            <w:tcW w:w="4420" w:type="dxa"/>
            <w:vAlign w:val="bottom"/>
          </w:tcPr>
          <w:p>
            <w:pPr>
              <w:jc w:val="right"/>
              <w:ind w:right="157"/>
              <w:spacing w:after="0"/>
              <w:rPr>
                <w:sz w:val="20"/>
                <w:szCs w:val="20"/>
                <w:color w:val="auto"/>
              </w:rPr>
            </w:pPr>
            <w:r>
              <w:rPr>
                <w:rFonts w:ascii="Arial" w:cs="Arial" w:eastAsia="Arial" w:hAnsi="Arial"/>
                <w:sz w:val="18"/>
                <w:szCs w:val="18"/>
                <w:color w:val="auto"/>
              </w:rPr>
              <w:t>30.0</w:t>
            </w:r>
          </w:p>
        </w:tc>
        <w:tc>
          <w:tcPr>
            <w:tcW w:w="1140" w:type="dxa"/>
            <w:vAlign w:val="bottom"/>
          </w:tcPr>
          <w:p>
            <w:pPr>
              <w:jc w:val="right"/>
              <w:ind w:right="157"/>
              <w:spacing w:after="0"/>
              <w:rPr>
                <w:sz w:val="20"/>
                <w:szCs w:val="20"/>
                <w:color w:val="auto"/>
              </w:rPr>
            </w:pPr>
            <w:r>
              <w:rPr>
                <w:rFonts w:ascii="Arial" w:cs="Arial" w:eastAsia="Arial" w:hAnsi="Arial"/>
                <w:sz w:val="18"/>
                <w:szCs w:val="18"/>
                <w:color w:val="auto"/>
              </w:rPr>
              <w:t>7.3</w:t>
            </w:r>
          </w:p>
        </w:tc>
        <w:tc>
          <w:tcPr>
            <w:tcW w:w="1080" w:type="dxa"/>
            <w:vAlign w:val="bottom"/>
          </w:tcPr>
          <w:p>
            <w:pPr>
              <w:jc w:val="right"/>
              <w:ind w:right="97"/>
              <w:spacing w:after="0"/>
              <w:rPr>
                <w:sz w:val="20"/>
                <w:szCs w:val="20"/>
                <w:color w:val="auto"/>
              </w:rPr>
            </w:pPr>
            <w:r>
              <w:rPr>
                <w:rFonts w:ascii="Arial" w:cs="Arial" w:eastAsia="Arial" w:hAnsi="Arial"/>
                <w:sz w:val="18"/>
                <w:szCs w:val="18"/>
                <w:color w:val="auto"/>
              </w:rPr>
              <w:t>42.3</w:t>
            </w:r>
          </w:p>
        </w:tc>
        <w:tc>
          <w:tcPr>
            <w:tcW w:w="20" w:type="dxa"/>
            <w:vAlign w:val="bottom"/>
          </w:tcPr>
          <w:p>
            <w:pPr>
              <w:spacing w:after="0"/>
              <w:rPr>
                <w:sz w:val="18"/>
                <w:szCs w:val="18"/>
                <w:color w:val="auto"/>
              </w:rPr>
            </w:pPr>
          </w:p>
        </w:tc>
      </w:tr>
      <w:tr>
        <w:trPr>
          <w:trHeight w:val="97"/>
        </w:trPr>
        <w:tc>
          <w:tcPr>
            <w:tcW w:w="4780" w:type="dxa"/>
            <w:vAlign w:val="bottom"/>
            <w:tcBorders>
              <w:bottom w:val="single" w:sz="8" w:color="808080"/>
            </w:tcBorders>
          </w:tcPr>
          <w:p>
            <w:pPr>
              <w:spacing w:after="0"/>
              <w:rPr>
                <w:sz w:val="8"/>
                <w:szCs w:val="8"/>
                <w:color w:val="auto"/>
              </w:rPr>
            </w:pPr>
          </w:p>
        </w:tc>
        <w:tc>
          <w:tcPr>
            <w:tcW w:w="4420" w:type="dxa"/>
            <w:vAlign w:val="bottom"/>
            <w:tcBorders>
              <w:bottom w:val="single" w:sz="8" w:color="808080"/>
            </w:tcBorders>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108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r>
      <w:tr>
        <w:trPr>
          <w:trHeight w:val="102"/>
        </w:trPr>
        <w:tc>
          <w:tcPr>
            <w:tcW w:w="4780" w:type="dxa"/>
            <w:vAlign w:val="bottom"/>
          </w:tcPr>
          <w:p>
            <w:pPr>
              <w:spacing w:after="0"/>
              <w:rPr>
                <w:sz w:val="8"/>
                <w:szCs w:val="8"/>
                <w:color w:val="auto"/>
              </w:rPr>
            </w:pPr>
          </w:p>
        </w:tc>
        <w:tc>
          <w:tcPr>
            <w:tcW w:w="44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203"/>
        </w:trPr>
        <w:tc>
          <w:tcPr>
            <w:tcW w:w="478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Operating margin</w:t>
            </w:r>
          </w:p>
        </w:tc>
        <w:tc>
          <w:tcPr>
            <w:tcW w:w="442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7.3%</w:t>
            </w:r>
          </w:p>
        </w:tc>
        <w:tc>
          <w:tcPr>
            <w:tcW w:w="114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1.8%</w:t>
            </w:r>
          </w:p>
        </w:tc>
        <w:tc>
          <w:tcPr>
            <w:tcW w:w="108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9.4%</w:t>
            </w:r>
          </w:p>
        </w:tc>
        <w:tc>
          <w:tcPr>
            <w:tcW w:w="20" w:type="dxa"/>
            <w:vAlign w:val="bottom"/>
          </w:tcPr>
          <w:p>
            <w:pPr>
              <w:spacing w:after="0"/>
              <w:rPr>
                <w:sz w:val="17"/>
                <w:szCs w:val="17"/>
                <w:color w:val="auto"/>
              </w:rPr>
            </w:pPr>
          </w:p>
        </w:tc>
      </w:tr>
    </w:tbl>
    <w:p>
      <w:pPr>
        <w:spacing w:after="0" w:line="208"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 xml:space="preserve">Revenues in the </w:t>
      </w:r>
      <w:r>
        <w:rPr>
          <w:rFonts w:ascii="Arial" w:cs="Arial" w:eastAsia="Arial" w:hAnsi="Arial"/>
          <w:sz w:val="16"/>
          <w:szCs w:val="16"/>
          <w:i w:val="1"/>
          <w:iCs w:val="1"/>
          <w:color w:val="auto"/>
        </w:rPr>
        <w:t>International</w:t>
      </w:r>
      <w:r>
        <w:rPr>
          <w:rFonts w:ascii="Arial" w:cs="Arial" w:eastAsia="Arial" w:hAnsi="Arial"/>
          <w:sz w:val="16"/>
          <w:szCs w:val="16"/>
          <w:color w:val="auto"/>
        </w:rPr>
        <w:t xml:space="preserve"> segment accounted for 21.5% of the Company’s revenues in fiscal 2010, 21.6% in fiscal 2009 and 20.8% in fiscal 2008. In fiscal 2010, segment revenues increased by $13.0 million, or 3.3%, to $412.0 million, from $399.0 million in the prior fiscal year. This increase was primarily due to the favorable impact of foreign currency exchange rates of $27.2 million principally in Australia and Canada, partially offset by sales declines in Canada of $7.1 million and the United Kingdom of $5.4 million. In fiscal 2009, segment revenues decreased by $50.8 million to $399.0 million, from $449.8 million in fiscal 2008. This decrease was related to the unfavorable impact of foreign currency exchange rates of $62.5 million as well as a revenue decline in the United Kingdom of $11.6 million, partially offset by revenue growth in Australia and Canada of $13.5 million and $8.0 million, respectively.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Segment operating income in fiscal 2010 increased by $22.7 million, to $30.0 million, compared to $7.3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2663825</wp:posOffset>
            </wp:positionH>
            <wp:positionV relativeFrom="paragraph">
              <wp:posOffset>148590</wp:posOffset>
            </wp:positionV>
            <wp:extent cx="1929765" cy="23177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929765"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387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40"/>
          </w:cols>
          <w:pgMar w:left="240" w:top="833" w:right="219" w:bottom="1440" w:gutter="0" w:footer="0" w:header="0"/>
        </w:sectPr>
      </w:pPr>
    </w:p>
    <w:bookmarkStart w:id="32" w:name="page33"/>
    <w:bookmarkEnd w:id="32"/>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63765" cy="8890"/>
                    </a:xfrm>
                    <a:prstGeom prst="rect">
                      <a:avLst/>
                    </a:prstGeom>
                    <a:noFill/>
                  </pic:spPr>
                </pic:pic>
              </a:graphicData>
            </a:graphic>
          </wp:anchor>
        </w:drawing>
        <w:t>million in the prior fiscal year, primarily reflecting a non-cash charge for impairment of goodwill of $17.0 million in the UK in the prior year. Restructuring costs in the United Kingdom of $4.7 million were recorded in fiscal 2010. In addition, a $3.8 million non-cash impairment charge in the UK was recorded in the second quarter of fiscal 2010. Segment operating income in fiscal 2009 decreased to $7.3 million, from $42.3 million in fiscal 2008, primarily due to lower operating income in the United Kingdom, including the above mentioned non-cash charge, as well as the unfavorable impact of foreign currency exchange rates of $12.1 million.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31"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The Company’s cash and cash equivalents, including the cash of the discontinued operations, totaled $244.1 million at May 31, 2010, compared to $143.6 million at May 31, 2009 and $120.4 million at May 31, 2008.</w:t>
      </w:r>
    </w:p>
    <w:p>
      <w:pPr>
        <w:spacing w:after="0" w:line="186"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Cash provided by operating activities improved by $87.2 million to $275.8 million for the year ended May 31, 2010, compared to $188.6 million at May 31, 2009. In addition to the increase in net income, adjusted for non-cash items of $69.3 million, the $87.2 million improvement was primarily related to favorable working capital changes which included the following:</w:t>
      </w:r>
    </w:p>
    <w:p>
      <w:pPr>
        <w:spacing w:after="0" w:line="208" w:lineRule="exact"/>
        <w:rPr>
          <w:sz w:val="20"/>
          <w:szCs w:val="20"/>
          <w:color w:val="auto"/>
        </w:rPr>
      </w:pPr>
    </w:p>
    <w:p>
      <w:pPr>
        <w:ind w:left="920" w:right="300" w:hanging="453"/>
        <w:spacing w:after="0" w:line="268" w:lineRule="auto"/>
        <w:tabs>
          <w:tab w:leader="none" w:pos="9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$5.6 million increase in deferred revenue for the year ended May 31, 2010, compared to a decrease of $0.5 million for the year ended May 31, 2009, resulting in an improvement of $6.1 million in cash provided by operating activities.</w:t>
      </w:r>
    </w:p>
    <w:p>
      <w:pPr>
        <w:spacing w:after="0" w:line="226" w:lineRule="exact"/>
        <w:rPr>
          <w:rFonts w:ascii="Arial" w:cs="Arial" w:eastAsia="Arial" w:hAnsi="Arial"/>
          <w:sz w:val="18"/>
          <w:szCs w:val="18"/>
          <w:color w:val="auto"/>
        </w:rPr>
      </w:pPr>
    </w:p>
    <w:p>
      <w:pPr>
        <w:ind w:left="920" w:right="160" w:hanging="453"/>
        <w:spacing w:after="0" w:line="332" w:lineRule="auto"/>
        <w:tabs>
          <w:tab w:leader="none" w:pos="920" w:val="left"/>
        </w:tabs>
        <w:numPr>
          <w:ilvl w:val="0"/>
          <w:numId w:val="7"/>
        </w:numPr>
        <w:rPr>
          <w:rFonts w:ascii="Arial" w:cs="Arial" w:eastAsia="Arial" w:hAnsi="Arial"/>
          <w:sz w:val="16"/>
          <w:szCs w:val="16"/>
          <w:color w:val="auto"/>
        </w:rPr>
      </w:pPr>
      <w:r>
        <w:rPr>
          <w:rFonts w:ascii="Arial" w:cs="Arial" w:eastAsia="Arial" w:hAnsi="Arial"/>
          <w:sz w:val="16"/>
          <w:szCs w:val="16"/>
          <w:color w:val="auto"/>
        </w:rPr>
        <w:t>A $3.4 million decrease in inventories for the year ended May 31, 2010, compared to an increase in inventories of $25.8 million for the year ended May 31, 2009, resulting in an improvement of $29.2 million in cash provided by operating activities in fiscal 2010.</w:t>
      </w:r>
    </w:p>
    <w:p>
      <w:pPr>
        <w:spacing w:after="0" w:line="139" w:lineRule="exact"/>
        <w:rPr>
          <w:sz w:val="20"/>
          <w:szCs w:val="20"/>
          <w:color w:val="auto"/>
        </w:rPr>
      </w:pPr>
    </w:p>
    <w:p>
      <w:pPr>
        <w:ind w:right="300"/>
        <w:spacing w:after="0" w:line="332" w:lineRule="auto"/>
        <w:rPr>
          <w:sz w:val="20"/>
          <w:szCs w:val="20"/>
          <w:color w:val="auto"/>
        </w:rPr>
      </w:pPr>
      <w:r>
        <w:rPr>
          <w:rFonts w:ascii="Arial" w:cs="Arial" w:eastAsia="Arial" w:hAnsi="Arial"/>
          <w:sz w:val="16"/>
          <w:szCs w:val="16"/>
          <w:color w:val="auto"/>
        </w:rPr>
        <w:t>Cash provided by operating activities is expected to be negatively impacted in fiscal 2011 compared to fiscal 2009 and fiscal 2010, as income tax payments in fiscal 2011 will be significantly higher than the prior two years and bonuses accrued in fiscal 2010 will be paid in fiscal 2011.</w:t>
      </w:r>
    </w:p>
    <w:p>
      <w:pPr>
        <w:spacing w:after="0" w:line="139" w:lineRule="exact"/>
        <w:rPr>
          <w:sz w:val="20"/>
          <w:szCs w:val="20"/>
          <w:color w:val="auto"/>
        </w:rPr>
      </w:pPr>
    </w:p>
    <w:p>
      <w:pPr>
        <w:ind w:right="260"/>
        <w:spacing w:after="0" w:line="332" w:lineRule="auto"/>
        <w:rPr>
          <w:sz w:val="20"/>
          <w:szCs w:val="20"/>
          <w:color w:val="auto"/>
        </w:rPr>
      </w:pPr>
      <w:r>
        <w:rPr>
          <w:rFonts w:ascii="Arial" w:cs="Arial" w:eastAsia="Arial" w:hAnsi="Arial"/>
          <w:sz w:val="16"/>
          <w:szCs w:val="16"/>
          <w:color w:val="auto"/>
        </w:rPr>
        <w:t>Net cash used in investing activities increased by $31.6 million to $105.0 million for the fiscal year ended May 31, 2010, from $73.4 million in the prior fiscal year. This increase was primarily due to $33.0 million in proceeds having been received from the sale of businesses in the prior fiscal year.</w:t>
      </w:r>
    </w:p>
    <w:p>
      <w:pPr>
        <w:spacing w:after="0" w:line="139"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Net cash used in financing activities decreased by $15.4 million to $70.9 million in fiscal 2010, compared to $86.3 million in fiscal 2009. The decrease in the use of cash primarily reflects reduced funds expended for the reacquisition of the Corporation’s Common Stock in fiscal 2010.</w:t>
      </w:r>
    </w:p>
    <w:p>
      <w:pPr>
        <w:spacing w:after="0" w:line="186"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Due to the seasonality of its businesses, as discussed in Item 1, “Business — Seasonality,” the Company typically experiences negative cash flow in the June through October time period. As a result of the Company’s business cycle, seasonal borrowings have historically increased during June, July and August, have generally peaked in September and October, and have declined to their lowest levels in May.</w:t>
      </w:r>
    </w:p>
    <w:p>
      <w:pPr>
        <w:spacing w:after="0" w:line="194"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The Company’s operating philosophy is to use cash provided from operating activities to create value by paying down debt, to reinvest in existing businesses and, from time to time, to make acquisitions that will complement its portfolio of businesses and to engage in shareholder enhancement initiatives, such as dividend declarations and share purchases. The Company believes that cash on hand, funds generated by its operations and funds available under its current credit facilities will be sufficient to finance its short-and long-term capital requirements.</w:t>
      </w:r>
    </w:p>
    <w:p>
      <w:pPr>
        <w:spacing w:after="0" w:line="19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Despite the current economic conditions, the Company has maintained, and expects to maintain for the foreseeable future, sufficient liquidity to fund on-going operations including pension contributions, dividends, currently authorized common share repurchases, debt service, planned capital expenditures and other investments. As of May 31, 2010, the Company’s primary sources of liquidity consisted of cash and cash equivalents of $244.1 million, cash from operations and borrowings remaining available under the Revolving Loan (as described under “Financing” below) totaling $325.0 million. Approximately 63% of the Company’s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2663825</wp:posOffset>
            </wp:positionH>
            <wp:positionV relativeFrom="paragraph">
              <wp:posOffset>130175</wp:posOffset>
            </wp:positionV>
            <wp:extent cx="1929765" cy="23177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929765"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387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833" w:right="259" w:bottom="1440" w:gutter="0" w:footer="0" w:header="0"/>
        </w:sectPr>
      </w:pPr>
    </w:p>
    <w:bookmarkStart w:id="33" w:name="page34"/>
    <w:bookmarkEnd w:id="33"/>
    <w:p>
      <w:pPr>
        <w:ind w:right="12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63765" cy="8890"/>
                    </a:xfrm>
                    <a:prstGeom prst="rect">
                      <a:avLst/>
                    </a:prstGeom>
                    <a:noFill/>
                  </pic:spPr>
                </pic:pic>
              </a:graphicData>
            </a:graphic>
          </wp:anchor>
        </w:drawing>
        <w:t>outstanding debt is not due until fiscal year 2013, and the remaining 37% is spread ratably over each preceding period. The Company may at any time, but in any event not more than once in any calendar year, request that the aggregate availability of credit under the Revolving Loan be increased by an amount of $10.0 million or an integral multiple of $10.0 million (but not to exceed $150.0 million). Accordingly, the Company believes these sources of liquidity are sufficient to finance its on-going operating needs, as well as its financing and investing activities.</w:t>
      </w:r>
    </w:p>
    <w:p>
      <w:pPr>
        <w:spacing w:after="0" w:line="167"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In March 2009, the Company’s credit rating was reduced to “BB-” by Standard &amp; Poor’s Rating Services and “Ba2” by Moody’s Investors Service. Both agencies had rated the outlook for the Company as “Stable”. In February 2010, Moody’s Investors Service changed the Company’s rating outlook from “Stable” to “Positive.” The Company’s interest rates for the Loan Agreement are associated with certain leverage ratios, and, accordingly, a change in the Company’s credit rating does not result in an increase in interest costs under the Company’s Loan Agreement.</w:t>
      </w:r>
    </w:p>
    <w:p>
      <w:pPr>
        <w:spacing w:after="0" w:line="167"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The following table summarizes, as of May 31, 2010, the Company’s contractual cash obligations by future period (see Notes 4 and 5 of Notes to Consolidated Financial Statements in Item 8, “Consolidated Financial Statements and Supplementary Data”):</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24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300" w:type="dxa"/>
            <w:vAlign w:val="bottom"/>
            <w:gridSpan w:val="4"/>
          </w:tcPr>
          <w:p>
            <w:pPr>
              <w:jc w:val="center"/>
              <w:ind w:left="438"/>
              <w:spacing w:after="0"/>
              <w:rPr>
                <w:sz w:val="20"/>
                <w:szCs w:val="20"/>
                <w:color w:val="auto"/>
              </w:rPr>
            </w:pPr>
            <w:r>
              <w:rPr>
                <w:rFonts w:ascii="Arial" w:cs="Arial" w:eastAsia="Arial" w:hAnsi="Arial"/>
                <w:sz w:val="14"/>
                <w:szCs w:val="14"/>
                <w:b w:val="1"/>
                <w:bCs w:val="1"/>
                <w:color w:val="auto"/>
                <w:w w:val="96"/>
              </w:rPr>
              <w:t>Payments Due by Period</w:t>
            </w:r>
          </w:p>
        </w:tc>
        <w:tc>
          <w:tcPr>
            <w:tcW w:w="7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4240" w:type="dxa"/>
            <w:vAlign w:val="bottom"/>
            <w:tcBorders>
              <w:bottom w:val="single" w:sz="8" w:color="auto"/>
            </w:tcBorders>
          </w:tcPr>
          <w:p>
            <w:pPr>
              <w:spacing w:after="0"/>
              <w:rPr>
                <w:sz w:val="8"/>
                <w:szCs w:val="8"/>
                <w:color w:val="auto"/>
              </w:rPr>
            </w:pPr>
          </w:p>
        </w:tc>
        <w:tc>
          <w:tcPr>
            <w:tcW w:w="168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4240" w:type="dxa"/>
            <w:vAlign w:val="bottom"/>
            <w:vMerge w:val="restart"/>
          </w:tcPr>
          <w:p>
            <w:pPr>
              <w:spacing w:after="0"/>
              <w:rPr>
                <w:sz w:val="20"/>
                <w:szCs w:val="20"/>
                <w:color w:val="auto"/>
              </w:rPr>
            </w:pPr>
            <w:r>
              <w:rPr>
                <w:rFonts w:ascii="Arial" w:cs="Arial" w:eastAsia="Arial" w:hAnsi="Arial"/>
                <w:sz w:val="14"/>
                <w:szCs w:val="14"/>
                <w:b w:val="1"/>
                <w:bCs w:val="1"/>
                <w:color w:val="auto"/>
              </w:rPr>
              <w:t>Contractual Obligations</w:t>
            </w:r>
            <w:r>
              <w:rPr>
                <w:rFonts w:ascii="Arial" w:cs="Arial" w:eastAsia="Arial" w:hAnsi="Arial"/>
                <w:sz w:val="22"/>
                <w:szCs w:val="22"/>
                <w:b w:val="1"/>
                <w:bCs w:val="1"/>
                <w:color w:val="auto"/>
                <w:vertAlign w:val="superscript"/>
              </w:rPr>
              <w:t>(1)</w:t>
            </w:r>
          </w:p>
        </w:tc>
        <w:tc>
          <w:tcPr>
            <w:tcW w:w="1680" w:type="dxa"/>
            <w:vAlign w:val="bottom"/>
          </w:tcPr>
          <w:p>
            <w:pPr>
              <w:spacing w:after="0"/>
              <w:rPr>
                <w:sz w:val="20"/>
                <w:szCs w:val="20"/>
                <w:color w:val="auto"/>
              </w:rPr>
            </w:pPr>
          </w:p>
        </w:tc>
        <w:tc>
          <w:tcPr>
            <w:tcW w:w="860" w:type="dxa"/>
            <w:vAlign w:val="bottom"/>
          </w:tcPr>
          <w:p>
            <w:pPr>
              <w:jc w:val="right"/>
              <w:ind w:right="296"/>
              <w:spacing w:after="0"/>
              <w:rPr>
                <w:sz w:val="20"/>
                <w:szCs w:val="20"/>
                <w:color w:val="auto"/>
              </w:rPr>
            </w:pPr>
            <w:r>
              <w:rPr>
                <w:rFonts w:ascii="Arial" w:cs="Arial" w:eastAsia="Arial" w:hAnsi="Arial"/>
                <w:sz w:val="14"/>
                <w:szCs w:val="14"/>
                <w:b w:val="1"/>
                <w:bCs w:val="1"/>
                <w:color w:val="auto"/>
              </w:rPr>
              <w:t>1 Year</w:t>
            </w:r>
          </w:p>
        </w:tc>
        <w:tc>
          <w:tcPr>
            <w:tcW w:w="360" w:type="dxa"/>
            <w:vAlign w:val="bottom"/>
          </w:tcPr>
          <w:p>
            <w:pPr>
              <w:spacing w:after="0"/>
              <w:rPr>
                <w:sz w:val="20"/>
                <w:szCs w:val="20"/>
                <w:color w:val="auto"/>
              </w:rPr>
            </w:pPr>
          </w:p>
        </w:tc>
        <w:tc>
          <w:tcPr>
            <w:tcW w:w="660" w:type="dxa"/>
            <w:vAlign w:val="bottom"/>
          </w:tcPr>
          <w:p>
            <w:pPr>
              <w:jc w:val="right"/>
              <w:ind w:right="198"/>
              <w:spacing w:after="0"/>
              <w:rPr>
                <w:sz w:val="20"/>
                <w:szCs w:val="20"/>
                <w:color w:val="auto"/>
              </w:rPr>
            </w:pPr>
            <w:r>
              <w:rPr>
                <w:rFonts w:ascii="Arial" w:cs="Arial" w:eastAsia="Arial" w:hAnsi="Arial"/>
                <w:sz w:val="14"/>
                <w:szCs w:val="14"/>
                <w:b w:val="1"/>
                <w:bCs w:val="1"/>
                <w:color w:val="auto"/>
                <w:w w:val="94"/>
              </w:rPr>
              <w:t>Years</w:t>
            </w:r>
          </w:p>
        </w:tc>
        <w:tc>
          <w:tcPr>
            <w:tcW w:w="440" w:type="dxa"/>
            <w:vAlign w:val="bottom"/>
          </w:tcPr>
          <w:p>
            <w:pPr>
              <w:spacing w:after="0"/>
              <w:rPr>
                <w:sz w:val="20"/>
                <w:szCs w:val="20"/>
                <w:color w:val="auto"/>
              </w:rPr>
            </w:pPr>
          </w:p>
        </w:tc>
        <w:tc>
          <w:tcPr>
            <w:tcW w:w="880" w:type="dxa"/>
            <w:vAlign w:val="bottom"/>
          </w:tcPr>
          <w:p>
            <w:pPr>
              <w:jc w:val="center"/>
              <w:ind w:right="216"/>
              <w:spacing w:after="0"/>
              <w:rPr>
                <w:sz w:val="20"/>
                <w:szCs w:val="20"/>
                <w:color w:val="auto"/>
              </w:rPr>
            </w:pPr>
            <w:r>
              <w:rPr>
                <w:rFonts w:ascii="Arial" w:cs="Arial" w:eastAsia="Arial" w:hAnsi="Arial"/>
                <w:sz w:val="14"/>
                <w:szCs w:val="14"/>
                <w:b w:val="1"/>
                <w:bCs w:val="1"/>
                <w:color w:val="auto"/>
                <w:w w:val="89"/>
              </w:rPr>
              <w:t>Years</w:t>
            </w:r>
          </w:p>
        </w:tc>
        <w:tc>
          <w:tcPr>
            <w:tcW w:w="320" w:type="dxa"/>
            <w:vAlign w:val="bottom"/>
          </w:tcPr>
          <w:p>
            <w:pPr>
              <w:spacing w:after="0"/>
              <w:rPr>
                <w:sz w:val="20"/>
                <w:szCs w:val="20"/>
                <w:color w:val="auto"/>
              </w:rPr>
            </w:pPr>
          </w:p>
        </w:tc>
        <w:tc>
          <w:tcPr>
            <w:tcW w:w="700" w:type="dxa"/>
            <w:vAlign w:val="bottom"/>
          </w:tcPr>
          <w:p>
            <w:pPr>
              <w:jc w:val="right"/>
              <w:ind w:right="196"/>
              <w:spacing w:after="0"/>
              <w:rPr>
                <w:sz w:val="20"/>
                <w:szCs w:val="20"/>
                <w:color w:val="auto"/>
              </w:rPr>
            </w:pPr>
            <w:r>
              <w:rPr>
                <w:rFonts w:ascii="Arial" w:cs="Arial" w:eastAsia="Arial" w:hAnsi="Arial"/>
                <w:sz w:val="14"/>
                <w:szCs w:val="14"/>
                <w:b w:val="1"/>
                <w:bCs w:val="1"/>
                <w:color w:val="auto"/>
              </w:rPr>
              <w:t>After</w:t>
            </w:r>
          </w:p>
        </w:tc>
        <w:tc>
          <w:tcPr>
            <w:tcW w:w="5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6"/>
        </w:trPr>
        <w:tc>
          <w:tcPr>
            <w:tcW w:w="4240" w:type="dxa"/>
            <w:vAlign w:val="bottom"/>
            <w:tcBorders>
              <w:bottom w:val="single" w:sz="8" w:color="auto"/>
            </w:tcBorders>
            <w:vMerge w:val="continue"/>
          </w:tcPr>
          <w:p>
            <w:pPr>
              <w:spacing w:after="0"/>
              <w:rPr>
                <w:sz w:val="23"/>
                <w:szCs w:val="23"/>
                <w:color w:val="auto"/>
              </w:rPr>
            </w:pPr>
          </w:p>
        </w:tc>
        <w:tc>
          <w:tcPr>
            <w:tcW w:w="168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w w:val="96"/>
              </w:rPr>
              <w:t>or Less</w:t>
            </w:r>
          </w:p>
        </w:tc>
        <w:tc>
          <w:tcPr>
            <w:tcW w:w="36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jc w:val="right"/>
              <w:ind w:right="258"/>
              <w:spacing w:after="0"/>
              <w:rPr>
                <w:sz w:val="20"/>
                <w:szCs w:val="20"/>
                <w:color w:val="auto"/>
              </w:rPr>
            </w:pPr>
            <w:r>
              <w:rPr>
                <w:rFonts w:ascii="Arial" w:cs="Arial" w:eastAsia="Arial" w:hAnsi="Arial"/>
                <w:sz w:val="14"/>
                <w:szCs w:val="14"/>
                <w:b w:val="1"/>
                <w:bCs w:val="1"/>
                <w:color w:val="auto"/>
              </w:rPr>
              <w:t>2-3</w:t>
            </w:r>
          </w:p>
        </w:tc>
        <w:tc>
          <w:tcPr>
            <w:tcW w:w="4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center"/>
              <w:ind w:right="216"/>
              <w:spacing w:after="0"/>
              <w:rPr>
                <w:sz w:val="20"/>
                <w:szCs w:val="20"/>
                <w:color w:val="auto"/>
              </w:rPr>
            </w:pPr>
            <w:r>
              <w:rPr>
                <w:rFonts w:ascii="Arial" w:cs="Arial" w:eastAsia="Arial" w:hAnsi="Arial"/>
                <w:sz w:val="14"/>
                <w:szCs w:val="14"/>
                <w:b w:val="1"/>
                <w:bCs w:val="1"/>
                <w:color w:val="auto"/>
                <w:w w:val="88"/>
              </w:rPr>
              <w:t>4-5</w:t>
            </w:r>
          </w:p>
        </w:tc>
        <w:tc>
          <w:tcPr>
            <w:tcW w:w="32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w w:val="99"/>
              </w:rPr>
              <w:t>Year 5</w:t>
            </w:r>
          </w:p>
        </w:tc>
        <w:tc>
          <w:tcPr>
            <w:tcW w:w="50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4240" w:type="dxa"/>
            <w:vAlign w:val="bottom"/>
          </w:tcPr>
          <w:p>
            <w:pPr>
              <w:spacing w:after="0"/>
              <w:rPr>
                <w:sz w:val="9"/>
                <w:szCs w:val="9"/>
                <w:color w:val="auto"/>
              </w:rPr>
            </w:pPr>
          </w:p>
        </w:tc>
        <w:tc>
          <w:tcPr>
            <w:tcW w:w="1680" w:type="dxa"/>
            <w:vAlign w:val="bottom"/>
          </w:tcPr>
          <w:p>
            <w:pPr>
              <w:spacing w:after="0"/>
              <w:rPr>
                <w:sz w:val="9"/>
                <w:szCs w:val="9"/>
                <w:color w:val="auto"/>
              </w:rPr>
            </w:pPr>
          </w:p>
        </w:tc>
        <w:tc>
          <w:tcPr>
            <w:tcW w:w="860" w:type="dxa"/>
            <w:vAlign w:val="bottom"/>
          </w:tcPr>
          <w:p>
            <w:pPr>
              <w:spacing w:after="0"/>
              <w:rPr>
                <w:sz w:val="9"/>
                <w:szCs w:val="9"/>
                <w:color w:val="auto"/>
              </w:rPr>
            </w:pPr>
          </w:p>
        </w:tc>
        <w:tc>
          <w:tcPr>
            <w:tcW w:w="360" w:type="dxa"/>
            <w:vAlign w:val="bottom"/>
          </w:tcPr>
          <w:p>
            <w:pPr>
              <w:spacing w:after="0"/>
              <w:rPr>
                <w:sz w:val="9"/>
                <w:szCs w:val="9"/>
                <w:color w:val="auto"/>
              </w:rPr>
            </w:pPr>
          </w:p>
        </w:tc>
        <w:tc>
          <w:tcPr>
            <w:tcW w:w="660" w:type="dxa"/>
            <w:vAlign w:val="bottom"/>
          </w:tcPr>
          <w:p>
            <w:pPr>
              <w:spacing w:after="0"/>
              <w:rPr>
                <w:sz w:val="9"/>
                <w:szCs w:val="9"/>
                <w:color w:val="auto"/>
              </w:rPr>
            </w:pPr>
          </w:p>
        </w:tc>
        <w:tc>
          <w:tcPr>
            <w:tcW w:w="440" w:type="dxa"/>
            <w:vAlign w:val="bottom"/>
          </w:tcPr>
          <w:p>
            <w:pPr>
              <w:spacing w:after="0"/>
              <w:rPr>
                <w:sz w:val="9"/>
                <w:szCs w:val="9"/>
                <w:color w:val="auto"/>
              </w:rPr>
            </w:pPr>
          </w:p>
        </w:tc>
        <w:tc>
          <w:tcPr>
            <w:tcW w:w="880" w:type="dxa"/>
            <w:vAlign w:val="bottom"/>
          </w:tcPr>
          <w:p>
            <w:pPr>
              <w:spacing w:after="0"/>
              <w:rPr>
                <w:sz w:val="9"/>
                <w:szCs w:val="9"/>
                <w:color w:val="auto"/>
              </w:rPr>
            </w:pPr>
          </w:p>
        </w:tc>
        <w:tc>
          <w:tcPr>
            <w:tcW w:w="320" w:type="dxa"/>
            <w:vAlign w:val="bottom"/>
          </w:tcPr>
          <w:p>
            <w:pPr>
              <w:spacing w:after="0"/>
              <w:rPr>
                <w:sz w:val="9"/>
                <w:szCs w:val="9"/>
                <w:color w:val="auto"/>
              </w:rPr>
            </w:pPr>
          </w:p>
        </w:tc>
        <w:tc>
          <w:tcPr>
            <w:tcW w:w="700" w:type="dxa"/>
            <w:vAlign w:val="bottom"/>
          </w:tcPr>
          <w:p>
            <w:pPr>
              <w:spacing w:after="0"/>
              <w:rPr>
                <w:sz w:val="9"/>
                <w:szCs w:val="9"/>
                <w:color w:val="auto"/>
              </w:rPr>
            </w:pPr>
          </w:p>
        </w:tc>
        <w:tc>
          <w:tcPr>
            <w:tcW w:w="50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424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Minimum print quantities</w:t>
            </w:r>
          </w:p>
        </w:tc>
        <w:tc>
          <w:tcPr>
            <w:tcW w:w="168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E6E6E6"/>
          </w:tcPr>
          <w:p>
            <w:pPr>
              <w:jc w:val="right"/>
              <w:ind w:right="76"/>
              <w:spacing w:after="0" w:line="202" w:lineRule="exact"/>
              <w:rPr>
                <w:sz w:val="20"/>
                <w:szCs w:val="20"/>
                <w:color w:val="auto"/>
              </w:rPr>
            </w:pPr>
            <w:r>
              <w:rPr>
                <w:rFonts w:ascii="Arial" w:cs="Arial" w:eastAsia="Arial" w:hAnsi="Arial"/>
                <w:sz w:val="18"/>
                <w:szCs w:val="18"/>
                <w:color w:val="auto"/>
              </w:rPr>
              <w:t>46.2</w:t>
            </w:r>
          </w:p>
        </w:tc>
        <w:tc>
          <w:tcPr>
            <w:tcW w:w="36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w:t>
            </w:r>
          </w:p>
        </w:tc>
        <w:tc>
          <w:tcPr>
            <w:tcW w:w="66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95.3</w:t>
            </w:r>
          </w:p>
        </w:tc>
        <w:tc>
          <w:tcPr>
            <w:tcW w:w="44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w:t>
            </w:r>
          </w:p>
        </w:tc>
        <w:tc>
          <w:tcPr>
            <w:tcW w:w="880" w:type="dxa"/>
            <w:vAlign w:val="bottom"/>
            <w:shd w:val="clear" w:color="auto" w:fill="E6E6E6"/>
          </w:tcPr>
          <w:p>
            <w:pPr>
              <w:jc w:val="right"/>
              <w:ind w:right="96"/>
              <w:spacing w:after="0" w:line="202" w:lineRule="exact"/>
              <w:rPr>
                <w:sz w:val="20"/>
                <w:szCs w:val="20"/>
                <w:color w:val="auto"/>
              </w:rPr>
            </w:pPr>
            <w:r>
              <w:rPr>
                <w:rFonts w:ascii="Arial" w:cs="Arial" w:eastAsia="Arial" w:hAnsi="Arial"/>
                <w:sz w:val="18"/>
                <w:szCs w:val="18"/>
                <w:color w:val="auto"/>
              </w:rPr>
              <w:t>99.3</w:t>
            </w:r>
          </w:p>
        </w:tc>
        <w:tc>
          <w:tcPr>
            <w:tcW w:w="32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w:t>
            </w:r>
          </w:p>
        </w:tc>
        <w:tc>
          <w:tcPr>
            <w:tcW w:w="70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267.3</w:t>
            </w:r>
          </w:p>
        </w:tc>
        <w:tc>
          <w:tcPr>
            <w:tcW w:w="50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w:t>
            </w:r>
          </w:p>
        </w:tc>
        <w:tc>
          <w:tcPr>
            <w:tcW w:w="780" w:type="dxa"/>
            <w:vAlign w:val="bottom"/>
            <w:shd w:val="clear" w:color="auto" w:fill="E6E6E6"/>
          </w:tcPr>
          <w:p>
            <w:pPr>
              <w:jc w:val="right"/>
              <w:ind w:right="34"/>
              <w:spacing w:after="0" w:line="202" w:lineRule="exact"/>
              <w:rPr>
                <w:sz w:val="20"/>
                <w:szCs w:val="20"/>
                <w:color w:val="auto"/>
              </w:rPr>
            </w:pPr>
            <w:r>
              <w:rPr>
                <w:rFonts w:ascii="Arial" w:cs="Arial" w:eastAsia="Arial" w:hAnsi="Arial"/>
                <w:sz w:val="18"/>
                <w:szCs w:val="18"/>
                <w:color w:val="auto"/>
              </w:rPr>
              <w:t>508.1</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40" w:type="dxa"/>
            <w:vAlign w:val="bottom"/>
          </w:tcPr>
          <w:p>
            <w:pPr>
              <w:spacing w:after="0" w:line="202" w:lineRule="exact"/>
              <w:rPr>
                <w:sz w:val="20"/>
                <w:szCs w:val="20"/>
                <w:color w:val="auto"/>
              </w:rPr>
            </w:pPr>
            <w:r>
              <w:rPr>
                <w:rFonts w:ascii="Arial" w:cs="Arial" w:eastAsia="Arial" w:hAnsi="Arial"/>
                <w:sz w:val="18"/>
                <w:szCs w:val="18"/>
                <w:color w:val="auto"/>
              </w:rPr>
              <w:t>Royalty advances</w:t>
            </w:r>
          </w:p>
        </w:tc>
        <w:tc>
          <w:tcPr>
            <w:tcW w:w="1680" w:type="dxa"/>
            <w:vAlign w:val="bottom"/>
          </w:tcPr>
          <w:p>
            <w:pPr>
              <w:spacing w:after="0"/>
              <w:rPr>
                <w:sz w:val="17"/>
                <w:szCs w:val="17"/>
                <w:color w:val="auto"/>
              </w:rPr>
            </w:pPr>
          </w:p>
        </w:tc>
        <w:tc>
          <w:tcPr>
            <w:tcW w:w="860" w:type="dxa"/>
            <w:vAlign w:val="bottom"/>
          </w:tcPr>
          <w:p>
            <w:pPr>
              <w:jc w:val="right"/>
              <w:ind w:right="76"/>
              <w:spacing w:after="0" w:line="202" w:lineRule="exact"/>
              <w:rPr>
                <w:sz w:val="20"/>
                <w:szCs w:val="20"/>
                <w:color w:val="auto"/>
              </w:rPr>
            </w:pPr>
            <w:r>
              <w:rPr>
                <w:rFonts w:ascii="Arial" w:cs="Arial" w:eastAsia="Arial" w:hAnsi="Arial"/>
                <w:sz w:val="18"/>
                <w:szCs w:val="18"/>
                <w:color w:val="auto"/>
              </w:rPr>
              <w:t>7.4</w:t>
            </w:r>
          </w:p>
        </w:tc>
        <w:tc>
          <w:tcPr>
            <w:tcW w:w="36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2.7</w:t>
            </w:r>
          </w:p>
        </w:tc>
        <w:tc>
          <w:tcPr>
            <w:tcW w:w="440" w:type="dxa"/>
            <w:vAlign w:val="bottom"/>
          </w:tcPr>
          <w:p>
            <w:pPr>
              <w:spacing w:after="0"/>
              <w:rPr>
                <w:sz w:val="17"/>
                <w:szCs w:val="17"/>
                <w:color w:val="auto"/>
              </w:rPr>
            </w:pPr>
          </w:p>
        </w:tc>
        <w:tc>
          <w:tcPr>
            <w:tcW w:w="880" w:type="dxa"/>
            <w:vAlign w:val="bottom"/>
          </w:tcPr>
          <w:p>
            <w:pPr>
              <w:jc w:val="right"/>
              <w:ind w:right="96"/>
              <w:spacing w:after="0" w:line="202" w:lineRule="exact"/>
              <w:rPr>
                <w:sz w:val="20"/>
                <w:szCs w:val="20"/>
                <w:color w:val="auto"/>
              </w:rPr>
            </w:pPr>
            <w:r>
              <w:rPr>
                <w:rFonts w:ascii="Arial" w:cs="Arial" w:eastAsia="Arial" w:hAnsi="Arial"/>
                <w:sz w:val="18"/>
                <w:szCs w:val="18"/>
                <w:color w:val="auto"/>
              </w:rPr>
              <w:t>0.5</w:t>
            </w:r>
          </w:p>
        </w:tc>
        <w:tc>
          <w:tcPr>
            <w:tcW w:w="32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500" w:type="dxa"/>
            <w:vAlign w:val="bottom"/>
          </w:tcPr>
          <w:p>
            <w:pPr>
              <w:spacing w:after="0"/>
              <w:rPr>
                <w:sz w:val="17"/>
                <w:szCs w:val="17"/>
                <w:color w:val="auto"/>
              </w:rPr>
            </w:pPr>
          </w:p>
        </w:tc>
        <w:tc>
          <w:tcPr>
            <w:tcW w:w="780" w:type="dxa"/>
            <w:vAlign w:val="bottom"/>
          </w:tcPr>
          <w:p>
            <w:pPr>
              <w:jc w:val="right"/>
              <w:ind w:right="34"/>
              <w:spacing w:after="0" w:line="202" w:lineRule="exact"/>
              <w:rPr>
                <w:sz w:val="20"/>
                <w:szCs w:val="20"/>
                <w:color w:val="auto"/>
              </w:rPr>
            </w:pPr>
            <w:r>
              <w:rPr>
                <w:rFonts w:ascii="Arial" w:cs="Arial" w:eastAsia="Arial" w:hAnsi="Arial"/>
                <w:sz w:val="18"/>
                <w:szCs w:val="18"/>
                <w:color w:val="auto"/>
              </w:rPr>
              <w:t>10.6</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4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Lines of credit and short-term debt</w:t>
            </w:r>
          </w:p>
        </w:tc>
        <w:tc>
          <w:tcPr>
            <w:tcW w:w="1680" w:type="dxa"/>
            <w:vAlign w:val="bottom"/>
            <w:shd w:val="clear" w:color="auto" w:fill="E6E6E6"/>
          </w:tcPr>
          <w:p>
            <w:pPr>
              <w:spacing w:after="0"/>
              <w:rPr>
                <w:sz w:val="17"/>
                <w:szCs w:val="17"/>
                <w:color w:val="auto"/>
              </w:rPr>
            </w:pPr>
          </w:p>
        </w:tc>
        <w:tc>
          <w:tcPr>
            <w:tcW w:w="860" w:type="dxa"/>
            <w:vAlign w:val="bottom"/>
            <w:shd w:val="clear" w:color="auto" w:fill="E6E6E6"/>
          </w:tcPr>
          <w:p>
            <w:pPr>
              <w:jc w:val="right"/>
              <w:ind w:right="76"/>
              <w:spacing w:after="0" w:line="202" w:lineRule="exact"/>
              <w:rPr>
                <w:sz w:val="20"/>
                <w:szCs w:val="20"/>
                <w:color w:val="auto"/>
              </w:rPr>
            </w:pPr>
            <w:r>
              <w:rPr>
                <w:rFonts w:ascii="Arial" w:cs="Arial" w:eastAsia="Arial" w:hAnsi="Arial"/>
                <w:sz w:val="18"/>
                <w:szCs w:val="18"/>
                <w:color w:val="auto"/>
              </w:rPr>
              <w:t>7.5</w:t>
            </w:r>
          </w:p>
        </w:tc>
        <w:tc>
          <w:tcPr>
            <w:tcW w:w="360" w:type="dxa"/>
            <w:vAlign w:val="bottom"/>
            <w:shd w:val="clear" w:color="auto" w:fill="E6E6E6"/>
          </w:tcPr>
          <w:p>
            <w:pPr>
              <w:spacing w:after="0"/>
              <w:rPr>
                <w:sz w:val="17"/>
                <w:szCs w:val="17"/>
                <w:color w:val="auto"/>
              </w:rPr>
            </w:pPr>
          </w:p>
        </w:tc>
        <w:tc>
          <w:tcPr>
            <w:tcW w:w="66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w:t>
            </w:r>
          </w:p>
        </w:tc>
        <w:tc>
          <w:tcPr>
            <w:tcW w:w="440" w:type="dxa"/>
            <w:vAlign w:val="bottom"/>
            <w:shd w:val="clear" w:color="auto" w:fill="E6E6E6"/>
          </w:tcPr>
          <w:p>
            <w:pPr>
              <w:spacing w:after="0"/>
              <w:rPr>
                <w:sz w:val="17"/>
                <w:szCs w:val="17"/>
                <w:color w:val="auto"/>
              </w:rPr>
            </w:pPr>
          </w:p>
        </w:tc>
        <w:tc>
          <w:tcPr>
            <w:tcW w:w="880" w:type="dxa"/>
            <w:vAlign w:val="bottom"/>
            <w:shd w:val="clear" w:color="auto" w:fill="E6E6E6"/>
          </w:tcPr>
          <w:p>
            <w:pPr>
              <w:jc w:val="right"/>
              <w:ind w:right="96"/>
              <w:spacing w:after="0" w:line="202" w:lineRule="exact"/>
              <w:rPr>
                <w:sz w:val="20"/>
                <w:szCs w:val="20"/>
                <w:color w:val="auto"/>
              </w:rPr>
            </w:pPr>
            <w:r>
              <w:rPr>
                <w:rFonts w:ascii="Arial" w:cs="Arial" w:eastAsia="Arial" w:hAnsi="Arial"/>
                <w:sz w:val="18"/>
                <w:szCs w:val="18"/>
                <w:color w:val="auto"/>
              </w:rPr>
              <w:t>—</w:t>
            </w:r>
          </w:p>
        </w:tc>
        <w:tc>
          <w:tcPr>
            <w:tcW w:w="320" w:type="dxa"/>
            <w:vAlign w:val="bottom"/>
            <w:shd w:val="clear" w:color="auto" w:fill="E6E6E6"/>
          </w:tcPr>
          <w:p>
            <w:pPr>
              <w:spacing w:after="0"/>
              <w:rPr>
                <w:sz w:val="17"/>
                <w:szCs w:val="17"/>
                <w:color w:val="auto"/>
              </w:rPr>
            </w:pPr>
          </w:p>
        </w:tc>
        <w:tc>
          <w:tcPr>
            <w:tcW w:w="70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w:t>
            </w:r>
          </w:p>
        </w:tc>
        <w:tc>
          <w:tcPr>
            <w:tcW w:w="500" w:type="dxa"/>
            <w:vAlign w:val="bottom"/>
            <w:shd w:val="clear" w:color="auto" w:fill="E6E6E6"/>
          </w:tcPr>
          <w:p>
            <w:pPr>
              <w:spacing w:after="0"/>
              <w:rPr>
                <w:sz w:val="17"/>
                <w:szCs w:val="17"/>
                <w:color w:val="auto"/>
              </w:rPr>
            </w:pPr>
          </w:p>
        </w:tc>
        <w:tc>
          <w:tcPr>
            <w:tcW w:w="780" w:type="dxa"/>
            <w:vAlign w:val="bottom"/>
            <w:shd w:val="clear" w:color="auto" w:fill="E6E6E6"/>
          </w:tcPr>
          <w:p>
            <w:pPr>
              <w:jc w:val="right"/>
              <w:ind w:right="34"/>
              <w:spacing w:after="0" w:line="202" w:lineRule="exact"/>
              <w:rPr>
                <w:sz w:val="20"/>
                <w:szCs w:val="20"/>
                <w:color w:val="auto"/>
              </w:rPr>
            </w:pPr>
            <w:r>
              <w:rPr>
                <w:rFonts w:ascii="Arial" w:cs="Arial" w:eastAsia="Arial" w:hAnsi="Arial"/>
                <w:sz w:val="18"/>
                <w:szCs w:val="18"/>
                <w:color w:val="auto"/>
              </w:rPr>
              <w:t>7.5</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4240" w:type="dxa"/>
            <w:vAlign w:val="bottom"/>
          </w:tcPr>
          <w:p>
            <w:pPr>
              <w:spacing w:after="0" w:line="243" w:lineRule="exact"/>
              <w:rPr>
                <w:sz w:val="20"/>
                <w:szCs w:val="20"/>
                <w:color w:val="auto"/>
              </w:rPr>
            </w:pPr>
            <w:r>
              <w:rPr>
                <w:rFonts w:ascii="Arial" w:cs="Arial" w:eastAsia="Arial" w:hAnsi="Arial"/>
                <w:sz w:val="17"/>
                <w:szCs w:val="17"/>
                <w:color w:val="auto"/>
              </w:rPr>
              <w:t>Capital leases</w:t>
            </w:r>
            <w:r>
              <w:rPr>
                <w:rFonts w:ascii="Arial" w:cs="Arial" w:eastAsia="Arial" w:hAnsi="Arial"/>
                <w:sz w:val="28"/>
                <w:szCs w:val="28"/>
                <w:color w:val="auto"/>
                <w:vertAlign w:val="superscript"/>
              </w:rPr>
              <w:t>(2)</w:t>
            </w:r>
          </w:p>
        </w:tc>
        <w:tc>
          <w:tcPr>
            <w:tcW w:w="1680" w:type="dxa"/>
            <w:vAlign w:val="bottom"/>
          </w:tcPr>
          <w:p>
            <w:pPr>
              <w:spacing w:after="0"/>
              <w:rPr>
                <w:sz w:val="21"/>
                <w:szCs w:val="21"/>
                <w:color w:val="auto"/>
              </w:rPr>
            </w:pPr>
          </w:p>
        </w:tc>
        <w:tc>
          <w:tcPr>
            <w:tcW w:w="860" w:type="dxa"/>
            <w:vAlign w:val="bottom"/>
          </w:tcPr>
          <w:p>
            <w:pPr>
              <w:jc w:val="right"/>
              <w:ind w:right="76"/>
              <w:spacing w:after="0"/>
              <w:rPr>
                <w:sz w:val="20"/>
                <w:szCs w:val="20"/>
                <w:color w:val="auto"/>
              </w:rPr>
            </w:pPr>
            <w:r>
              <w:rPr>
                <w:rFonts w:ascii="Arial" w:cs="Arial" w:eastAsia="Arial" w:hAnsi="Arial"/>
                <w:sz w:val="18"/>
                <w:szCs w:val="18"/>
                <w:color w:val="auto"/>
              </w:rPr>
              <w:t>5.9</w:t>
            </w:r>
          </w:p>
        </w:tc>
        <w:tc>
          <w:tcPr>
            <w:tcW w:w="3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11.9</w:t>
            </w:r>
          </w:p>
        </w:tc>
        <w:tc>
          <w:tcPr>
            <w:tcW w:w="440" w:type="dxa"/>
            <w:vAlign w:val="bottom"/>
          </w:tcPr>
          <w:p>
            <w:pPr>
              <w:spacing w:after="0"/>
              <w:rPr>
                <w:sz w:val="21"/>
                <w:szCs w:val="21"/>
                <w:color w:val="auto"/>
              </w:rPr>
            </w:pPr>
          </w:p>
        </w:tc>
        <w:tc>
          <w:tcPr>
            <w:tcW w:w="880" w:type="dxa"/>
            <w:vAlign w:val="bottom"/>
          </w:tcPr>
          <w:p>
            <w:pPr>
              <w:jc w:val="right"/>
              <w:ind w:right="96"/>
              <w:spacing w:after="0"/>
              <w:rPr>
                <w:sz w:val="20"/>
                <w:szCs w:val="20"/>
                <w:color w:val="auto"/>
              </w:rPr>
            </w:pPr>
            <w:r>
              <w:rPr>
                <w:rFonts w:ascii="Arial" w:cs="Arial" w:eastAsia="Arial" w:hAnsi="Arial"/>
                <w:sz w:val="18"/>
                <w:szCs w:val="18"/>
                <w:color w:val="auto"/>
              </w:rPr>
              <w:t>10.2</w:t>
            </w:r>
          </w:p>
        </w:tc>
        <w:tc>
          <w:tcPr>
            <w:tcW w:w="3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196.2</w:t>
            </w:r>
          </w:p>
        </w:tc>
        <w:tc>
          <w:tcPr>
            <w:tcW w:w="500" w:type="dxa"/>
            <w:vAlign w:val="bottom"/>
          </w:tcPr>
          <w:p>
            <w:pPr>
              <w:spacing w:after="0"/>
              <w:rPr>
                <w:sz w:val="21"/>
                <w:szCs w:val="21"/>
                <w:color w:val="auto"/>
              </w:rPr>
            </w:pPr>
          </w:p>
        </w:tc>
        <w:tc>
          <w:tcPr>
            <w:tcW w:w="780" w:type="dxa"/>
            <w:vAlign w:val="bottom"/>
          </w:tcPr>
          <w:p>
            <w:pPr>
              <w:jc w:val="right"/>
              <w:ind w:right="34"/>
              <w:spacing w:after="0"/>
              <w:rPr>
                <w:sz w:val="20"/>
                <w:szCs w:val="20"/>
                <w:color w:val="auto"/>
              </w:rPr>
            </w:pPr>
            <w:r>
              <w:rPr>
                <w:rFonts w:ascii="Arial" w:cs="Arial" w:eastAsia="Arial" w:hAnsi="Arial"/>
                <w:sz w:val="18"/>
                <w:szCs w:val="18"/>
                <w:color w:val="auto"/>
              </w:rPr>
              <w:t>224.2</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40" w:type="dxa"/>
            <w:vAlign w:val="bottom"/>
            <w:shd w:val="clear" w:color="auto" w:fill="E6E6E6"/>
          </w:tcPr>
          <w:p>
            <w:pPr>
              <w:spacing w:after="0" w:line="243" w:lineRule="exact"/>
              <w:rPr>
                <w:sz w:val="20"/>
                <w:szCs w:val="20"/>
                <w:color w:val="auto"/>
              </w:rPr>
            </w:pPr>
            <w:r>
              <w:rPr>
                <w:rFonts w:ascii="Arial" w:cs="Arial" w:eastAsia="Arial" w:hAnsi="Arial"/>
                <w:sz w:val="17"/>
                <w:szCs w:val="17"/>
                <w:color w:val="auto"/>
              </w:rPr>
              <w:t>Debt</w:t>
            </w:r>
            <w:r>
              <w:rPr>
                <w:rFonts w:ascii="Arial" w:cs="Arial" w:eastAsia="Arial" w:hAnsi="Arial"/>
                <w:sz w:val="28"/>
                <w:szCs w:val="28"/>
                <w:color w:val="auto"/>
                <w:vertAlign w:val="superscript"/>
              </w:rPr>
              <w:t>(2)</w:t>
            </w:r>
          </w:p>
        </w:tc>
        <w:tc>
          <w:tcPr>
            <w:tcW w:w="1680" w:type="dxa"/>
            <w:vAlign w:val="bottom"/>
            <w:shd w:val="clear" w:color="auto" w:fill="E6E6E6"/>
          </w:tcPr>
          <w:p>
            <w:pPr>
              <w:spacing w:after="0"/>
              <w:rPr>
                <w:sz w:val="21"/>
                <w:szCs w:val="21"/>
                <w:color w:val="auto"/>
              </w:rPr>
            </w:pPr>
          </w:p>
        </w:tc>
        <w:tc>
          <w:tcPr>
            <w:tcW w:w="860" w:type="dxa"/>
            <w:vAlign w:val="bottom"/>
            <w:shd w:val="clear" w:color="auto" w:fill="E6E6E6"/>
          </w:tcPr>
          <w:p>
            <w:pPr>
              <w:jc w:val="right"/>
              <w:ind w:right="76"/>
              <w:spacing w:after="0"/>
              <w:rPr>
                <w:sz w:val="20"/>
                <w:szCs w:val="20"/>
                <w:color w:val="auto"/>
              </w:rPr>
            </w:pPr>
            <w:r>
              <w:rPr>
                <w:rFonts w:ascii="Arial" w:cs="Arial" w:eastAsia="Arial" w:hAnsi="Arial"/>
                <w:sz w:val="18"/>
                <w:szCs w:val="18"/>
                <w:color w:val="auto"/>
              </w:rPr>
              <w:t>50.0</w:t>
            </w:r>
          </w:p>
        </w:tc>
        <w:tc>
          <w:tcPr>
            <w:tcW w:w="360" w:type="dxa"/>
            <w:vAlign w:val="bottom"/>
            <w:shd w:val="clear" w:color="auto" w:fill="E6E6E6"/>
          </w:tcPr>
          <w:p>
            <w:pPr>
              <w:spacing w:after="0"/>
              <w:rPr>
                <w:sz w:val="21"/>
                <w:szCs w:val="21"/>
                <w:color w:val="auto"/>
              </w:rPr>
            </w:pPr>
          </w:p>
        </w:tc>
        <w:tc>
          <w:tcPr>
            <w:tcW w:w="6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216.7</w:t>
            </w:r>
          </w:p>
        </w:tc>
        <w:tc>
          <w:tcPr>
            <w:tcW w:w="440" w:type="dxa"/>
            <w:vAlign w:val="bottom"/>
            <w:shd w:val="clear" w:color="auto" w:fill="E6E6E6"/>
          </w:tcPr>
          <w:p>
            <w:pPr>
              <w:spacing w:after="0"/>
              <w:rPr>
                <w:sz w:val="21"/>
                <w:szCs w:val="21"/>
                <w:color w:val="auto"/>
              </w:rPr>
            </w:pPr>
          </w:p>
        </w:tc>
        <w:tc>
          <w:tcPr>
            <w:tcW w:w="880" w:type="dxa"/>
            <w:vAlign w:val="bottom"/>
            <w:shd w:val="clear" w:color="auto" w:fill="E6E6E6"/>
          </w:tcPr>
          <w:p>
            <w:pPr>
              <w:jc w:val="right"/>
              <w:ind w:right="96"/>
              <w:spacing w:after="0"/>
              <w:rPr>
                <w:sz w:val="20"/>
                <w:szCs w:val="20"/>
                <w:color w:val="auto"/>
              </w:rPr>
            </w:pPr>
            <w:r>
              <w:rPr>
                <w:rFonts w:ascii="Arial" w:cs="Arial" w:eastAsia="Arial" w:hAnsi="Arial"/>
                <w:sz w:val="18"/>
                <w:szCs w:val="18"/>
                <w:color w:val="auto"/>
              </w:rPr>
              <w:t>—</w:t>
            </w:r>
          </w:p>
        </w:tc>
        <w:tc>
          <w:tcPr>
            <w:tcW w:w="320" w:type="dxa"/>
            <w:vAlign w:val="bottom"/>
            <w:shd w:val="clear" w:color="auto" w:fill="E6E6E6"/>
          </w:tcPr>
          <w:p>
            <w:pPr>
              <w:spacing w:after="0"/>
              <w:rPr>
                <w:sz w:val="21"/>
                <w:szCs w:val="21"/>
                <w:color w:val="auto"/>
              </w:rPr>
            </w:pPr>
          </w:p>
        </w:tc>
        <w:tc>
          <w:tcPr>
            <w:tcW w:w="7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E6E6E6"/>
          </w:tcPr>
          <w:p>
            <w:pPr>
              <w:spacing w:after="0"/>
              <w:rPr>
                <w:sz w:val="21"/>
                <w:szCs w:val="21"/>
                <w:color w:val="auto"/>
              </w:rPr>
            </w:pPr>
          </w:p>
        </w:tc>
        <w:tc>
          <w:tcPr>
            <w:tcW w:w="780" w:type="dxa"/>
            <w:vAlign w:val="bottom"/>
            <w:shd w:val="clear" w:color="auto" w:fill="E6E6E6"/>
          </w:tcPr>
          <w:p>
            <w:pPr>
              <w:jc w:val="right"/>
              <w:ind w:right="34"/>
              <w:spacing w:after="0"/>
              <w:rPr>
                <w:sz w:val="20"/>
                <w:szCs w:val="20"/>
                <w:color w:val="auto"/>
              </w:rPr>
            </w:pPr>
            <w:r>
              <w:rPr>
                <w:rFonts w:ascii="Arial" w:cs="Arial" w:eastAsia="Arial" w:hAnsi="Arial"/>
                <w:sz w:val="18"/>
                <w:szCs w:val="18"/>
                <w:color w:val="auto"/>
              </w:rPr>
              <w:t>266.7</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4240" w:type="dxa"/>
            <w:vAlign w:val="bottom"/>
          </w:tcPr>
          <w:p>
            <w:pPr>
              <w:spacing w:after="0" w:line="202" w:lineRule="exact"/>
              <w:rPr>
                <w:sz w:val="20"/>
                <w:szCs w:val="20"/>
                <w:color w:val="auto"/>
              </w:rPr>
            </w:pPr>
            <w:r>
              <w:rPr>
                <w:rFonts w:ascii="Arial" w:cs="Arial" w:eastAsia="Arial" w:hAnsi="Arial"/>
                <w:sz w:val="18"/>
                <w:szCs w:val="18"/>
                <w:color w:val="auto"/>
              </w:rPr>
              <w:t>Pension and post-retirement plans</w:t>
            </w:r>
          </w:p>
        </w:tc>
        <w:tc>
          <w:tcPr>
            <w:tcW w:w="1680" w:type="dxa"/>
            <w:vAlign w:val="bottom"/>
          </w:tcPr>
          <w:p>
            <w:pPr>
              <w:spacing w:after="0"/>
              <w:rPr>
                <w:sz w:val="17"/>
                <w:szCs w:val="17"/>
                <w:color w:val="auto"/>
              </w:rPr>
            </w:pPr>
          </w:p>
        </w:tc>
        <w:tc>
          <w:tcPr>
            <w:tcW w:w="860" w:type="dxa"/>
            <w:vAlign w:val="bottom"/>
          </w:tcPr>
          <w:p>
            <w:pPr>
              <w:jc w:val="right"/>
              <w:ind w:right="76"/>
              <w:spacing w:after="0" w:line="202" w:lineRule="exact"/>
              <w:rPr>
                <w:sz w:val="20"/>
                <w:szCs w:val="20"/>
                <w:color w:val="auto"/>
              </w:rPr>
            </w:pPr>
            <w:r>
              <w:rPr>
                <w:rFonts w:ascii="Arial" w:cs="Arial" w:eastAsia="Arial" w:hAnsi="Arial"/>
                <w:sz w:val="18"/>
                <w:szCs w:val="18"/>
                <w:color w:val="auto"/>
              </w:rPr>
              <w:t>21.4</w:t>
            </w:r>
          </w:p>
        </w:tc>
        <w:tc>
          <w:tcPr>
            <w:tcW w:w="36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27.6</w:t>
            </w:r>
          </w:p>
        </w:tc>
        <w:tc>
          <w:tcPr>
            <w:tcW w:w="440" w:type="dxa"/>
            <w:vAlign w:val="bottom"/>
          </w:tcPr>
          <w:p>
            <w:pPr>
              <w:spacing w:after="0"/>
              <w:rPr>
                <w:sz w:val="17"/>
                <w:szCs w:val="17"/>
                <w:color w:val="auto"/>
              </w:rPr>
            </w:pPr>
          </w:p>
        </w:tc>
        <w:tc>
          <w:tcPr>
            <w:tcW w:w="880" w:type="dxa"/>
            <w:vAlign w:val="bottom"/>
          </w:tcPr>
          <w:p>
            <w:pPr>
              <w:jc w:val="right"/>
              <w:ind w:right="96"/>
              <w:spacing w:after="0" w:line="202" w:lineRule="exact"/>
              <w:rPr>
                <w:sz w:val="20"/>
                <w:szCs w:val="20"/>
                <w:color w:val="auto"/>
              </w:rPr>
            </w:pPr>
            <w:r>
              <w:rPr>
                <w:rFonts w:ascii="Arial" w:cs="Arial" w:eastAsia="Arial" w:hAnsi="Arial"/>
                <w:sz w:val="18"/>
                <w:szCs w:val="18"/>
                <w:color w:val="auto"/>
              </w:rPr>
              <w:t>26.5</w:t>
            </w:r>
          </w:p>
        </w:tc>
        <w:tc>
          <w:tcPr>
            <w:tcW w:w="32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65.5</w:t>
            </w:r>
          </w:p>
        </w:tc>
        <w:tc>
          <w:tcPr>
            <w:tcW w:w="500" w:type="dxa"/>
            <w:vAlign w:val="bottom"/>
          </w:tcPr>
          <w:p>
            <w:pPr>
              <w:spacing w:after="0"/>
              <w:rPr>
                <w:sz w:val="17"/>
                <w:szCs w:val="17"/>
                <w:color w:val="auto"/>
              </w:rPr>
            </w:pPr>
          </w:p>
        </w:tc>
        <w:tc>
          <w:tcPr>
            <w:tcW w:w="780" w:type="dxa"/>
            <w:vAlign w:val="bottom"/>
          </w:tcPr>
          <w:p>
            <w:pPr>
              <w:jc w:val="right"/>
              <w:ind w:right="34"/>
              <w:spacing w:after="0" w:line="202" w:lineRule="exact"/>
              <w:rPr>
                <w:sz w:val="20"/>
                <w:szCs w:val="20"/>
                <w:color w:val="auto"/>
              </w:rPr>
            </w:pPr>
            <w:r>
              <w:rPr>
                <w:rFonts w:ascii="Arial" w:cs="Arial" w:eastAsia="Arial" w:hAnsi="Arial"/>
                <w:sz w:val="18"/>
                <w:szCs w:val="18"/>
                <w:color w:val="auto"/>
              </w:rPr>
              <w:t>141.0</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4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Operating leases</w:t>
            </w:r>
          </w:p>
        </w:tc>
        <w:tc>
          <w:tcPr>
            <w:tcW w:w="1680" w:type="dxa"/>
            <w:vAlign w:val="bottom"/>
            <w:shd w:val="clear" w:color="auto" w:fill="E6E6E6"/>
          </w:tcPr>
          <w:p>
            <w:pPr>
              <w:spacing w:after="0"/>
              <w:rPr>
                <w:sz w:val="17"/>
                <w:szCs w:val="17"/>
                <w:color w:val="auto"/>
              </w:rPr>
            </w:pPr>
          </w:p>
        </w:tc>
        <w:tc>
          <w:tcPr>
            <w:tcW w:w="860" w:type="dxa"/>
            <w:vAlign w:val="bottom"/>
            <w:shd w:val="clear" w:color="auto" w:fill="E6E6E6"/>
          </w:tcPr>
          <w:p>
            <w:pPr>
              <w:jc w:val="right"/>
              <w:ind w:right="76"/>
              <w:spacing w:after="0" w:line="202" w:lineRule="exact"/>
              <w:rPr>
                <w:sz w:val="20"/>
                <w:szCs w:val="20"/>
                <w:color w:val="auto"/>
              </w:rPr>
            </w:pPr>
            <w:r>
              <w:rPr>
                <w:rFonts w:ascii="Arial" w:cs="Arial" w:eastAsia="Arial" w:hAnsi="Arial"/>
                <w:sz w:val="18"/>
                <w:szCs w:val="18"/>
                <w:color w:val="auto"/>
              </w:rPr>
              <w:t>35.3</w:t>
            </w:r>
          </w:p>
        </w:tc>
        <w:tc>
          <w:tcPr>
            <w:tcW w:w="360" w:type="dxa"/>
            <w:vAlign w:val="bottom"/>
            <w:shd w:val="clear" w:color="auto" w:fill="E6E6E6"/>
          </w:tcPr>
          <w:p>
            <w:pPr>
              <w:spacing w:after="0"/>
              <w:rPr>
                <w:sz w:val="17"/>
                <w:szCs w:val="17"/>
                <w:color w:val="auto"/>
              </w:rPr>
            </w:pPr>
          </w:p>
        </w:tc>
        <w:tc>
          <w:tcPr>
            <w:tcW w:w="66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58.2</w:t>
            </w:r>
          </w:p>
        </w:tc>
        <w:tc>
          <w:tcPr>
            <w:tcW w:w="440" w:type="dxa"/>
            <w:vAlign w:val="bottom"/>
            <w:shd w:val="clear" w:color="auto" w:fill="E6E6E6"/>
          </w:tcPr>
          <w:p>
            <w:pPr>
              <w:spacing w:after="0"/>
              <w:rPr>
                <w:sz w:val="17"/>
                <w:szCs w:val="17"/>
                <w:color w:val="auto"/>
              </w:rPr>
            </w:pPr>
          </w:p>
        </w:tc>
        <w:tc>
          <w:tcPr>
            <w:tcW w:w="880" w:type="dxa"/>
            <w:vAlign w:val="bottom"/>
            <w:shd w:val="clear" w:color="auto" w:fill="E6E6E6"/>
          </w:tcPr>
          <w:p>
            <w:pPr>
              <w:jc w:val="right"/>
              <w:ind w:right="96"/>
              <w:spacing w:after="0" w:line="202" w:lineRule="exact"/>
              <w:rPr>
                <w:sz w:val="20"/>
                <w:szCs w:val="20"/>
                <w:color w:val="auto"/>
              </w:rPr>
            </w:pPr>
            <w:r>
              <w:rPr>
                <w:rFonts w:ascii="Arial" w:cs="Arial" w:eastAsia="Arial" w:hAnsi="Arial"/>
                <w:sz w:val="18"/>
                <w:szCs w:val="18"/>
                <w:color w:val="auto"/>
              </w:rPr>
              <w:t>37.8</w:t>
            </w:r>
          </w:p>
        </w:tc>
        <w:tc>
          <w:tcPr>
            <w:tcW w:w="320" w:type="dxa"/>
            <w:vAlign w:val="bottom"/>
            <w:shd w:val="clear" w:color="auto" w:fill="E6E6E6"/>
          </w:tcPr>
          <w:p>
            <w:pPr>
              <w:spacing w:after="0"/>
              <w:rPr>
                <w:sz w:val="17"/>
                <w:szCs w:val="17"/>
                <w:color w:val="auto"/>
              </w:rPr>
            </w:pPr>
          </w:p>
        </w:tc>
        <w:tc>
          <w:tcPr>
            <w:tcW w:w="70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55.7</w:t>
            </w:r>
          </w:p>
        </w:tc>
        <w:tc>
          <w:tcPr>
            <w:tcW w:w="500" w:type="dxa"/>
            <w:vAlign w:val="bottom"/>
            <w:shd w:val="clear" w:color="auto" w:fill="E6E6E6"/>
          </w:tcPr>
          <w:p>
            <w:pPr>
              <w:spacing w:after="0"/>
              <w:rPr>
                <w:sz w:val="17"/>
                <w:szCs w:val="17"/>
                <w:color w:val="auto"/>
              </w:rPr>
            </w:pPr>
          </w:p>
        </w:tc>
        <w:tc>
          <w:tcPr>
            <w:tcW w:w="780" w:type="dxa"/>
            <w:vAlign w:val="bottom"/>
            <w:shd w:val="clear" w:color="auto" w:fill="E6E6E6"/>
          </w:tcPr>
          <w:p>
            <w:pPr>
              <w:jc w:val="right"/>
              <w:ind w:right="34"/>
              <w:spacing w:after="0" w:line="202" w:lineRule="exact"/>
              <w:rPr>
                <w:sz w:val="20"/>
                <w:szCs w:val="20"/>
                <w:color w:val="auto"/>
              </w:rPr>
            </w:pPr>
            <w:r>
              <w:rPr>
                <w:rFonts w:ascii="Arial" w:cs="Arial" w:eastAsia="Arial" w:hAnsi="Arial"/>
                <w:sz w:val="18"/>
                <w:szCs w:val="18"/>
                <w:color w:val="auto"/>
              </w:rPr>
              <w:t>187.0</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4240" w:type="dxa"/>
            <w:vAlign w:val="bottom"/>
            <w:tcBorders>
              <w:bottom w:val="single" w:sz="8" w:color="808080"/>
            </w:tcBorders>
          </w:tcPr>
          <w:p>
            <w:pPr>
              <w:spacing w:after="0"/>
              <w:rPr>
                <w:sz w:val="9"/>
                <w:szCs w:val="9"/>
                <w:color w:val="auto"/>
              </w:rPr>
            </w:pPr>
          </w:p>
        </w:tc>
        <w:tc>
          <w:tcPr>
            <w:tcW w:w="168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24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6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ind w:right="76"/>
              <w:spacing w:after="0"/>
              <w:rPr>
                <w:sz w:val="20"/>
                <w:szCs w:val="20"/>
                <w:color w:val="auto"/>
              </w:rPr>
            </w:pPr>
            <w:r>
              <w:rPr>
                <w:rFonts w:ascii="Arial" w:cs="Arial" w:eastAsia="Arial" w:hAnsi="Arial"/>
                <w:sz w:val="18"/>
                <w:szCs w:val="18"/>
                <w:b w:val="1"/>
                <w:bCs w:val="1"/>
                <w:color w:val="auto"/>
              </w:rPr>
              <w:t>173.7</w:t>
            </w:r>
          </w:p>
        </w:tc>
        <w:tc>
          <w:tcPr>
            <w:tcW w:w="3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412.4</w:t>
            </w: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tcPr>
          <w:p>
            <w:pPr>
              <w:jc w:val="right"/>
              <w:ind w:right="96"/>
              <w:spacing w:after="0"/>
              <w:rPr>
                <w:sz w:val="20"/>
                <w:szCs w:val="20"/>
                <w:color w:val="auto"/>
              </w:rPr>
            </w:pPr>
            <w:r>
              <w:rPr>
                <w:rFonts w:ascii="Arial" w:cs="Arial" w:eastAsia="Arial" w:hAnsi="Arial"/>
                <w:sz w:val="18"/>
                <w:szCs w:val="18"/>
                <w:b w:val="1"/>
                <w:bCs w:val="1"/>
                <w:color w:val="auto"/>
              </w:rPr>
              <w:t>174.3</w:t>
            </w:r>
          </w:p>
        </w:tc>
        <w:tc>
          <w:tcPr>
            <w:tcW w:w="3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584.7</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780" w:type="dxa"/>
            <w:vAlign w:val="bottom"/>
          </w:tcPr>
          <w:p>
            <w:pPr>
              <w:jc w:val="right"/>
              <w:ind w:right="34"/>
              <w:spacing w:after="0"/>
              <w:rPr>
                <w:sz w:val="20"/>
                <w:szCs w:val="20"/>
                <w:color w:val="auto"/>
              </w:rPr>
            </w:pPr>
            <w:r>
              <w:rPr>
                <w:rFonts w:ascii="Arial" w:cs="Arial" w:eastAsia="Arial" w:hAnsi="Arial"/>
                <w:sz w:val="18"/>
                <w:szCs w:val="18"/>
                <w:b w:val="1"/>
                <w:bCs w:val="1"/>
                <w:color w:val="auto"/>
              </w:rPr>
              <w:t>1,345.1</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4240" w:type="dxa"/>
            <w:vAlign w:val="bottom"/>
            <w:tcBorders>
              <w:bottom w:val="single" w:sz="8" w:color="808080"/>
            </w:tcBorders>
          </w:tcPr>
          <w:p>
            <w:pPr>
              <w:spacing w:after="0"/>
              <w:rPr>
                <w:sz w:val="10"/>
                <w:szCs w:val="10"/>
                <w:color w:val="auto"/>
              </w:rPr>
            </w:pPr>
          </w:p>
        </w:tc>
        <w:tc>
          <w:tcPr>
            <w:tcW w:w="168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3544570</wp:posOffset>
            </wp:positionH>
            <wp:positionV relativeFrom="paragraph">
              <wp:posOffset>-29210</wp:posOffset>
            </wp:positionV>
            <wp:extent cx="12700" cy="298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-29210</wp:posOffset>
            </wp:positionV>
            <wp:extent cx="12700" cy="298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-29210</wp:posOffset>
            </wp:positionV>
            <wp:extent cx="12700" cy="298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-29210</wp:posOffset>
            </wp:positionV>
            <wp:extent cx="12700" cy="298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-29210</wp:posOffset>
            </wp:positionV>
            <wp:extent cx="12700" cy="298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-29210</wp:posOffset>
            </wp:positionV>
            <wp:extent cx="12700" cy="298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-29210</wp:posOffset>
            </wp:positionV>
            <wp:extent cx="12700" cy="298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-29210</wp:posOffset>
            </wp:positionV>
            <wp:extent cx="12700" cy="298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-29210</wp:posOffset>
            </wp:positionV>
            <wp:extent cx="12700" cy="298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-29210</wp:posOffset>
            </wp:positionV>
            <wp:extent cx="12700" cy="298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5894705</wp:posOffset>
            </wp:positionH>
            <wp:positionV relativeFrom="paragraph">
              <wp:posOffset>-29210</wp:posOffset>
            </wp:positionV>
            <wp:extent cx="12700" cy="298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5963285</wp:posOffset>
            </wp:positionH>
            <wp:positionV relativeFrom="paragraph">
              <wp:posOffset>-29210</wp:posOffset>
            </wp:positionV>
            <wp:extent cx="12700" cy="298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-29210</wp:posOffset>
            </wp:positionV>
            <wp:extent cx="12700" cy="298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-29210</wp:posOffset>
            </wp:positionV>
            <wp:extent cx="12700" cy="298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-29210</wp:posOffset>
            </wp:positionV>
            <wp:extent cx="12700" cy="298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-29210</wp:posOffset>
            </wp:positionV>
            <wp:extent cx="12700" cy="298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41"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4"/>
          <w:szCs w:val="14"/>
          <w:color w:val="auto"/>
        </w:rPr>
      </w:pPr>
      <w:r>
        <w:rPr>
          <w:rFonts w:ascii="Arial" w:cs="Arial" w:eastAsia="Arial" w:hAnsi="Arial"/>
          <w:sz w:val="14"/>
          <w:szCs w:val="14"/>
          <w:color w:val="auto"/>
        </w:rPr>
        <w:t>Obligations for income tax uncertainties pursuant to ASC 740 of approximately $30.6 are not included in the table.</w:t>
      </w:r>
    </w:p>
    <w:p>
      <w:pPr>
        <w:spacing w:after="0" w:line="136" w:lineRule="exact"/>
        <w:rPr>
          <w:rFonts w:ascii="Arial" w:cs="Arial" w:eastAsia="Arial" w:hAnsi="Arial"/>
          <w:sz w:val="14"/>
          <w:szCs w:val="14"/>
          <w:color w:val="auto"/>
        </w:rPr>
      </w:pPr>
    </w:p>
    <w:p>
      <w:pPr>
        <w:ind w:left="460" w:hanging="452"/>
        <w:spacing w:after="0"/>
        <w:tabs>
          <w:tab w:leader="none" w:pos="460" w:val="left"/>
        </w:tabs>
        <w:numPr>
          <w:ilvl w:val="0"/>
          <w:numId w:val="8"/>
        </w:numPr>
        <w:rPr>
          <w:rFonts w:ascii="Arial" w:cs="Arial" w:eastAsia="Arial" w:hAnsi="Arial"/>
          <w:sz w:val="14"/>
          <w:szCs w:val="14"/>
          <w:color w:val="auto"/>
        </w:rPr>
      </w:pPr>
      <w:r>
        <w:rPr>
          <w:rFonts w:ascii="Arial" w:cs="Arial" w:eastAsia="Arial" w:hAnsi="Arial"/>
          <w:sz w:val="14"/>
          <w:szCs w:val="14"/>
          <w:color w:val="auto"/>
        </w:rPr>
        <w:t>Includes principal and interest.</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w:t>
      </w:r>
    </w:p>
    <w:p>
      <w:pPr>
        <w:spacing w:after="0" w:line="231"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On June 1, 2007, Scholastic Corporation and Scholastic Inc. (each, a “Borrower” and together, the “Borrowers”) elected to replace the Company’s then-existing credit facilities with a new $525.0 million credit facility with certain banks (the “Loan Agreement”), consisting of a $325.0 million revolving credit component (the “Revolving Loan”) and a $200.0 million amortizing term loan component (the “Term Loan”). The Loan Agreement is a contractually committed unsecured credit facility that is scheduled to expire on June 1, 2012. The $325.0 million Revolving Loan component allows the Company to borrow, repay or prepay and reborrow at any time prior to the stated maturity date, and the proceeds may be used for general corporate purposes, including financing for acquisitions and share repurchases. The Loan Agreement also provides for an increase in the aggregate Revolving Loan commitments of the lenders of up to an additional $150.0 million. The $200.0 million Term Loan component was established in order to fund the reacquisition by the Corporation of shares of its Common Stock pursuant to an Accelerated Share Repurchase Agreement (as more fully described in Note 10 of Notes to Consolidated Financial Statements in Item 8, “Consolidated Financial Statements and Supplementary Data”) and was fully drawn on June 28, 2007 in connection with that transaction. The Term Loan, which may be prepaid at any time without penalty, requires quarterly principal payments of $10.7 million, with the first payment made on December 31, 2007, and a final payment of $7.4 million due on June 1, 2012. Interest on both the Term Loan and Revolving Loan is due and payable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2663825</wp:posOffset>
            </wp:positionH>
            <wp:positionV relativeFrom="paragraph">
              <wp:posOffset>120650</wp:posOffset>
            </wp:positionV>
            <wp:extent cx="1929765" cy="23177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1929765"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387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60"/>
          </w:cols>
          <w:pgMar w:left="240" w:top="833" w:right="199" w:bottom="1440" w:gutter="0" w:footer="0" w:header="0"/>
        </w:sectPr>
      </w:pPr>
    </w:p>
    <w:bookmarkStart w:id="34" w:name="page35"/>
    <w:bookmarkEnd w:id="34"/>
    <w:p>
      <w:pPr>
        <w:ind w:right="60"/>
        <w:spacing w:after="0" w:line="305"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63765" cy="8890"/>
                    </a:xfrm>
                    <a:prstGeom prst="rect">
                      <a:avLst/>
                    </a:prstGeom>
                    <a:noFill/>
                  </pic:spPr>
                </pic:pic>
              </a:graphicData>
            </a:graphic>
          </wp:anchor>
        </w:drawing>
        <w:t>arrears on the last day of the interest period (defined as the period commencing on the date of the advance and ending on the last day of the period selected by the Borrower at the time each advance is made). At the election of the Borrower, the interest rate charged for each loan made under the Loan Agreement is based on</w:t>
      </w:r>
    </w:p>
    <w:p>
      <w:pPr>
        <w:ind w:right="200" w:firstLine="8"/>
        <w:spacing w:after="0" w:line="300" w:lineRule="auto"/>
        <w:tabs>
          <w:tab w:leader="none" w:pos="249" w:val="left"/>
        </w:tabs>
        <w:numPr>
          <w:ilvl w:val="0"/>
          <w:numId w:val="9"/>
        </w:numPr>
        <w:rPr>
          <w:rFonts w:ascii="Arial" w:cs="Arial" w:eastAsia="Arial" w:hAnsi="Arial"/>
          <w:sz w:val="15"/>
          <w:szCs w:val="15"/>
          <w:color w:val="auto"/>
        </w:rPr>
      </w:pPr>
      <w:r>
        <w:rPr>
          <w:rFonts w:ascii="Arial" w:cs="Arial" w:eastAsia="Arial" w:hAnsi="Arial"/>
          <w:sz w:val="15"/>
          <w:szCs w:val="15"/>
          <w:color w:val="auto"/>
        </w:rPr>
        <w:t>a rate equal to the higher of (a) the prime rate or (b) the prevailing Federal Funds rate plus 0.500% or (2) an adjusted LIBOR rate plus an applicable margin, ranging from 0.500% to 1.250% based on the Company’s prevailing consolidated debt to total capital ratio. As of May 31, 2010, the applicable margin on the Term Loan was 0.750 % and the applicable margin on the Revolving Loan was 0.600%; at May 31, 2009, the applicable margin on the Term Loan was 0.875% and the applicable margin on the Revolving Loan was 0.700%. The Loan Agreement also provides for the payment of a facility fee ranging from 0.125% to</w:t>
      </w:r>
    </w:p>
    <w:p>
      <w:pPr>
        <w:spacing w:after="0" w:line="1" w:lineRule="exact"/>
        <w:rPr>
          <w:rFonts w:ascii="Arial" w:cs="Arial" w:eastAsia="Arial" w:hAnsi="Arial"/>
          <w:sz w:val="15"/>
          <w:szCs w:val="15"/>
          <w:color w:val="auto"/>
        </w:rPr>
      </w:pPr>
    </w:p>
    <w:p>
      <w:pPr>
        <w:ind w:right="80"/>
        <w:spacing w:after="0" w:line="315" w:lineRule="auto"/>
        <w:rPr>
          <w:rFonts w:ascii="Arial" w:cs="Arial" w:eastAsia="Arial" w:hAnsi="Arial"/>
          <w:sz w:val="15"/>
          <w:szCs w:val="15"/>
          <w:color w:val="auto"/>
        </w:rPr>
      </w:pPr>
      <w:r>
        <w:rPr>
          <w:rFonts w:ascii="Arial" w:cs="Arial" w:eastAsia="Arial" w:hAnsi="Arial"/>
          <w:sz w:val="15"/>
          <w:szCs w:val="15"/>
          <w:color w:val="auto"/>
        </w:rPr>
        <w:t>0.250% per annum on the Revolving Loan only, which at May 31, 2010 was 0.150% and at May 31, 2009 was 0.175%. As of May 31, 2010, $93.0 million was outstanding under the Term Loan at an interest rate of 1.1%; at May 31, 2009, $135.8 million was outstanding under the Term Loan at an interest rate of 1.2%. There were no outstanding borrowings under the Revolving Loan as of May 31, 2010 and May 31, 2009. As of May 31, 2010, there was $0.4 million of outstanding standby letters of credit issued under the Loan Agreement. The Loan Agreement contains certain covenants, including interest coverage and leverage ratio tests and certain limitations on the amount of dividends and other distributions, and at May 31, 2010 the Company was in compliance with these covenants.</w:t>
      </w:r>
    </w:p>
    <w:p>
      <w:pPr>
        <w:spacing w:after="0" w:line="158"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In November 2009 and May 2009, the Company entered into unsecured money market bid rate credit lines totaling $20.0 million and $20.0 million, respectively. There were no outstanding borrowings under these credit lines at May 31, 2010 and May 31, 2009. All loans made under these credit lines are at the sole discretion of the lender and at an interest rate and term agreed to at the time each loan is made, but not to exceed 365 days, for fiscal 2010 and 180 days for fiscal 2009. These credit lines may be renewed, if requested by the Company, at the sole option of the lender.</w:t>
      </w:r>
    </w:p>
    <w:p>
      <w:pPr>
        <w:spacing w:after="0" w:line="167"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As of May 31, 2010, the Company also had various local currency credit lines, with maximum available borrowings in amounts equivalent to $28.2 million, underwritten by banks primarily in the United States, Canada and the United Kingdom. These credit lines are typically available for overdraft borrowings or loans up to 364 days and may be renewed, if requested by the Company, at the sole option of the lender. There were borrowings outstanding under these facilities equivalent to $7.5 million at May 31, 2010 at a weighted average interest rate of 3.9%, compared to the equivalent of $10.9 million at May 31, 2009 at a weighted average interest rate of 3.3%. In December 2008, the Company recapitalized its United Kingdom operations via a cash contribution from the Company’s domestic operations, due to the cancellation of the local currency credit line in the United Kingdom.</w:t>
      </w:r>
    </w:p>
    <w:p>
      <w:pPr>
        <w:spacing w:after="0" w:line="174"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At May 31, 2010, the Company had open standby letters of credit of $7.2 million issued under certain credit lines, compared to $7.4 million as of May 31, 2009. These letters of credit are scheduled to expire within one year; however, the Company expects that substantially all of these letters of credit will be renewed, at similar terms, prior to expiration.</w:t>
      </w:r>
    </w:p>
    <w:p>
      <w:pPr>
        <w:spacing w:after="0" w:line="194" w:lineRule="exact"/>
        <w:rPr>
          <w:sz w:val="20"/>
          <w:szCs w:val="20"/>
          <w:color w:val="auto"/>
        </w:rPr>
      </w:pPr>
    </w:p>
    <w:p>
      <w:pPr>
        <w:spacing w:after="0" w:line="370" w:lineRule="auto"/>
        <w:rPr>
          <w:sz w:val="20"/>
          <w:szCs w:val="20"/>
          <w:color w:val="auto"/>
        </w:rPr>
      </w:pPr>
      <w:r>
        <w:rPr>
          <w:rFonts w:ascii="Arial" w:cs="Arial" w:eastAsia="Arial" w:hAnsi="Arial"/>
          <w:sz w:val="15"/>
          <w:szCs w:val="15"/>
          <w:color w:val="auto"/>
        </w:rPr>
        <w:t>The Company’s total debt obligations were $252.8 million at May 31, 2010 and $303.7 million at May 31, 2009. The lower level of debt at May 31, 2010 compared to the level at May 31, 2009 was primarily due to repayments made on the Term Loan and repurchases of the Company’s 5% Notes on the open market.</w:t>
      </w:r>
    </w:p>
    <w:p>
      <w:pPr>
        <w:spacing w:after="0" w:line="116"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For a more complete description of the Company’s debt obligations, see Note 4 of Notes to Consolidated Financial Statements in Item 8, “Consolidated Financial Statements and Supplementary Data.”</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w:t>
      </w:r>
    </w:p>
    <w:p>
      <w:pPr>
        <w:spacing w:after="0" w:line="231"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In the ordinary course of business, the Company explores domestic and international expansion opportunities, including potential niche and strategic acquisitions. As part of this process, the Company engages with interested parties in discussions concerning possible transactions. The Company will continue to evaluate such opportunities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2663825</wp:posOffset>
            </wp:positionH>
            <wp:positionV relativeFrom="paragraph">
              <wp:posOffset>128905</wp:posOffset>
            </wp:positionV>
            <wp:extent cx="1929765" cy="23177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1929765"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387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833"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63765" cy="8890"/>
                    </a:xfrm>
                    <a:prstGeom prst="rect">
                      <a:avLst/>
                    </a:prstGeom>
                    <a:noFill/>
                  </pic:spPr>
                </pic:pic>
              </a:graphicData>
            </a:graphic>
          </wp:anchor>
        </w:drawing>
        <w:t>Item 7A | Quantitative and Qualitative Disclosures about Market Risk</w:t>
      </w:r>
    </w:p>
    <w:p>
      <w:pPr>
        <w:spacing w:after="0" w:line="222" w:lineRule="exact"/>
        <w:rPr>
          <w:sz w:val="20"/>
          <w:szCs w:val="20"/>
          <w:color w:val="auto"/>
        </w:rPr>
      </w:pPr>
    </w:p>
    <w:p>
      <w:pPr>
        <w:ind w:right="480"/>
        <w:spacing w:after="0" w:line="298" w:lineRule="auto"/>
        <w:rPr>
          <w:sz w:val="20"/>
          <w:szCs w:val="20"/>
          <w:color w:val="auto"/>
        </w:rPr>
      </w:pPr>
      <w:r>
        <w:rPr>
          <w:rFonts w:ascii="Arial" w:cs="Arial" w:eastAsia="Arial" w:hAnsi="Arial"/>
          <w:sz w:val="16"/>
          <w:szCs w:val="16"/>
          <w:color w:val="auto"/>
        </w:rPr>
        <w:t>The Company conducts its business in various foreign countries, and as such, its cash flows and earnings are subject to fluctuations from changes in foreign currency exchange rates. The Company manages its exposures to this market risk through internally established procedures and, when deemed appropriate, through the use of short-term forward exchange contracts, which were not significant as of May 31, 2010. The Company does not enter into derivative transactions or use other financial instruments for trading or speculative purposes.</w:t>
      </w:r>
    </w:p>
    <w:p>
      <w:pPr>
        <w:spacing w:after="0" w:line="167" w:lineRule="exact"/>
        <w:rPr>
          <w:sz w:val="20"/>
          <w:szCs w:val="20"/>
          <w:color w:val="auto"/>
        </w:rPr>
      </w:pPr>
    </w:p>
    <w:p>
      <w:pPr>
        <w:ind w:right="120"/>
        <w:spacing w:after="0" w:line="318" w:lineRule="auto"/>
        <w:rPr>
          <w:sz w:val="20"/>
          <w:szCs w:val="20"/>
          <w:color w:val="auto"/>
        </w:rPr>
      </w:pPr>
      <w:r>
        <w:rPr>
          <w:rFonts w:ascii="Arial" w:cs="Arial" w:eastAsia="Arial" w:hAnsi="Arial"/>
          <w:sz w:val="15"/>
          <w:szCs w:val="15"/>
          <w:color w:val="auto"/>
        </w:rPr>
        <w:t>Market risks relating to the Company’s operations result primarily from changes in interest rates, which are managed through the mix of variable-rate versus fixed-rate borrowings. Additionally, financial instruments, including swap agreements, have been used to manage interest rate exposures. Approximately 40% of the Company’s debt at May 31, 2010 bore interest at a variable rate and was sensitive to changes in interest rates, compared to approximately 48% at May 31, 2009. The decrease in variable-rate debt as of May 31, 2010 compared to May 31, 2009 was primarily due to repayments made on the Term Loan. The Company is subject to the risk that market interest rates and its cost of borrowing will increase and thereby increase the interest charged under its variable-rate debt.</w:t>
      </w:r>
    </w:p>
    <w:p>
      <w:pPr>
        <w:spacing w:after="0" w:line="154"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Additional information relating to the Company’s outstanding financial instruments is included in Item 7, “Management’s Discussion and Analysis of Financial Condition and Results of Operations.”</w:t>
      </w:r>
    </w:p>
    <w:p>
      <w:pPr>
        <w:spacing w:after="0" w:line="186"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The following table sets forth information about the Company’s debt instruments as of May 31, 2010 (see Note 4 of Notes to Consolidated Financial Statements in Item 8, “Consolidated Financial Statements and Supplementary Data”):</w:t>
      </w:r>
    </w:p>
    <w:p>
      <w:pPr>
        <w:spacing w:after="0" w:line="207" w:lineRule="exact"/>
        <w:rPr>
          <w:sz w:val="20"/>
          <w:szCs w:val="20"/>
          <w:color w:val="auto"/>
        </w:rPr>
      </w:pPr>
    </w:p>
    <w:p>
      <w:pPr>
        <w:ind w:left="10160"/>
        <w:spacing w:after="0"/>
        <w:rPr>
          <w:sz w:val="20"/>
          <w:szCs w:val="20"/>
          <w:color w:val="auto"/>
        </w:rPr>
      </w:pPr>
      <w:r>
        <w:rPr>
          <w:rFonts w:ascii="Arial" w:cs="Arial" w:eastAsia="Arial" w:hAnsi="Arial"/>
          <w:sz w:val="12"/>
          <w:szCs w:val="12"/>
          <w:color w:val="auto"/>
        </w:rPr>
        <w:t>$ amounts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63765"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20" w:type="dxa"/>
            <w:vAlign w:val="bottom"/>
            <w:gridSpan w:val="4"/>
          </w:tcPr>
          <w:p>
            <w:pPr>
              <w:jc w:val="right"/>
              <w:ind w:right="558"/>
              <w:spacing w:after="0"/>
              <w:rPr>
                <w:sz w:val="20"/>
                <w:szCs w:val="20"/>
                <w:color w:val="auto"/>
              </w:rPr>
            </w:pPr>
            <w:r>
              <w:rPr>
                <w:rFonts w:ascii="Arial" w:cs="Arial" w:eastAsia="Arial" w:hAnsi="Arial"/>
                <w:sz w:val="14"/>
                <w:szCs w:val="14"/>
                <w:b w:val="1"/>
                <w:bCs w:val="1"/>
                <w:color w:val="auto"/>
              </w:rPr>
              <w:t>Fiscal Year Maturity</w:t>
            </w: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gridSpan w:val="2"/>
          </w:tcPr>
          <w:p>
            <w:pPr>
              <w:ind w:left="4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9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jc w:val="right"/>
              <w:ind w:right="176"/>
              <w:spacing w:after="0"/>
              <w:rPr>
                <w:sz w:val="20"/>
                <w:szCs w:val="20"/>
                <w:color w:val="auto"/>
              </w:rPr>
            </w:pPr>
            <w:r>
              <w:rPr>
                <w:rFonts w:ascii="Arial" w:cs="Arial" w:eastAsia="Arial" w:hAnsi="Arial"/>
                <w:sz w:val="14"/>
                <w:szCs w:val="14"/>
                <w:b w:val="1"/>
                <w:bCs w:val="1"/>
                <w:color w:val="auto"/>
              </w:rPr>
              <w:t>2011</w:t>
            </w:r>
          </w:p>
        </w:tc>
        <w:tc>
          <w:tcPr>
            <w:tcW w:w="360" w:type="dxa"/>
            <w:vAlign w:val="bottom"/>
          </w:tcPr>
          <w:p>
            <w:pPr>
              <w:spacing w:after="0"/>
              <w:rPr>
                <w:sz w:val="15"/>
                <w:szCs w:val="15"/>
                <w:color w:val="auto"/>
              </w:rPr>
            </w:pPr>
          </w:p>
        </w:tc>
        <w:tc>
          <w:tcPr>
            <w:tcW w:w="680" w:type="dxa"/>
            <w:vAlign w:val="bottom"/>
          </w:tcPr>
          <w:p>
            <w:pPr>
              <w:jc w:val="right"/>
              <w:ind w:right="116"/>
              <w:spacing w:after="0"/>
              <w:rPr>
                <w:sz w:val="20"/>
                <w:szCs w:val="20"/>
                <w:color w:val="auto"/>
              </w:rPr>
            </w:pPr>
            <w:r>
              <w:rPr>
                <w:rFonts w:ascii="Arial" w:cs="Arial" w:eastAsia="Arial" w:hAnsi="Arial"/>
                <w:sz w:val="14"/>
                <w:szCs w:val="14"/>
                <w:b w:val="1"/>
                <w:bCs w:val="1"/>
                <w:color w:val="auto"/>
              </w:rPr>
              <w:t>2012</w:t>
            </w:r>
          </w:p>
        </w:tc>
        <w:tc>
          <w:tcPr>
            <w:tcW w:w="240" w:type="dxa"/>
            <w:vAlign w:val="bottom"/>
          </w:tcPr>
          <w:p>
            <w:pPr>
              <w:spacing w:after="0"/>
              <w:rPr>
                <w:sz w:val="15"/>
                <w:szCs w:val="15"/>
                <w:color w:val="auto"/>
              </w:rPr>
            </w:pPr>
          </w:p>
        </w:tc>
        <w:tc>
          <w:tcPr>
            <w:tcW w:w="740" w:type="dxa"/>
            <w:vAlign w:val="bottom"/>
          </w:tcPr>
          <w:p>
            <w:pPr>
              <w:jc w:val="right"/>
              <w:ind w:right="118"/>
              <w:spacing w:after="0"/>
              <w:rPr>
                <w:sz w:val="20"/>
                <w:szCs w:val="20"/>
                <w:color w:val="auto"/>
              </w:rPr>
            </w:pPr>
            <w:r>
              <w:rPr>
                <w:rFonts w:ascii="Arial" w:cs="Arial" w:eastAsia="Arial" w:hAnsi="Arial"/>
                <w:sz w:val="14"/>
                <w:szCs w:val="14"/>
                <w:b w:val="1"/>
                <w:bCs w:val="1"/>
                <w:color w:val="auto"/>
              </w:rPr>
              <w:t>2013</w:t>
            </w:r>
          </w:p>
        </w:tc>
        <w:tc>
          <w:tcPr>
            <w:tcW w:w="140" w:type="dxa"/>
            <w:vAlign w:val="bottom"/>
          </w:tcPr>
          <w:p>
            <w:pPr>
              <w:spacing w:after="0"/>
              <w:rPr>
                <w:sz w:val="15"/>
                <w:szCs w:val="15"/>
                <w:color w:val="auto"/>
              </w:rPr>
            </w:pPr>
          </w:p>
        </w:tc>
        <w:tc>
          <w:tcPr>
            <w:tcW w:w="520" w:type="dxa"/>
            <w:vAlign w:val="bottom"/>
          </w:tcPr>
          <w:p>
            <w:pPr>
              <w:jc w:val="right"/>
              <w:ind w:right="157"/>
              <w:spacing w:after="0"/>
              <w:rPr>
                <w:sz w:val="20"/>
                <w:szCs w:val="20"/>
                <w:color w:val="auto"/>
              </w:rPr>
            </w:pPr>
            <w:r>
              <w:rPr>
                <w:rFonts w:ascii="Arial" w:cs="Arial" w:eastAsia="Arial" w:hAnsi="Arial"/>
                <w:sz w:val="14"/>
                <w:szCs w:val="14"/>
                <w:b w:val="1"/>
                <w:bCs w:val="1"/>
                <w:color w:val="auto"/>
                <w:w w:val="83"/>
              </w:rPr>
              <w:t>2014</w:t>
            </w:r>
          </w:p>
        </w:tc>
        <w:tc>
          <w:tcPr>
            <w:tcW w:w="300" w:type="dxa"/>
            <w:vAlign w:val="bottom"/>
          </w:tcPr>
          <w:p>
            <w:pPr>
              <w:spacing w:after="0"/>
              <w:rPr>
                <w:sz w:val="15"/>
                <w:szCs w:val="15"/>
                <w:color w:val="auto"/>
              </w:rPr>
            </w:pPr>
          </w:p>
        </w:tc>
        <w:tc>
          <w:tcPr>
            <w:tcW w:w="820" w:type="dxa"/>
            <w:vAlign w:val="bottom"/>
          </w:tcPr>
          <w:p>
            <w:pPr>
              <w:jc w:val="right"/>
              <w:ind w:right="37"/>
              <w:spacing w:after="0"/>
              <w:rPr>
                <w:sz w:val="20"/>
                <w:szCs w:val="20"/>
                <w:color w:val="auto"/>
              </w:rPr>
            </w:pPr>
            <w:r>
              <w:rPr>
                <w:rFonts w:ascii="Arial" w:cs="Arial" w:eastAsia="Arial" w:hAnsi="Arial"/>
                <w:sz w:val="14"/>
                <w:szCs w:val="14"/>
                <w:b w:val="1"/>
                <w:bCs w:val="1"/>
                <w:color w:val="auto"/>
                <w:w w:val="99"/>
              </w:rPr>
              <w:t>Thereafter</w:t>
            </w:r>
          </w:p>
        </w:tc>
        <w:tc>
          <w:tcPr>
            <w:tcW w:w="340" w:type="dxa"/>
            <w:vAlign w:val="bottom"/>
          </w:tcPr>
          <w:p>
            <w:pPr>
              <w:spacing w:after="0"/>
              <w:rPr>
                <w:sz w:val="15"/>
                <w:szCs w:val="15"/>
                <w:color w:val="auto"/>
              </w:rPr>
            </w:pPr>
          </w:p>
        </w:tc>
        <w:tc>
          <w:tcPr>
            <w:tcW w:w="660" w:type="dxa"/>
            <w:vAlign w:val="bottom"/>
          </w:tcPr>
          <w:p>
            <w:pPr>
              <w:jc w:val="right"/>
              <w:ind w:right="37"/>
              <w:spacing w:after="0"/>
              <w:rPr>
                <w:sz w:val="20"/>
                <w:szCs w:val="20"/>
                <w:color w:val="auto"/>
              </w:rPr>
            </w:pPr>
            <w:r>
              <w:rPr>
                <w:rFonts w:ascii="Arial" w:cs="Arial" w:eastAsia="Arial" w:hAnsi="Arial"/>
                <w:sz w:val="14"/>
                <w:szCs w:val="14"/>
                <w:b w:val="1"/>
                <w:bCs w:val="1"/>
                <w:color w:val="auto"/>
              </w:rPr>
              <w:t>Total</w:t>
            </w:r>
          </w:p>
        </w:tc>
        <w:tc>
          <w:tcPr>
            <w:tcW w:w="240" w:type="dxa"/>
            <w:vAlign w:val="bottom"/>
          </w:tcPr>
          <w:p>
            <w:pPr>
              <w:spacing w:after="0"/>
              <w:rPr>
                <w:sz w:val="15"/>
                <w:szCs w:val="15"/>
                <w:color w:val="auto"/>
              </w:rPr>
            </w:pPr>
          </w:p>
        </w:tc>
        <w:tc>
          <w:tcPr>
            <w:tcW w:w="760" w:type="dxa"/>
            <w:vAlign w:val="bottom"/>
          </w:tcPr>
          <w:p>
            <w:pPr>
              <w:jc w:val="right"/>
              <w:ind w:right="40"/>
              <w:spacing w:after="0"/>
              <w:rPr>
                <w:sz w:val="20"/>
                <w:szCs w:val="20"/>
                <w:color w:val="auto"/>
              </w:rPr>
            </w:pPr>
            <w:r>
              <w:rPr>
                <w:rFonts w:ascii="Arial" w:cs="Arial" w:eastAsia="Arial" w:hAnsi="Arial"/>
                <w:sz w:val="14"/>
                <w:szCs w:val="14"/>
                <w:b w:val="1"/>
                <w:bCs w:val="1"/>
                <w:color w:val="auto"/>
              </w:rPr>
              <w:t>2010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3940" w:type="dxa"/>
            <w:vAlign w:val="bottom"/>
            <w:gridSpan w:val="2"/>
          </w:tcPr>
          <w:p>
            <w:pPr>
              <w:spacing w:after="0"/>
              <w:rPr>
                <w:sz w:val="8"/>
                <w:szCs w:val="8"/>
                <w:color w:val="auto"/>
              </w:rPr>
            </w:pPr>
          </w:p>
        </w:tc>
        <w:tc>
          <w:tcPr>
            <w:tcW w:w="940" w:type="dxa"/>
            <w:vAlign w:val="bottom"/>
          </w:tcPr>
          <w:p>
            <w:pPr>
              <w:spacing w:after="0"/>
              <w:rPr>
                <w:sz w:val="8"/>
                <w:szCs w:val="8"/>
                <w:color w:val="auto"/>
              </w:rPr>
            </w:pPr>
          </w:p>
        </w:tc>
        <w:tc>
          <w:tcPr>
            <w:tcW w:w="740" w:type="dxa"/>
            <w:vAlign w:val="bottom"/>
          </w:tcPr>
          <w:p>
            <w:pPr>
              <w:spacing w:after="0"/>
              <w:rPr>
                <w:sz w:val="8"/>
                <w:szCs w:val="8"/>
                <w:color w:val="auto"/>
              </w:rPr>
            </w:pPr>
          </w:p>
        </w:tc>
        <w:tc>
          <w:tcPr>
            <w:tcW w:w="3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3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4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920" w:type="dxa"/>
            <w:vAlign w:val="bottom"/>
            <w:tcBorders>
              <w:top w:val="single" w:sz="8" w:color="auto"/>
            </w:tcBorders>
          </w:tcPr>
          <w:p>
            <w:pPr>
              <w:spacing w:after="0"/>
              <w:rPr>
                <w:sz w:val="8"/>
                <w:szCs w:val="8"/>
                <w:color w:val="auto"/>
              </w:rPr>
            </w:pPr>
          </w:p>
        </w:tc>
        <w:tc>
          <w:tcPr>
            <w:tcW w:w="940" w:type="dxa"/>
            <w:vAlign w:val="bottom"/>
            <w:tcBorders>
              <w:top w:val="single" w:sz="8" w:color="auto"/>
            </w:tcBorders>
          </w:tcPr>
          <w:p>
            <w:pPr>
              <w:spacing w:after="0"/>
              <w:rPr>
                <w:sz w:val="8"/>
                <w:szCs w:val="8"/>
                <w:color w:val="auto"/>
              </w:rPr>
            </w:pPr>
          </w:p>
        </w:tc>
        <w:tc>
          <w:tcPr>
            <w:tcW w:w="740" w:type="dxa"/>
            <w:vAlign w:val="bottom"/>
            <w:tcBorders>
              <w:top w:val="single" w:sz="8" w:color="auto"/>
            </w:tcBorders>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240" w:type="dxa"/>
            <w:vAlign w:val="bottom"/>
            <w:tcBorders>
              <w:top w:val="single" w:sz="8" w:color="auto"/>
            </w:tcBorders>
          </w:tcPr>
          <w:p>
            <w:pPr>
              <w:spacing w:after="0"/>
              <w:rPr>
                <w:sz w:val="8"/>
                <w:szCs w:val="8"/>
                <w:color w:val="auto"/>
              </w:rPr>
            </w:pPr>
          </w:p>
        </w:tc>
        <w:tc>
          <w:tcPr>
            <w:tcW w:w="74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300" w:type="dxa"/>
            <w:vAlign w:val="bottom"/>
            <w:tcBorders>
              <w:top w:val="single" w:sz="8" w:color="auto"/>
            </w:tcBorders>
          </w:tcPr>
          <w:p>
            <w:pPr>
              <w:spacing w:after="0"/>
              <w:rPr>
                <w:sz w:val="8"/>
                <w:szCs w:val="8"/>
                <w:color w:val="auto"/>
              </w:rPr>
            </w:pPr>
          </w:p>
        </w:tc>
        <w:tc>
          <w:tcPr>
            <w:tcW w:w="820" w:type="dxa"/>
            <w:vAlign w:val="bottom"/>
            <w:tcBorders>
              <w:top w:val="single" w:sz="8" w:color="auto"/>
            </w:tcBorders>
          </w:tcPr>
          <w:p>
            <w:pPr>
              <w:spacing w:after="0"/>
              <w:rPr>
                <w:sz w:val="8"/>
                <w:szCs w:val="8"/>
                <w:color w:val="auto"/>
              </w:rPr>
            </w:pPr>
          </w:p>
        </w:tc>
        <w:tc>
          <w:tcPr>
            <w:tcW w:w="340" w:type="dxa"/>
            <w:vAlign w:val="bottom"/>
            <w:tcBorders>
              <w:top w:val="single" w:sz="8" w:color="auto"/>
            </w:tcBorders>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240" w:type="dxa"/>
            <w:vAlign w:val="bottom"/>
            <w:tcBorders>
              <w:top w:val="single" w:sz="8" w:color="auto"/>
            </w:tcBorders>
          </w:tcPr>
          <w:p>
            <w:pPr>
              <w:spacing w:after="0"/>
              <w:rPr>
                <w:sz w:val="8"/>
                <w:szCs w:val="8"/>
                <w:color w:val="auto"/>
              </w:rPr>
            </w:pPr>
          </w:p>
        </w:tc>
        <w:tc>
          <w:tcPr>
            <w:tcW w:w="76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920" w:type="dxa"/>
            <w:vAlign w:val="bottom"/>
            <w:shd w:val="clear" w:color="auto" w:fill="E6E6E6"/>
          </w:tcPr>
          <w:p>
            <w:pPr>
              <w:spacing w:after="0" w:line="202" w:lineRule="exact"/>
              <w:rPr>
                <w:sz w:val="20"/>
                <w:szCs w:val="20"/>
                <w:color w:val="auto"/>
              </w:rPr>
            </w:pPr>
            <w:r>
              <w:rPr>
                <w:rFonts w:ascii="Arial" w:cs="Arial" w:eastAsia="Arial" w:hAnsi="Arial"/>
                <w:sz w:val="18"/>
                <w:szCs w:val="18"/>
                <w:b w:val="1"/>
                <w:bCs w:val="1"/>
                <w:color w:val="auto"/>
              </w:rPr>
              <w:t>Debt Obligations</w:t>
            </w:r>
          </w:p>
        </w:tc>
        <w:tc>
          <w:tcPr>
            <w:tcW w:w="940" w:type="dxa"/>
            <w:vAlign w:val="bottom"/>
            <w:shd w:val="clear" w:color="auto" w:fill="E6E6E6"/>
          </w:tcPr>
          <w:p>
            <w:pPr>
              <w:spacing w:after="0"/>
              <w:rPr>
                <w:sz w:val="17"/>
                <w:szCs w:val="17"/>
                <w:color w:val="auto"/>
              </w:rPr>
            </w:pPr>
          </w:p>
        </w:tc>
        <w:tc>
          <w:tcPr>
            <w:tcW w:w="740" w:type="dxa"/>
            <w:vAlign w:val="bottom"/>
            <w:shd w:val="clear" w:color="auto" w:fill="E6E6E6"/>
          </w:tcPr>
          <w:p>
            <w:pPr>
              <w:spacing w:after="0"/>
              <w:rPr>
                <w:sz w:val="17"/>
                <w:szCs w:val="17"/>
                <w:color w:val="auto"/>
              </w:rPr>
            </w:pPr>
          </w:p>
        </w:tc>
        <w:tc>
          <w:tcPr>
            <w:tcW w:w="360" w:type="dxa"/>
            <w:vAlign w:val="bottom"/>
            <w:shd w:val="clear" w:color="auto" w:fill="E6E6E6"/>
          </w:tcPr>
          <w:p>
            <w:pPr>
              <w:spacing w:after="0"/>
              <w:rPr>
                <w:sz w:val="17"/>
                <w:szCs w:val="17"/>
                <w:color w:val="auto"/>
              </w:rPr>
            </w:pPr>
          </w:p>
        </w:tc>
        <w:tc>
          <w:tcPr>
            <w:tcW w:w="680" w:type="dxa"/>
            <w:vAlign w:val="bottom"/>
            <w:shd w:val="clear" w:color="auto" w:fill="E6E6E6"/>
          </w:tcPr>
          <w:p>
            <w:pPr>
              <w:spacing w:after="0"/>
              <w:rPr>
                <w:sz w:val="17"/>
                <w:szCs w:val="17"/>
                <w:color w:val="auto"/>
              </w:rPr>
            </w:pPr>
          </w:p>
        </w:tc>
        <w:tc>
          <w:tcPr>
            <w:tcW w:w="240" w:type="dxa"/>
            <w:vAlign w:val="bottom"/>
            <w:shd w:val="clear" w:color="auto" w:fill="E6E6E6"/>
          </w:tcPr>
          <w:p>
            <w:pPr>
              <w:spacing w:after="0"/>
              <w:rPr>
                <w:sz w:val="17"/>
                <w:szCs w:val="17"/>
                <w:color w:val="auto"/>
              </w:rPr>
            </w:pPr>
          </w:p>
        </w:tc>
        <w:tc>
          <w:tcPr>
            <w:tcW w:w="740" w:type="dxa"/>
            <w:vAlign w:val="bottom"/>
            <w:shd w:val="clear" w:color="auto" w:fill="E6E6E6"/>
          </w:tcPr>
          <w:p>
            <w:pPr>
              <w:spacing w:after="0"/>
              <w:rPr>
                <w:sz w:val="17"/>
                <w:szCs w:val="17"/>
                <w:color w:val="auto"/>
              </w:rPr>
            </w:pPr>
          </w:p>
        </w:tc>
        <w:tc>
          <w:tcPr>
            <w:tcW w:w="140" w:type="dxa"/>
            <w:vAlign w:val="bottom"/>
            <w:shd w:val="clear" w:color="auto" w:fill="E6E6E6"/>
          </w:tcPr>
          <w:p>
            <w:pPr>
              <w:spacing w:after="0"/>
              <w:rPr>
                <w:sz w:val="17"/>
                <w:szCs w:val="17"/>
                <w:color w:val="auto"/>
              </w:rPr>
            </w:pPr>
          </w:p>
        </w:tc>
        <w:tc>
          <w:tcPr>
            <w:tcW w:w="520" w:type="dxa"/>
            <w:vAlign w:val="bottom"/>
            <w:shd w:val="clear" w:color="auto" w:fill="E6E6E6"/>
          </w:tcPr>
          <w:p>
            <w:pPr>
              <w:spacing w:after="0"/>
              <w:rPr>
                <w:sz w:val="17"/>
                <w:szCs w:val="17"/>
                <w:color w:val="auto"/>
              </w:rPr>
            </w:pPr>
          </w:p>
        </w:tc>
        <w:tc>
          <w:tcPr>
            <w:tcW w:w="300" w:type="dxa"/>
            <w:vAlign w:val="bottom"/>
            <w:shd w:val="clear" w:color="auto" w:fill="E6E6E6"/>
          </w:tcPr>
          <w:p>
            <w:pPr>
              <w:spacing w:after="0"/>
              <w:rPr>
                <w:sz w:val="17"/>
                <w:szCs w:val="17"/>
                <w:color w:val="auto"/>
              </w:rPr>
            </w:pPr>
          </w:p>
        </w:tc>
        <w:tc>
          <w:tcPr>
            <w:tcW w:w="820" w:type="dxa"/>
            <w:vAlign w:val="bottom"/>
            <w:shd w:val="clear" w:color="auto" w:fill="E6E6E6"/>
          </w:tcPr>
          <w:p>
            <w:pPr>
              <w:spacing w:after="0"/>
              <w:rPr>
                <w:sz w:val="17"/>
                <w:szCs w:val="17"/>
                <w:color w:val="auto"/>
              </w:rPr>
            </w:pPr>
          </w:p>
        </w:tc>
        <w:tc>
          <w:tcPr>
            <w:tcW w:w="340" w:type="dxa"/>
            <w:vAlign w:val="bottom"/>
            <w:shd w:val="clear" w:color="auto" w:fill="E6E6E6"/>
          </w:tcPr>
          <w:p>
            <w:pPr>
              <w:spacing w:after="0"/>
              <w:rPr>
                <w:sz w:val="17"/>
                <w:szCs w:val="17"/>
                <w:color w:val="auto"/>
              </w:rPr>
            </w:pPr>
          </w:p>
        </w:tc>
        <w:tc>
          <w:tcPr>
            <w:tcW w:w="660" w:type="dxa"/>
            <w:vAlign w:val="bottom"/>
            <w:shd w:val="clear" w:color="auto" w:fill="E6E6E6"/>
          </w:tcPr>
          <w:p>
            <w:pPr>
              <w:spacing w:after="0"/>
              <w:rPr>
                <w:sz w:val="17"/>
                <w:szCs w:val="17"/>
                <w:color w:val="auto"/>
              </w:rPr>
            </w:pPr>
          </w:p>
        </w:tc>
        <w:tc>
          <w:tcPr>
            <w:tcW w:w="240" w:type="dxa"/>
            <w:vAlign w:val="bottom"/>
            <w:shd w:val="clear" w:color="auto" w:fill="E6E6E6"/>
          </w:tcPr>
          <w:p>
            <w:pPr>
              <w:spacing w:after="0"/>
              <w:rPr>
                <w:sz w:val="17"/>
                <w:szCs w:val="17"/>
                <w:color w:val="auto"/>
              </w:rPr>
            </w:pPr>
          </w:p>
        </w:tc>
        <w:tc>
          <w:tcPr>
            <w:tcW w:w="760" w:type="dxa"/>
            <w:vAlign w:val="bottom"/>
            <w:shd w:val="clear" w:color="auto" w:fill="E6E6E6"/>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40" w:type="dxa"/>
            <w:vAlign w:val="bottom"/>
            <w:gridSpan w:val="2"/>
          </w:tcPr>
          <w:p>
            <w:pPr>
              <w:spacing w:after="0" w:line="202" w:lineRule="exact"/>
              <w:rPr>
                <w:sz w:val="20"/>
                <w:szCs w:val="20"/>
                <w:color w:val="auto"/>
              </w:rPr>
            </w:pPr>
            <w:r>
              <w:rPr>
                <w:rFonts w:ascii="Arial" w:cs="Arial" w:eastAsia="Arial" w:hAnsi="Arial"/>
                <w:sz w:val="18"/>
                <w:szCs w:val="18"/>
                <w:color w:val="auto"/>
              </w:rPr>
              <w:t>Lines of credit and short-term debt</w:t>
            </w:r>
          </w:p>
        </w:tc>
        <w:tc>
          <w:tcPr>
            <w:tcW w:w="940" w:type="dxa"/>
            <w:vAlign w:val="bottom"/>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740" w:type="dxa"/>
            <w:vAlign w:val="bottom"/>
          </w:tcPr>
          <w:p>
            <w:pPr>
              <w:jc w:val="right"/>
              <w:ind w:right="176"/>
              <w:spacing w:after="0" w:line="202" w:lineRule="exact"/>
              <w:rPr>
                <w:sz w:val="20"/>
                <w:szCs w:val="20"/>
                <w:color w:val="auto"/>
              </w:rPr>
            </w:pPr>
            <w:r>
              <w:rPr>
                <w:rFonts w:ascii="Arial" w:cs="Arial" w:eastAsia="Arial" w:hAnsi="Arial"/>
                <w:sz w:val="18"/>
                <w:szCs w:val="18"/>
                <w:color w:val="auto"/>
              </w:rPr>
              <w:t>7.5</w:t>
            </w:r>
          </w:p>
        </w:tc>
        <w:tc>
          <w:tcPr>
            <w:tcW w:w="360" w:type="dxa"/>
            <w:vAlign w:val="bottom"/>
          </w:tcPr>
          <w:p>
            <w:pPr>
              <w:jc w:val="right"/>
              <w:ind w:right="57"/>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116"/>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740" w:type="dxa"/>
            <w:vAlign w:val="bottom"/>
          </w:tcPr>
          <w:p>
            <w:pPr>
              <w:jc w:val="right"/>
              <w:ind w:right="118"/>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520" w:type="dxa"/>
            <w:vAlign w:val="bottom"/>
          </w:tcPr>
          <w:p>
            <w:pPr>
              <w:ind w:left="220"/>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20" w:type="dxa"/>
            <w:vAlign w:val="bottom"/>
          </w:tcPr>
          <w:p>
            <w:pPr>
              <w:jc w:val="right"/>
              <w:ind w:right="37"/>
              <w:spacing w:after="0" w:line="202" w:lineRule="exact"/>
              <w:rPr>
                <w:sz w:val="20"/>
                <w:szCs w:val="20"/>
                <w:color w:val="auto"/>
              </w:rPr>
            </w:pPr>
            <w:r>
              <w:rPr>
                <w:rFonts w:ascii="Arial" w:cs="Arial" w:eastAsia="Arial" w:hAnsi="Arial"/>
                <w:sz w:val="18"/>
                <w:szCs w:val="18"/>
                <w:color w:val="auto"/>
              </w:rPr>
              <w:t>—</w:t>
            </w:r>
          </w:p>
        </w:tc>
        <w:tc>
          <w:tcPr>
            <w:tcW w:w="34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660" w:type="dxa"/>
            <w:vAlign w:val="bottom"/>
          </w:tcPr>
          <w:p>
            <w:pPr>
              <w:jc w:val="right"/>
              <w:ind w:right="37"/>
              <w:spacing w:after="0" w:line="202" w:lineRule="exact"/>
              <w:rPr>
                <w:sz w:val="20"/>
                <w:szCs w:val="20"/>
                <w:color w:val="auto"/>
              </w:rPr>
            </w:pPr>
            <w:r>
              <w:rPr>
                <w:rFonts w:ascii="Arial" w:cs="Arial" w:eastAsia="Arial" w:hAnsi="Arial"/>
                <w:sz w:val="18"/>
                <w:szCs w:val="18"/>
                <w:color w:val="auto"/>
              </w:rPr>
              <w:t>7.5</w:t>
            </w:r>
          </w:p>
        </w:tc>
        <w:tc>
          <w:tcPr>
            <w:tcW w:w="2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60" w:type="dxa"/>
            <w:vAlign w:val="bottom"/>
          </w:tcPr>
          <w:p>
            <w:pPr>
              <w:jc w:val="right"/>
              <w:ind w:right="40"/>
              <w:spacing w:after="0" w:line="202" w:lineRule="exact"/>
              <w:rPr>
                <w:sz w:val="20"/>
                <w:szCs w:val="20"/>
                <w:color w:val="auto"/>
              </w:rPr>
            </w:pPr>
            <w:r>
              <w:rPr>
                <w:rFonts w:ascii="Arial" w:cs="Arial" w:eastAsia="Arial" w:hAnsi="Arial"/>
                <w:sz w:val="18"/>
                <w:szCs w:val="18"/>
                <w:color w:val="auto"/>
              </w:rPr>
              <w:t>7.5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2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Average interest rate</w:t>
            </w:r>
          </w:p>
        </w:tc>
        <w:tc>
          <w:tcPr>
            <w:tcW w:w="940" w:type="dxa"/>
            <w:vAlign w:val="bottom"/>
            <w:shd w:val="clear" w:color="auto" w:fill="E6E6E6"/>
          </w:tcPr>
          <w:p>
            <w:pPr>
              <w:spacing w:after="0"/>
              <w:rPr>
                <w:sz w:val="17"/>
                <w:szCs w:val="17"/>
                <w:color w:val="auto"/>
              </w:rPr>
            </w:pPr>
          </w:p>
        </w:tc>
        <w:tc>
          <w:tcPr>
            <w:tcW w:w="740" w:type="dxa"/>
            <w:vAlign w:val="bottom"/>
            <w:shd w:val="clear" w:color="auto" w:fill="E6E6E6"/>
          </w:tcPr>
          <w:p>
            <w:pPr>
              <w:jc w:val="right"/>
              <w:ind w:right="16"/>
              <w:spacing w:after="0" w:line="202" w:lineRule="exact"/>
              <w:rPr>
                <w:sz w:val="20"/>
                <w:szCs w:val="20"/>
                <w:color w:val="auto"/>
              </w:rPr>
            </w:pPr>
            <w:r>
              <w:rPr>
                <w:rFonts w:ascii="Arial" w:cs="Arial" w:eastAsia="Arial" w:hAnsi="Arial"/>
                <w:sz w:val="18"/>
                <w:szCs w:val="18"/>
                <w:color w:val="auto"/>
              </w:rPr>
              <w:t>3.9%</w:t>
            </w:r>
          </w:p>
        </w:tc>
        <w:tc>
          <w:tcPr>
            <w:tcW w:w="360" w:type="dxa"/>
            <w:vAlign w:val="bottom"/>
            <w:shd w:val="clear" w:color="auto" w:fill="E6E6E6"/>
          </w:tcPr>
          <w:p>
            <w:pPr>
              <w:spacing w:after="0"/>
              <w:rPr>
                <w:sz w:val="17"/>
                <w:szCs w:val="17"/>
                <w:color w:val="auto"/>
              </w:rPr>
            </w:pPr>
          </w:p>
        </w:tc>
        <w:tc>
          <w:tcPr>
            <w:tcW w:w="680" w:type="dxa"/>
            <w:vAlign w:val="bottom"/>
            <w:shd w:val="clear" w:color="auto" w:fill="E6E6E6"/>
          </w:tcPr>
          <w:p>
            <w:pPr>
              <w:spacing w:after="0"/>
              <w:rPr>
                <w:sz w:val="17"/>
                <w:szCs w:val="17"/>
                <w:color w:val="auto"/>
              </w:rPr>
            </w:pPr>
          </w:p>
        </w:tc>
        <w:tc>
          <w:tcPr>
            <w:tcW w:w="240" w:type="dxa"/>
            <w:vAlign w:val="bottom"/>
            <w:shd w:val="clear" w:color="auto" w:fill="E6E6E6"/>
          </w:tcPr>
          <w:p>
            <w:pPr>
              <w:spacing w:after="0"/>
              <w:rPr>
                <w:sz w:val="17"/>
                <w:szCs w:val="17"/>
                <w:color w:val="auto"/>
              </w:rPr>
            </w:pPr>
          </w:p>
        </w:tc>
        <w:tc>
          <w:tcPr>
            <w:tcW w:w="740" w:type="dxa"/>
            <w:vAlign w:val="bottom"/>
            <w:shd w:val="clear" w:color="auto" w:fill="E6E6E6"/>
          </w:tcPr>
          <w:p>
            <w:pPr>
              <w:spacing w:after="0"/>
              <w:rPr>
                <w:sz w:val="17"/>
                <w:szCs w:val="17"/>
                <w:color w:val="auto"/>
              </w:rPr>
            </w:pPr>
          </w:p>
        </w:tc>
        <w:tc>
          <w:tcPr>
            <w:tcW w:w="140" w:type="dxa"/>
            <w:vAlign w:val="bottom"/>
            <w:shd w:val="clear" w:color="auto" w:fill="E6E6E6"/>
          </w:tcPr>
          <w:p>
            <w:pPr>
              <w:spacing w:after="0"/>
              <w:rPr>
                <w:sz w:val="17"/>
                <w:szCs w:val="17"/>
                <w:color w:val="auto"/>
              </w:rPr>
            </w:pPr>
          </w:p>
        </w:tc>
        <w:tc>
          <w:tcPr>
            <w:tcW w:w="520" w:type="dxa"/>
            <w:vAlign w:val="bottom"/>
            <w:shd w:val="clear" w:color="auto" w:fill="E6E6E6"/>
          </w:tcPr>
          <w:p>
            <w:pPr>
              <w:spacing w:after="0"/>
              <w:rPr>
                <w:sz w:val="17"/>
                <w:szCs w:val="17"/>
                <w:color w:val="auto"/>
              </w:rPr>
            </w:pPr>
          </w:p>
        </w:tc>
        <w:tc>
          <w:tcPr>
            <w:tcW w:w="300" w:type="dxa"/>
            <w:vAlign w:val="bottom"/>
            <w:shd w:val="clear" w:color="auto" w:fill="E6E6E6"/>
          </w:tcPr>
          <w:p>
            <w:pPr>
              <w:spacing w:after="0"/>
              <w:rPr>
                <w:sz w:val="17"/>
                <w:szCs w:val="17"/>
                <w:color w:val="auto"/>
              </w:rPr>
            </w:pPr>
          </w:p>
        </w:tc>
        <w:tc>
          <w:tcPr>
            <w:tcW w:w="820" w:type="dxa"/>
            <w:vAlign w:val="bottom"/>
            <w:shd w:val="clear" w:color="auto" w:fill="E6E6E6"/>
          </w:tcPr>
          <w:p>
            <w:pPr>
              <w:spacing w:after="0"/>
              <w:rPr>
                <w:sz w:val="17"/>
                <w:szCs w:val="17"/>
                <w:color w:val="auto"/>
              </w:rPr>
            </w:pPr>
          </w:p>
        </w:tc>
        <w:tc>
          <w:tcPr>
            <w:tcW w:w="340" w:type="dxa"/>
            <w:vAlign w:val="bottom"/>
            <w:shd w:val="clear" w:color="auto" w:fill="E6E6E6"/>
          </w:tcPr>
          <w:p>
            <w:pPr>
              <w:spacing w:after="0"/>
              <w:rPr>
                <w:sz w:val="17"/>
                <w:szCs w:val="17"/>
                <w:color w:val="auto"/>
              </w:rPr>
            </w:pPr>
          </w:p>
        </w:tc>
        <w:tc>
          <w:tcPr>
            <w:tcW w:w="660" w:type="dxa"/>
            <w:vAlign w:val="bottom"/>
            <w:shd w:val="clear" w:color="auto" w:fill="E6E6E6"/>
          </w:tcPr>
          <w:p>
            <w:pPr>
              <w:spacing w:after="0"/>
              <w:rPr>
                <w:sz w:val="17"/>
                <w:szCs w:val="17"/>
                <w:color w:val="auto"/>
              </w:rPr>
            </w:pPr>
          </w:p>
        </w:tc>
        <w:tc>
          <w:tcPr>
            <w:tcW w:w="240" w:type="dxa"/>
            <w:vAlign w:val="bottom"/>
            <w:shd w:val="clear" w:color="auto" w:fill="E6E6E6"/>
          </w:tcPr>
          <w:p>
            <w:pPr>
              <w:spacing w:after="0"/>
              <w:rPr>
                <w:sz w:val="17"/>
                <w:szCs w:val="17"/>
                <w:color w:val="auto"/>
              </w:rPr>
            </w:pPr>
          </w:p>
        </w:tc>
        <w:tc>
          <w:tcPr>
            <w:tcW w:w="760" w:type="dxa"/>
            <w:vAlign w:val="bottom"/>
            <w:shd w:val="clear" w:color="auto" w:fill="E6E6E6"/>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40" w:type="dxa"/>
            <w:vAlign w:val="bottom"/>
            <w:gridSpan w:val="2"/>
          </w:tcPr>
          <w:p>
            <w:pPr>
              <w:spacing w:after="0" w:line="202" w:lineRule="exact"/>
              <w:rPr>
                <w:sz w:val="20"/>
                <w:szCs w:val="20"/>
                <w:color w:val="auto"/>
              </w:rPr>
            </w:pPr>
            <w:r>
              <w:rPr>
                <w:rFonts w:ascii="Arial" w:cs="Arial" w:eastAsia="Arial" w:hAnsi="Arial"/>
                <w:sz w:val="18"/>
                <w:szCs w:val="18"/>
                <w:color w:val="auto"/>
              </w:rPr>
              <w:t>Long-term debt, including Current portion:</w:t>
            </w:r>
          </w:p>
        </w:tc>
        <w:tc>
          <w:tcPr>
            <w:tcW w:w="9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2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Fixed-rate debt</w:t>
            </w:r>
          </w:p>
        </w:tc>
        <w:tc>
          <w:tcPr>
            <w:tcW w:w="940" w:type="dxa"/>
            <w:vAlign w:val="bottom"/>
            <w:shd w:val="clear" w:color="auto" w:fill="E6E6E6"/>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740" w:type="dxa"/>
            <w:vAlign w:val="bottom"/>
            <w:shd w:val="clear" w:color="auto" w:fill="E6E6E6"/>
          </w:tcPr>
          <w:p>
            <w:pPr>
              <w:jc w:val="right"/>
              <w:ind w:right="176"/>
              <w:spacing w:after="0" w:line="202" w:lineRule="exact"/>
              <w:rPr>
                <w:sz w:val="20"/>
                <w:szCs w:val="20"/>
                <w:color w:val="auto"/>
              </w:rPr>
            </w:pPr>
            <w:r>
              <w:rPr>
                <w:rFonts w:ascii="Arial" w:cs="Arial" w:eastAsia="Arial" w:hAnsi="Arial"/>
                <w:sz w:val="18"/>
                <w:szCs w:val="18"/>
                <w:color w:val="auto"/>
              </w:rPr>
              <w:t>—</w:t>
            </w:r>
          </w:p>
        </w:tc>
        <w:tc>
          <w:tcPr>
            <w:tcW w:w="360" w:type="dxa"/>
            <w:vAlign w:val="bottom"/>
            <w:shd w:val="clear" w:color="auto" w:fill="E6E6E6"/>
          </w:tcPr>
          <w:p>
            <w:pPr>
              <w:jc w:val="right"/>
              <w:ind w:right="57"/>
              <w:spacing w:after="0" w:line="202" w:lineRule="exact"/>
              <w:rPr>
                <w:sz w:val="20"/>
                <w:szCs w:val="20"/>
                <w:color w:val="auto"/>
              </w:rPr>
            </w:pPr>
            <w:r>
              <w:rPr>
                <w:rFonts w:ascii="Arial" w:cs="Arial" w:eastAsia="Arial" w:hAnsi="Arial"/>
                <w:sz w:val="18"/>
                <w:szCs w:val="18"/>
                <w:color w:val="auto"/>
              </w:rPr>
              <w:t>$</w:t>
            </w:r>
          </w:p>
        </w:tc>
        <w:tc>
          <w:tcPr>
            <w:tcW w:w="680" w:type="dxa"/>
            <w:vAlign w:val="bottom"/>
            <w:shd w:val="clear" w:color="auto" w:fill="E6E6E6"/>
          </w:tcPr>
          <w:p>
            <w:pPr>
              <w:jc w:val="right"/>
              <w:ind w:right="116"/>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E6E6E6"/>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740" w:type="dxa"/>
            <w:vAlign w:val="bottom"/>
            <w:shd w:val="clear" w:color="auto" w:fill="E6E6E6"/>
          </w:tcPr>
          <w:p>
            <w:pPr>
              <w:jc w:val="right"/>
              <w:ind w:right="118"/>
              <w:spacing w:after="0" w:line="202" w:lineRule="exact"/>
              <w:rPr>
                <w:sz w:val="20"/>
                <w:szCs w:val="20"/>
                <w:color w:val="auto"/>
              </w:rPr>
            </w:pPr>
            <w:r>
              <w:rPr>
                <w:rFonts w:ascii="Arial" w:cs="Arial" w:eastAsia="Arial" w:hAnsi="Arial"/>
                <w:sz w:val="18"/>
                <w:szCs w:val="18"/>
                <w:color w:val="auto"/>
              </w:rPr>
              <w:t>153.0</w:t>
            </w:r>
          </w:p>
        </w:tc>
        <w:tc>
          <w:tcPr>
            <w:tcW w:w="14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w:t>
            </w:r>
          </w:p>
        </w:tc>
        <w:tc>
          <w:tcPr>
            <w:tcW w:w="520" w:type="dxa"/>
            <w:vAlign w:val="bottom"/>
            <w:shd w:val="clear" w:color="auto" w:fill="E6E6E6"/>
          </w:tcPr>
          <w:p>
            <w:pPr>
              <w:ind w:left="220"/>
              <w:spacing w:after="0" w:line="202" w:lineRule="exact"/>
              <w:rPr>
                <w:sz w:val="20"/>
                <w:szCs w:val="20"/>
                <w:color w:val="auto"/>
              </w:rPr>
            </w:pPr>
            <w:r>
              <w:rPr>
                <w:rFonts w:ascii="Arial" w:cs="Arial" w:eastAsia="Arial" w:hAnsi="Arial"/>
                <w:sz w:val="18"/>
                <w:szCs w:val="18"/>
                <w:color w:val="auto"/>
              </w:rPr>
              <w:t>—</w:t>
            </w:r>
          </w:p>
        </w:tc>
        <w:tc>
          <w:tcPr>
            <w:tcW w:w="30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w:t>
            </w:r>
          </w:p>
        </w:tc>
        <w:tc>
          <w:tcPr>
            <w:tcW w:w="820" w:type="dxa"/>
            <w:vAlign w:val="bottom"/>
            <w:shd w:val="clear" w:color="auto" w:fill="E6E6E6"/>
          </w:tcPr>
          <w:p>
            <w:pPr>
              <w:jc w:val="right"/>
              <w:ind w:right="37"/>
              <w:spacing w:after="0" w:line="202" w:lineRule="exact"/>
              <w:rPr>
                <w:sz w:val="20"/>
                <w:szCs w:val="20"/>
                <w:color w:val="auto"/>
              </w:rPr>
            </w:pPr>
            <w:r>
              <w:rPr>
                <w:rFonts w:ascii="Arial" w:cs="Arial" w:eastAsia="Arial" w:hAnsi="Arial"/>
                <w:sz w:val="18"/>
                <w:szCs w:val="18"/>
                <w:color w:val="auto"/>
              </w:rPr>
              <w:t>—</w:t>
            </w:r>
          </w:p>
        </w:tc>
        <w:tc>
          <w:tcPr>
            <w:tcW w:w="340" w:type="dxa"/>
            <w:vAlign w:val="bottom"/>
            <w:shd w:val="clear" w:color="auto" w:fill="E6E6E6"/>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660" w:type="dxa"/>
            <w:vAlign w:val="bottom"/>
            <w:shd w:val="clear" w:color="auto" w:fill="E6E6E6"/>
          </w:tcPr>
          <w:p>
            <w:pPr>
              <w:jc w:val="right"/>
              <w:ind w:right="37"/>
              <w:spacing w:after="0" w:line="202" w:lineRule="exact"/>
              <w:rPr>
                <w:sz w:val="20"/>
                <w:szCs w:val="20"/>
                <w:color w:val="auto"/>
              </w:rPr>
            </w:pPr>
            <w:r>
              <w:rPr>
                <w:rFonts w:ascii="Arial" w:cs="Arial" w:eastAsia="Arial" w:hAnsi="Arial"/>
                <w:sz w:val="18"/>
                <w:szCs w:val="18"/>
                <w:color w:val="auto"/>
              </w:rPr>
              <w:t>153.0</w:t>
            </w:r>
          </w:p>
        </w:tc>
        <w:tc>
          <w:tcPr>
            <w:tcW w:w="24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w:t>
            </w:r>
          </w:p>
        </w:tc>
        <w:tc>
          <w:tcPr>
            <w:tcW w:w="760" w:type="dxa"/>
            <w:vAlign w:val="bottom"/>
            <w:shd w:val="clear" w:color="auto" w:fill="E6E6E6"/>
          </w:tcPr>
          <w:p>
            <w:pPr>
              <w:jc w:val="right"/>
              <w:ind w:right="40"/>
              <w:spacing w:after="0" w:line="202" w:lineRule="exact"/>
              <w:rPr>
                <w:sz w:val="20"/>
                <w:szCs w:val="20"/>
                <w:color w:val="auto"/>
              </w:rPr>
            </w:pPr>
            <w:r>
              <w:rPr>
                <w:rFonts w:ascii="Arial" w:cs="Arial" w:eastAsia="Arial" w:hAnsi="Arial"/>
                <w:sz w:val="18"/>
                <w:szCs w:val="18"/>
                <w:color w:val="auto"/>
              </w:rPr>
              <w:t>151.3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40" w:type="dxa"/>
            <w:vAlign w:val="bottom"/>
            <w:gridSpan w:val="2"/>
          </w:tcPr>
          <w:p>
            <w:pPr>
              <w:spacing w:after="0" w:line="202" w:lineRule="exact"/>
              <w:rPr>
                <w:sz w:val="20"/>
                <w:szCs w:val="20"/>
                <w:color w:val="auto"/>
              </w:rPr>
            </w:pPr>
            <w:r>
              <w:rPr>
                <w:rFonts w:ascii="Arial" w:cs="Arial" w:eastAsia="Arial" w:hAnsi="Arial"/>
                <w:sz w:val="18"/>
                <w:szCs w:val="18"/>
                <w:color w:val="auto"/>
              </w:rPr>
              <w:t>Average interest rate</w:t>
            </w:r>
          </w:p>
        </w:tc>
        <w:tc>
          <w:tcPr>
            <w:tcW w:w="9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5.0%</w:t>
            </w: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2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Variable-rate debt</w:t>
            </w:r>
          </w:p>
        </w:tc>
        <w:tc>
          <w:tcPr>
            <w:tcW w:w="940" w:type="dxa"/>
            <w:vAlign w:val="bottom"/>
            <w:shd w:val="clear" w:color="auto" w:fill="E6E6E6"/>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740" w:type="dxa"/>
            <w:vAlign w:val="bottom"/>
            <w:shd w:val="clear" w:color="auto" w:fill="E6E6E6"/>
          </w:tcPr>
          <w:p>
            <w:pPr>
              <w:jc w:val="right"/>
              <w:ind w:right="176"/>
              <w:spacing w:after="0" w:line="202" w:lineRule="exact"/>
              <w:rPr>
                <w:sz w:val="20"/>
                <w:szCs w:val="20"/>
                <w:color w:val="auto"/>
              </w:rPr>
            </w:pPr>
            <w:r>
              <w:rPr>
                <w:rFonts w:ascii="Arial" w:cs="Arial" w:eastAsia="Arial" w:hAnsi="Arial"/>
                <w:sz w:val="18"/>
                <w:szCs w:val="18"/>
                <w:color w:val="auto"/>
              </w:rPr>
              <w:t>42.8</w:t>
            </w:r>
          </w:p>
        </w:tc>
        <w:tc>
          <w:tcPr>
            <w:tcW w:w="360" w:type="dxa"/>
            <w:vAlign w:val="bottom"/>
            <w:shd w:val="clear" w:color="auto" w:fill="E6E6E6"/>
          </w:tcPr>
          <w:p>
            <w:pPr>
              <w:jc w:val="right"/>
              <w:ind w:right="57"/>
              <w:spacing w:after="0" w:line="202" w:lineRule="exact"/>
              <w:rPr>
                <w:sz w:val="20"/>
                <w:szCs w:val="20"/>
                <w:color w:val="auto"/>
              </w:rPr>
            </w:pPr>
            <w:r>
              <w:rPr>
                <w:rFonts w:ascii="Arial" w:cs="Arial" w:eastAsia="Arial" w:hAnsi="Arial"/>
                <w:sz w:val="18"/>
                <w:szCs w:val="18"/>
                <w:color w:val="auto"/>
              </w:rPr>
              <w:t>$</w:t>
            </w:r>
          </w:p>
        </w:tc>
        <w:tc>
          <w:tcPr>
            <w:tcW w:w="680" w:type="dxa"/>
            <w:vAlign w:val="bottom"/>
            <w:shd w:val="clear" w:color="auto" w:fill="E6E6E6"/>
          </w:tcPr>
          <w:p>
            <w:pPr>
              <w:jc w:val="right"/>
              <w:ind w:right="116"/>
              <w:spacing w:after="0" w:line="202" w:lineRule="exact"/>
              <w:rPr>
                <w:sz w:val="20"/>
                <w:szCs w:val="20"/>
                <w:color w:val="auto"/>
              </w:rPr>
            </w:pPr>
            <w:r>
              <w:rPr>
                <w:rFonts w:ascii="Arial" w:cs="Arial" w:eastAsia="Arial" w:hAnsi="Arial"/>
                <w:sz w:val="18"/>
                <w:szCs w:val="18"/>
                <w:color w:val="auto"/>
              </w:rPr>
              <w:t>42.8</w:t>
            </w:r>
          </w:p>
        </w:tc>
        <w:tc>
          <w:tcPr>
            <w:tcW w:w="240" w:type="dxa"/>
            <w:vAlign w:val="bottom"/>
            <w:shd w:val="clear" w:color="auto" w:fill="E6E6E6"/>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740" w:type="dxa"/>
            <w:vAlign w:val="bottom"/>
            <w:shd w:val="clear" w:color="auto" w:fill="E6E6E6"/>
          </w:tcPr>
          <w:p>
            <w:pPr>
              <w:jc w:val="right"/>
              <w:spacing w:after="0" w:line="202" w:lineRule="exact"/>
              <w:rPr>
                <w:sz w:val="20"/>
                <w:szCs w:val="20"/>
                <w:color w:val="auto"/>
              </w:rPr>
            </w:pPr>
            <w:r>
              <w:rPr>
                <w:rFonts w:ascii="Arial" w:cs="Arial" w:eastAsia="Arial" w:hAnsi="Arial"/>
                <w:sz w:val="15"/>
                <w:szCs w:val="15"/>
                <w:color w:val="auto"/>
              </w:rPr>
              <w:t>7.4</w:t>
            </w:r>
            <w:r>
              <w:rPr>
                <w:rFonts w:ascii="Arial" w:cs="Arial" w:eastAsia="Arial" w:hAnsi="Arial"/>
                <w:sz w:val="23"/>
                <w:szCs w:val="23"/>
                <w:color w:val="auto"/>
                <w:vertAlign w:val="superscript"/>
              </w:rPr>
              <w:t>(1)</w:t>
            </w:r>
          </w:p>
        </w:tc>
        <w:tc>
          <w:tcPr>
            <w:tcW w:w="14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w:t>
            </w:r>
          </w:p>
        </w:tc>
        <w:tc>
          <w:tcPr>
            <w:tcW w:w="520" w:type="dxa"/>
            <w:vAlign w:val="bottom"/>
            <w:shd w:val="clear" w:color="auto" w:fill="E6E6E6"/>
          </w:tcPr>
          <w:p>
            <w:pPr>
              <w:ind w:left="220"/>
              <w:spacing w:after="0" w:line="202" w:lineRule="exact"/>
              <w:rPr>
                <w:sz w:val="20"/>
                <w:szCs w:val="20"/>
                <w:color w:val="auto"/>
              </w:rPr>
            </w:pPr>
            <w:r>
              <w:rPr>
                <w:rFonts w:ascii="Arial" w:cs="Arial" w:eastAsia="Arial" w:hAnsi="Arial"/>
                <w:sz w:val="18"/>
                <w:szCs w:val="18"/>
                <w:color w:val="auto"/>
              </w:rPr>
              <w:t>—</w:t>
            </w:r>
          </w:p>
        </w:tc>
        <w:tc>
          <w:tcPr>
            <w:tcW w:w="30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w:t>
            </w:r>
          </w:p>
        </w:tc>
        <w:tc>
          <w:tcPr>
            <w:tcW w:w="820" w:type="dxa"/>
            <w:vAlign w:val="bottom"/>
            <w:shd w:val="clear" w:color="auto" w:fill="E6E6E6"/>
          </w:tcPr>
          <w:p>
            <w:pPr>
              <w:jc w:val="right"/>
              <w:ind w:right="37"/>
              <w:spacing w:after="0" w:line="202" w:lineRule="exact"/>
              <w:rPr>
                <w:sz w:val="20"/>
                <w:szCs w:val="20"/>
                <w:color w:val="auto"/>
              </w:rPr>
            </w:pPr>
            <w:r>
              <w:rPr>
                <w:rFonts w:ascii="Arial" w:cs="Arial" w:eastAsia="Arial" w:hAnsi="Arial"/>
                <w:sz w:val="18"/>
                <w:szCs w:val="18"/>
                <w:color w:val="auto"/>
              </w:rPr>
              <w:t>—</w:t>
            </w:r>
          </w:p>
        </w:tc>
        <w:tc>
          <w:tcPr>
            <w:tcW w:w="340" w:type="dxa"/>
            <w:vAlign w:val="bottom"/>
            <w:shd w:val="clear" w:color="auto" w:fill="E6E6E6"/>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660" w:type="dxa"/>
            <w:vAlign w:val="bottom"/>
            <w:shd w:val="clear" w:color="auto" w:fill="E6E6E6"/>
          </w:tcPr>
          <w:p>
            <w:pPr>
              <w:jc w:val="right"/>
              <w:ind w:right="37"/>
              <w:spacing w:after="0" w:line="202" w:lineRule="exact"/>
              <w:rPr>
                <w:sz w:val="20"/>
                <w:szCs w:val="20"/>
                <w:color w:val="auto"/>
              </w:rPr>
            </w:pPr>
            <w:r>
              <w:rPr>
                <w:rFonts w:ascii="Arial" w:cs="Arial" w:eastAsia="Arial" w:hAnsi="Arial"/>
                <w:sz w:val="18"/>
                <w:szCs w:val="18"/>
                <w:color w:val="auto"/>
              </w:rPr>
              <w:t>93.0</w:t>
            </w:r>
          </w:p>
        </w:tc>
        <w:tc>
          <w:tcPr>
            <w:tcW w:w="24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w:t>
            </w:r>
          </w:p>
        </w:tc>
        <w:tc>
          <w:tcPr>
            <w:tcW w:w="760" w:type="dxa"/>
            <w:vAlign w:val="bottom"/>
            <w:shd w:val="clear" w:color="auto" w:fill="E6E6E6"/>
          </w:tcPr>
          <w:p>
            <w:pPr>
              <w:jc w:val="right"/>
              <w:ind w:right="40"/>
              <w:spacing w:after="0" w:line="202" w:lineRule="exact"/>
              <w:rPr>
                <w:sz w:val="20"/>
                <w:szCs w:val="20"/>
                <w:color w:val="auto"/>
              </w:rPr>
            </w:pPr>
            <w:r>
              <w:rPr>
                <w:rFonts w:ascii="Arial" w:cs="Arial" w:eastAsia="Arial" w:hAnsi="Arial"/>
                <w:sz w:val="18"/>
                <w:szCs w:val="18"/>
                <w:color w:val="auto"/>
              </w:rPr>
              <w:t>93.0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1"/>
        </w:trPr>
        <w:tc>
          <w:tcPr>
            <w:tcW w:w="3940" w:type="dxa"/>
            <w:vAlign w:val="bottom"/>
            <w:tcBorders>
              <w:bottom w:val="single" w:sz="8" w:color="808080"/>
            </w:tcBorders>
            <w:gridSpan w:val="2"/>
          </w:tcPr>
          <w:p>
            <w:pPr>
              <w:spacing w:after="0"/>
              <w:rPr>
                <w:sz w:val="20"/>
                <w:szCs w:val="20"/>
                <w:color w:val="auto"/>
              </w:rPr>
            </w:pPr>
            <w:r>
              <w:rPr>
                <w:rFonts w:ascii="Arial" w:cs="Arial" w:eastAsia="Arial" w:hAnsi="Arial"/>
                <w:sz w:val="18"/>
                <w:szCs w:val="18"/>
                <w:color w:val="auto"/>
              </w:rPr>
              <w:t>Interest rate</w:t>
            </w:r>
            <w:r>
              <w:rPr>
                <w:rFonts w:ascii="Arial" w:cs="Arial" w:eastAsia="Arial" w:hAnsi="Arial"/>
                <w:sz w:val="29"/>
                <w:szCs w:val="29"/>
                <w:color w:val="auto"/>
                <w:vertAlign w:val="superscript"/>
              </w:rPr>
              <w:t>(2)</w:t>
            </w:r>
          </w:p>
        </w:tc>
        <w:tc>
          <w:tcPr>
            <w:tcW w:w="940" w:type="dxa"/>
            <w:vAlign w:val="bottom"/>
            <w:tcBorders>
              <w:bottom w:val="single" w:sz="8" w:color="808080"/>
            </w:tcBorders>
          </w:tcPr>
          <w:p>
            <w:pPr>
              <w:spacing w:after="0"/>
              <w:rPr>
                <w:sz w:val="24"/>
                <w:szCs w:val="24"/>
                <w:color w:val="auto"/>
              </w:rPr>
            </w:pPr>
          </w:p>
        </w:tc>
        <w:tc>
          <w:tcPr>
            <w:tcW w:w="740" w:type="dxa"/>
            <w:vAlign w:val="bottom"/>
            <w:tcBorders>
              <w:bottom w:val="single" w:sz="8" w:color="808080"/>
            </w:tcBorders>
          </w:tcPr>
          <w:p>
            <w:pPr>
              <w:jc w:val="right"/>
              <w:ind w:right="16"/>
              <w:spacing w:after="0"/>
              <w:rPr>
                <w:sz w:val="20"/>
                <w:szCs w:val="20"/>
                <w:color w:val="auto"/>
              </w:rPr>
            </w:pPr>
            <w:r>
              <w:rPr>
                <w:rFonts w:ascii="Arial" w:cs="Arial" w:eastAsia="Arial" w:hAnsi="Arial"/>
                <w:sz w:val="18"/>
                <w:szCs w:val="18"/>
                <w:color w:val="auto"/>
              </w:rPr>
              <w:t>1.1%</w:t>
            </w:r>
          </w:p>
        </w:tc>
        <w:tc>
          <w:tcPr>
            <w:tcW w:w="360" w:type="dxa"/>
            <w:vAlign w:val="bottom"/>
            <w:tcBorders>
              <w:bottom w:val="single" w:sz="8" w:color="808080"/>
            </w:tcBorders>
          </w:tcPr>
          <w:p>
            <w:pPr>
              <w:spacing w:after="0"/>
              <w:rPr>
                <w:sz w:val="24"/>
                <w:szCs w:val="24"/>
                <w:color w:val="auto"/>
              </w:rPr>
            </w:pPr>
          </w:p>
        </w:tc>
        <w:tc>
          <w:tcPr>
            <w:tcW w:w="68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1.1%</w:t>
            </w:r>
          </w:p>
        </w:tc>
        <w:tc>
          <w:tcPr>
            <w:tcW w:w="240" w:type="dxa"/>
            <w:vAlign w:val="bottom"/>
            <w:tcBorders>
              <w:bottom w:val="single" w:sz="8" w:color="808080"/>
            </w:tcBorders>
          </w:tcPr>
          <w:p>
            <w:pPr>
              <w:spacing w:after="0"/>
              <w:rPr>
                <w:sz w:val="24"/>
                <w:szCs w:val="24"/>
                <w:color w:val="auto"/>
              </w:rPr>
            </w:pPr>
          </w:p>
        </w:tc>
        <w:tc>
          <w:tcPr>
            <w:tcW w:w="74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1.1%</w:t>
            </w:r>
          </w:p>
        </w:tc>
        <w:tc>
          <w:tcPr>
            <w:tcW w:w="14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82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66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76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364"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Represents the final payment under the Term Loan, which has a final maturity of June 1, 2012 but may be repaid at any time.</w:t>
      </w:r>
    </w:p>
    <w:p>
      <w:pPr>
        <w:spacing w:after="0" w:line="136" w:lineRule="exact"/>
        <w:rPr>
          <w:rFonts w:ascii="Arial" w:cs="Arial" w:eastAsia="Arial" w:hAnsi="Arial"/>
          <w:sz w:val="14"/>
          <w:szCs w:val="14"/>
          <w:color w:val="auto"/>
        </w:rPr>
      </w:pPr>
    </w:p>
    <w:p>
      <w:pPr>
        <w:ind w:left="460" w:hanging="452"/>
        <w:spacing w:after="0"/>
        <w:tabs>
          <w:tab w:leader="none" w:pos="4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Represents the interest rate under the Term Loan at May 31, 2010; the interest rate is subject to change over the life of the Term 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2663825</wp:posOffset>
            </wp:positionH>
            <wp:positionV relativeFrom="paragraph">
              <wp:posOffset>129540</wp:posOffset>
            </wp:positionV>
            <wp:extent cx="1929765" cy="23177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1929765"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387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40"/>
          </w:cols>
          <w:pgMar w:left="240" w:top="823" w:right="21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63765" cy="8890"/>
                    </a:xfrm>
                    <a:prstGeom prst="rect">
                      <a:avLst/>
                    </a:prstGeom>
                    <a:noFill/>
                  </pic:spPr>
                </pic:pic>
              </a:graphicData>
            </a:graphic>
          </wp:anchor>
        </w:drawing>
        <w:t>Item 8 | Consolidated Financial Statements and Supplementary Data</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Page(s)</w:t>
            </w:r>
          </w:p>
        </w:tc>
      </w:tr>
      <w:tr>
        <w:trPr>
          <w:trHeight w:val="311"/>
        </w:trPr>
        <w:tc>
          <w:tcPr>
            <w:tcW w:w="6300" w:type="dxa"/>
            <w:vAlign w:val="bottom"/>
            <w:tcBorders>
              <w:bottom w:val="single" w:sz="8" w:color="0000EE"/>
            </w:tcBorders>
            <w:gridSpan w:val="8"/>
          </w:tcPr>
          <w:p>
            <w:pPr>
              <w:spacing w:after="0"/>
              <w:rPr>
                <w:rFonts w:ascii="Arial" w:cs="Arial" w:eastAsia="Arial" w:hAnsi="Arial"/>
                <w:sz w:val="18"/>
                <w:szCs w:val="18"/>
                <w:color w:val="0000EE"/>
                <w:w w:val="87"/>
              </w:rPr>
            </w:pPr>
            <w:hyperlink w:anchor="page38">
              <w:r>
                <w:rPr>
                  <w:rFonts w:ascii="Arial" w:cs="Arial" w:eastAsia="Arial" w:hAnsi="Arial"/>
                  <w:sz w:val="18"/>
                  <w:szCs w:val="18"/>
                  <w:color w:val="0000EE"/>
                  <w:w w:val="87"/>
                </w:rPr>
                <w:t>Consolidated Statements of Operations for the years ended May 31, 2010, 2009 and 2008</w:t>
              </w:r>
            </w:hyperlink>
          </w:p>
        </w:tc>
        <w:tc>
          <w:tcPr>
            <w:tcW w:w="4500" w:type="dxa"/>
            <w:vAlign w:val="bottom"/>
            <w:gridSpan w:val="4"/>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345"/>
        </w:trPr>
        <w:tc>
          <w:tcPr>
            <w:tcW w:w="3940" w:type="dxa"/>
            <w:vAlign w:val="bottom"/>
            <w:tcBorders>
              <w:bottom w:val="single" w:sz="8" w:color="0000EE"/>
            </w:tcBorders>
            <w:gridSpan w:val="4"/>
          </w:tcPr>
          <w:p>
            <w:pPr>
              <w:spacing w:after="0"/>
              <w:rPr>
                <w:rFonts w:ascii="Arial" w:cs="Arial" w:eastAsia="Arial" w:hAnsi="Arial"/>
                <w:sz w:val="18"/>
                <w:szCs w:val="18"/>
                <w:color w:val="0000EE"/>
                <w:w w:val="87"/>
              </w:rPr>
            </w:pPr>
            <w:hyperlink w:anchor="page39">
              <w:r>
                <w:rPr>
                  <w:rFonts w:ascii="Arial" w:cs="Arial" w:eastAsia="Arial" w:hAnsi="Arial"/>
                  <w:sz w:val="18"/>
                  <w:szCs w:val="18"/>
                  <w:color w:val="0000EE"/>
                  <w:w w:val="87"/>
                </w:rPr>
                <w:t>Consolidated Balance Sheets at May 31, 2010 and 2009</w:t>
              </w:r>
            </w:hyperlink>
          </w:p>
        </w:tc>
        <w:tc>
          <w:tcPr>
            <w:tcW w:w="6860" w:type="dxa"/>
            <w:vAlign w:val="bottom"/>
            <w:gridSpan w:val="8"/>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345"/>
        </w:trPr>
        <w:tc>
          <w:tcPr>
            <w:tcW w:w="10800" w:type="dxa"/>
            <w:vAlign w:val="bottom"/>
            <w:gridSpan w:val="12"/>
          </w:tcPr>
          <w:p>
            <w:pPr>
              <w:spacing w:after="0"/>
              <w:rPr>
                <w:rFonts w:ascii="Arial" w:cs="Arial" w:eastAsia="Arial" w:hAnsi="Arial"/>
                <w:sz w:val="18"/>
                <w:szCs w:val="18"/>
                <w:color w:val="0000EE"/>
                <w:w w:val="91"/>
              </w:rPr>
            </w:pPr>
            <w:hyperlink w:anchor="page41">
              <w:r>
                <w:rPr>
                  <w:rFonts w:ascii="Arial" w:cs="Arial" w:eastAsia="Arial" w:hAnsi="Arial"/>
                  <w:sz w:val="18"/>
                  <w:szCs w:val="18"/>
                  <w:color w:val="0000EE"/>
                  <w:w w:val="91"/>
                </w:rPr>
                <w:t>Consolidated Statements of Changes in Stockholders’ Equity and Comprehensive Income (Loss) for the years ended May 31, 2010, 2009 and 2008</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345"/>
        </w:trPr>
        <w:tc>
          <w:tcPr>
            <w:tcW w:w="10340" w:type="dxa"/>
            <w:vAlign w:val="bottom"/>
            <w:tcBorders>
              <w:top w:val="single" w:sz="8" w:color="0000EE"/>
            </w:tcBorders>
            <w:gridSpan w:val="10"/>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Consolidated Statements of Cash Flows for the years ended May 31, 2010, 2009 and 2008</w:t>
              </w:r>
            </w:hyperlink>
          </w:p>
        </w:tc>
        <w:tc>
          <w:tcPr>
            <w:tcW w:w="460" w:type="dxa"/>
            <w:vAlign w:val="bottom"/>
            <w:gridSpan w:val="2"/>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345"/>
        </w:trPr>
        <w:tc>
          <w:tcPr>
            <w:tcW w:w="6340" w:type="dxa"/>
            <w:vAlign w:val="bottom"/>
            <w:tcBorders>
              <w:top w:val="single" w:sz="8" w:color="0000EE"/>
            </w:tcBorders>
            <w:gridSpan w:val="9"/>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Notes to Consolidated Financial Statements</w:t>
              </w:r>
            </w:hyperlink>
          </w:p>
        </w:tc>
        <w:tc>
          <w:tcPr>
            <w:tcW w:w="4460" w:type="dxa"/>
            <w:vAlign w:val="bottom"/>
            <w:gridSpan w:val="3"/>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0"/>
        </w:trPr>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740" w:type="dxa"/>
            <w:vAlign w:val="bottom"/>
            <w:shd w:val="clear" w:color="auto" w:fill="0000EE"/>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62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345"/>
        </w:trPr>
        <w:tc>
          <w:tcPr>
            <w:tcW w:w="4200" w:type="dxa"/>
            <w:vAlign w:val="bottom"/>
            <w:tcBorders>
              <w:bottom w:val="single" w:sz="8" w:color="0000EE"/>
            </w:tcBorders>
            <w:gridSpan w:val="5"/>
          </w:tcPr>
          <w:p>
            <w:pPr>
              <w:spacing w:after="0"/>
              <w:rPr>
                <w:rFonts w:ascii="Arial" w:cs="Arial" w:eastAsia="Arial" w:hAnsi="Arial"/>
                <w:sz w:val="18"/>
                <w:szCs w:val="18"/>
                <w:color w:val="0000EE"/>
                <w:w w:val="89"/>
              </w:rPr>
            </w:pPr>
            <w:hyperlink w:anchor="page81">
              <w:r>
                <w:rPr>
                  <w:rFonts w:ascii="Arial" w:cs="Arial" w:eastAsia="Arial" w:hAnsi="Arial"/>
                  <w:sz w:val="18"/>
                  <w:szCs w:val="18"/>
                  <w:color w:val="0000EE"/>
                  <w:w w:val="89"/>
                </w:rPr>
                <w:t>Reports of Independent Registered Public Accounting Firm</w:t>
              </w:r>
            </w:hyperlink>
          </w:p>
        </w:tc>
        <w:tc>
          <w:tcPr>
            <w:tcW w:w="6600" w:type="dxa"/>
            <w:vAlign w:val="bottom"/>
            <w:gridSpan w:val="7"/>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345"/>
        </w:trPr>
        <w:tc>
          <w:tcPr>
            <w:tcW w:w="5960" w:type="dxa"/>
            <w:vAlign w:val="bottom"/>
            <w:tcBorders>
              <w:bottom w:val="single" w:sz="8" w:color="0000EE"/>
            </w:tcBorders>
            <w:gridSpan w:val="7"/>
          </w:tcPr>
          <w:p>
            <w:pPr>
              <w:spacing w:after="0"/>
              <w:rPr>
                <w:rFonts w:ascii="Arial" w:cs="Arial" w:eastAsia="Arial" w:hAnsi="Arial"/>
                <w:sz w:val="18"/>
                <w:szCs w:val="18"/>
                <w:color w:val="0000EE"/>
                <w:w w:val="89"/>
              </w:rPr>
            </w:pPr>
            <w:hyperlink w:anchor="page83">
              <w:r>
                <w:rPr>
                  <w:rFonts w:ascii="Arial" w:cs="Arial" w:eastAsia="Arial" w:hAnsi="Arial"/>
                  <w:sz w:val="18"/>
                  <w:szCs w:val="18"/>
                  <w:color w:val="0000EE"/>
                  <w:w w:val="89"/>
                </w:rPr>
                <w:t>Supplementary Financial Information - Summary of Quarterly Results of Operations</w:t>
              </w:r>
            </w:hyperlink>
          </w:p>
        </w:tc>
        <w:tc>
          <w:tcPr>
            <w:tcW w:w="4840" w:type="dxa"/>
            <w:vAlign w:val="bottom"/>
            <w:gridSpan w:val="5"/>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345"/>
        </w:trPr>
        <w:tc>
          <w:tcPr>
            <w:tcW w:w="10800" w:type="dxa"/>
            <w:vAlign w:val="bottom"/>
            <w:gridSpan w:val="12"/>
          </w:tcPr>
          <w:p>
            <w:pPr>
              <w:spacing w:after="0"/>
              <w:rPr>
                <w:rFonts w:ascii="Arial" w:cs="Arial" w:eastAsia="Arial" w:hAnsi="Arial"/>
                <w:sz w:val="18"/>
                <w:szCs w:val="18"/>
                <w:color w:val="0000EE"/>
                <w:w w:val="90"/>
              </w:rPr>
            </w:pPr>
            <w:hyperlink w:anchor="page91">
              <w:r>
                <w:rPr>
                  <w:rFonts w:ascii="Arial" w:cs="Arial" w:eastAsia="Arial" w:hAnsi="Arial"/>
                  <w:sz w:val="18"/>
                  <w:szCs w:val="18"/>
                  <w:color w:val="0000EE"/>
                  <w:w w:val="90"/>
                </w:rPr>
                <w:t>The following consolidated financial statement schedule for the years ended May 31, 2010, 2009 and 2008 is filed with this annual report on Form 10-</w:t>
              </w:r>
            </w:hyperlink>
          </w:p>
        </w:tc>
        <w:tc>
          <w:tcPr>
            <w:tcW w:w="620" w:type="dxa"/>
            <w:vAlign w:val="bottom"/>
          </w:tcPr>
          <w:p>
            <w:pPr>
              <w:spacing w:after="0"/>
              <w:rPr>
                <w:sz w:val="24"/>
                <w:szCs w:val="24"/>
                <w:color w:val="auto"/>
              </w:rPr>
            </w:pPr>
          </w:p>
        </w:tc>
      </w:tr>
      <w:tr>
        <w:trPr>
          <w:trHeight w:val="196"/>
        </w:trPr>
        <w:tc>
          <w:tcPr>
            <w:tcW w:w="160" w:type="dxa"/>
            <w:vAlign w:val="bottom"/>
            <w:tcBorders>
              <w:top w:val="single" w:sz="8" w:color="0000EE"/>
            </w:tcBorders>
          </w:tcPr>
          <w:p>
            <w:pPr>
              <w:spacing w:after="0"/>
              <w:rPr>
                <w:sz w:val="17"/>
                <w:szCs w:val="17"/>
                <w:color w:val="auto"/>
              </w:rPr>
            </w:pPr>
          </w:p>
        </w:tc>
        <w:tc>
          <w:tcPr>
            <w:tcW w:w="18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3"/>
              </w:rPr>
            </w:pPr>
            <w:hyperlink w:anchor="page91">
              <w:r>
                <w:rPr>
                  <w:rFonts w:ascii="Arial" w:cs="Arial" w:eastAsia="Arial" w:hAnsi="Arial"/>
                  <w:sz w:val="18"/>
                  <w:szCs w:val="18"/>
                  <w:color w:val="0000EE"/>
                  <w:w w:val="93"/>
                </w:rPr>
                <w:t>K:</w:t>
              </w:r>
            </w:hyperlink>
          </w:p>
        </w:tc>
        <w:tc>
          <w:tcPr>
            <w:tcW w:w="10240" w:type="dxa"/>
            <w:vAlign w:val="bottom"/>
            <w:tcBorders>
              <w:top w:val="single" w:sz="8" w:color="0000EE"/>
            </w:tcBorders>
            <w:gridSpan w:val="9"/>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345"/>
        </w:trPr>
        <w:tc>
          <w:tcPr>
            <w:tcW w:w="4540" w:type="dxa"/>
            <w:vAlign w:val="bottom"/>
            <w:tcBorders>
              <w:bottom w:val="single" w:sz="8" w:color="0000EE"/>
            </w:tcBorders>
            <w:gridSpan w:val="6"/>
          </w:tcPr>
          <w:p>
            <w:pPr>
              <w:spacing w:after="0"/>
              <w:rPr>
                <w:rFonts w:ascii="Arial" w:cs="Arial" w:eastAsia="Arial" w:hAnsi="Arial"/>
                <w:sz w:val="18"/>
                <w:szCs w:val="18"/>
                <w:color w:val="0000EE"/>
                <w:w w:val="88"/>
              </w:rPr>
            </w:pPr>
            <w:hyperlink w:anchor="page92">
              <w:r>
                <w:rPr>
                  <w:rFonts w:ascii="Arial" w:cs="Arial" w:eastAsia="Arial" w:hAnsi="Arial"/>
                  <w:sz w:val="18"/>
                  <w:szCs w:val="18"/>
                  <w:color w:val="0000EE"/>
                  <w:w w:val="88"/>
                </w:rPr>
                <w:t>Schedule II — Valuation and Qualifying Accounts and Reserves</w:t>
              </w:r>
            </w:hyperlink>
          </w:p>
        </w:tc>
        <w:tc>
          <w:tcPr>
            <w:tcW w:w="6260" w:type="dxa"/>
            <w:vAlign w:val="bottom"/>
            <w:gridSpan w:val="6"/>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S-2</w:t>
            </w:r>
          </w:p>
        </w:tc>
      </w:tr>
    </w:tbl>
    <w:p>
      <w:pPr>
        <w:spacing w:after="0" w:line="235"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All other schedules have been omitted since the required information is not present or is not present in amounts sufficient to require submission of the schedule, or because the information required is included in the Consolidated Financial Statements or the Notes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2663825</wp:posOffset>
            </wp:positionH>
            <wp:positionV relativeFrom="paragraph">
              <wp:posOffset>123190</wp:posOffset>
            </wp:positionV>
            <wp:extent cx="1929765" cy="23177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1929765"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387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823"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63765" cy="8890"/>
                    </a:xfrm>
                    <a:prstGeom prst="rect">
                      <a:avLst/>
                    </a:prstGeom>
                    <a:noFill/>
                  </pic:spPr>
                </pic:pic>
              </a:graphicData>
            </a:graphic>
          </wp:anchor>
        </w:drawing>
        <w:t>Consolidated Statements of Operations</w:t>
      </w:r>
    </w:p>
    <w:p>
      <w:pPr>
        <w:spacing w:after="0" w:line="258" w:lineRule="exact"/>
        <w:rPr>
          <w:sz w:val="20"/>
          <w:szCs w:val="20"/>
          <w:color w:val="auto"/>
        </w:rPr>
      </w:pPr>
    </w:p>
    <w:p>
      <w:pPr>
        <w:jc w:val="right"/>
        <w:ind w:right="160"/>
        <w:spacing w:after="0"/>
        <w:rPr>
          <w:sz w:val="20"/>
          <w:szCs w:val="20"/>
          <w:color w:val="auto"/>
        </w:rPr>
      </w:pPr>
      <w:r>
        <w:rPr>
          <w:rFonts w:ascii="Arial" w:cs="Arial" w:eastAsia="Arial" w:hAnsi="Arial"/>
          <w:sz w:val="14"/>
          <w:szCs w:val="14"/>
          <w:color w:val="auto"/>
        </w:rPr>
        <w:t>(Amounts in millions, except per share data)</w:t>
      </w:r>
    </w:p>
    <w:p>
      <w:pPr>
        <w:jc w:val="right"/>
        <w:ind w:right="160"/>
        <w:spacing w:after="0"/>
        <w:rPr>
          <w:sz w:val="20"/>
          <w:szCs w:val="20"/>
          <w:color w:val="auto"/>
        </w:rPr>
      </w:pPr>
      <w:r>
        <w:rPr>
          <w:rFonts w:ascii="Arial" w:cs="Arial" w:eastAsia="Arial" w:hAnsi="Arial"/>
          <w:sz w:val="14"/>
          <w:szCs w:val="14"/>
          <w:color w:val="auto"/>
        </w:rPr>
        <w:t>For fiscal years ended May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7263765"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000" w:type="dxa"/>
            <w:vAlign w:val="bottom"/>
          </w:tcPr>
          <w:p>
            <w:pPr>
              <w:spacing w:after="0"/>
              <w:rPr>
                <w:sz w:val="15"/>
                <w:szCs w:val="15"/>
                <w:color w:val="auto"/>
              </w:rPr>
            </w:pPr>
          </w:p>
        </w:tc>
        <w:tc>
          <w:tcPr>
            <w:tcW w:w="950" w:type="dxa"/>
            <w:vAlign w:val="bottom"/>
          </w:tcPr>
          <w:p>
            <w:pPr>
              <w:spacing w:after="0"/>
              <w:rPr>
                <w:sz w:val="15"/>
                <w:szCs w:val="15"/>
                <w:color w:val="auto"/>
              </w:rPr>
            </w:pPr>
          </w:p>
        </w:tc>
        <w:tc>
          <w:tcPr>
            <w:tcW w:w="1010" w:type="dxa"/>
            <w:vAlign w:val="bottom"/>
          </w:tcPr>
          <w:p>
            <w:pPr>
              <w:jc w:val="right"/>
              <w:ind w:right="113"/>
              <w:spacing w:after="0"/>
              <w:rPr>
                <w:sz w:val="20"/>
                <w:szCs w:val="20"/>
                <w:color w:val="auto"/>
              </w:rPr>
            </w:pPr>
            <w:r>
              <w:rPr>
                <w:rFonts w:ascii="Arial" w:cs="Arial" w:eastAsia="Arial" w:hAnsi="Arial"/>
                <w:sz w:val="14"/>
                <w:szCs w:val="14"/>
                <w:b w:val="1"/>
                <w:bCs w:val="1"/>
                <w:color w:val="auto"/>
              </w:rPr>
              <w:t>2010</w:t>
            </w:r>
          </w:p>
        </w:tc>
        <w:tc>
          <w:tcPr>
            <w:tcW w:w="250" w:type="dxa"/>
            <w:vAlign w:val="bottom"/>
          </w:tcPr>
          <w:p>
            <w:pPr>
              <w:spacing w:after="0"/>
              <w:rPr>
                <w:sz w:val="15"/>
                <w:szCs w:val="15"/>
                <w:color w:val="auto"/>
              </w:rPr>
            </w:pPr>
          </w:p>
        </w:tc>
        <w:tc>
          <w:tcPr>
            <w:tcW w:w="1130" w:type="dxa"/>
            <w:vAlign w:val="bottom"/>
          </w:tcPr>
          <w:p>
            <w:pPr>
              <w:jc w:val="right"/>
              <w:ind w:right="253"/>
              <w:spacing w:after="0"/>
              <w:rPr>
                <w:sz w:val="20"/>
                <w:szCs w:val="20"/>
                <w:color w:val="auto"/>
              </w:rPr>
            </w:pPr>
            <w:r>
              <w:rPr>
                <w:rFonts w:ascii="Arial" w:cs="Arial" w:eastAsia="Arial" w:hAnsi="Arial"/>
                <w:sz w:val="14"/>
                <w:szCs w:val="14"/>
                <w:b w:val="1"/>
                <w:bCs w:val="1"/>
                <w:color w:val="auto"/>
              </w:rPr>
              <w:t>2009</w:t>
            </w:r>
          </w:p>
        </w:tc>
        <w:tc>
          <w:tcPr>
            <w:tcW w:w="220" w:type="dxa"/>
            <w:vAlign w:val="bottom"/>
          </w:tcPr>
          <w:p>
            <w:pPr>
              <w:spacing w:after="0"/>
              <w:rPr>
                <w:sz w:val="15"/>
                <w:szCs w:val="15"/>
                <w:color w:val="auto"/>
              </w:rPr>
            </w:pPr>
          </w:p>
        </w:tc>
        <w:tc>
          <w:tcPr>
            <w:tcW w:w="840" w:type="dxa"/>
            <w:vAlign w:val="bottom"/>
          </w:tcPr>
          <w:p>
            <w:pPr>
              <w:jc w:val="right"/>
              <w:ind w:right="33"/>
              <w:spacing w:after="0"/>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7020" w:type="dxa"/>
            <w:vAlign w:val="bottom"/>
            <w:gridSpan w:val="2"/>
          </w:tcPr>
          <w:p>
            <w:pPr>
              <w:spacing w:after="0"/>
              <w:rPr>
                <w:sz w:val="8"/>
                <w:szCs w:val="8"/>
                <w:color w:val="auto"/>
              </w:rPr>
            </w:pPr>
          </w:p>
        </w:tc>
        <w:tc>
          <w:tcPr>
            <w:tcW w:w="950" w:type="dxa"/>
            <w:vAlign w:val="bottom"/>
          </w:tcPr>
          <w:p>
            <w:pPr>
              <w:spacing w:after="0"/>
              <w:rPr>
                <w:sz w:val="8"/>
                <w:szCs w:val="8"/>
                <w:color w:val="auto"/>
              </w:rPr>
            </w:pPr>
          </w:p>
        </w:tc>
        <w:tc>
          <w:tcPr>
            <w:tcW w:w="1010" w:type="dxa"/>
            <w:vAlign w:val="bottom"/>
          </w:tcPr>
          <w:p>
            <w:pPr>
              <w:spacing w:after="0"/>
              <w:rPr>
                <w:sz w:val="8"/>
                <w:szCs w:val="8"/>
                <w:color w:val="auto"/>
              </w:rPr>
            </w:pPr>
          </w:p>
        </w:tc>
        <w:tc>
          <w:tcPr>
            <w:tcW w:w="250" w:type="dxa"/>
            <w:vAlign w:val="bottom"/>
          </w:tcPr>
          <w:p>
            <w:pPr>
              <w:spacing w:after="0"/>
              <w:rPr>
                <w:sz w:val="8"/>
                <w:szCs w:val="8"/>
                <w:color w:val="auto"/>
              </w:rPr>
            </w:pPr>
          </w:p>
        </w:tc>
        <w:tc>
          <w:tcPr>
            <w:tcW w:w="113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000" w:type="dxa"/>
            <w:vAlign w:val="bottom"/>
            <w:tcBorders>
              <w:top w:val="single" w:sz="8" w:color="auto"/>
            </w:tcBorders>
          </w:tcPr>
          <w:p>
            <w:pPr>
              <w:spacing w:after="0"/>
              <w:rPr>
                <w:sz w:val="8"/>
                <w:szCs w:val="8"/>
                <w:color w:val="auto"/>
              </w:rPr>
            </w:pPr>
          </w:p>
        </w:tc>
        <w:tc>
          <w:tcPr>
            <w:tcW w:w="950" w:type="dxa"/>
            <w:vAlign w:val="bottom"/>
            <w:tcBorders>
              <w:top w:val="single" w:sz="8" w:color="auto"/>
            </w:tcBorders>
          </w:tcPr>
          <w:p>
            <w:pPr>
              <w:spacing w:after="0"/>
              <w:rPr>
                <w:sz w:val="8"/>
                <w:szCs w:val="8"/>
                <w:color w:val="auto"/>
              </w:rPr>
            </w:pPr>
          </w:p>
        </w:tc>
        <w:tc>
          <w:tcPr>
            <w:tcW w:w="1010" w:type="dxa"/>
            <w:vAlign w:val="bottom"/>
            <w:tcBorders>
              <w:top w:val="single" w:sz="8" w:color="auto"/>
            </w:tcBorders>
          </w:tcPr>
          <w:p>
            <w:pPr>
              <w:spacing w:after="0"/>
              <w:rPr>
                <w:sz w:val="8"/>
                <w:szCs w:val="8"/>
                <w:color w:val="auto"/>
              </w:rPr>
            </w:pPr>
          </w:p>
        </w:tc>
        <w:tc>
          <w:tcPr>
            <w:tcW w:w="250" w:type="dxa"/>
            <w:vAlign w:val="bottom"/>
            <w:tcBorders>
              <w:top w:val="single" w:sz="8" w:color="auto"/>
            </w:tcBorders>
          </w:tcPr>
          <w:p>
            <w:pPr>
              <w:spacing w:after="0"/>
              <w:rPr>
                <w:sz w:val="8"/>
                <w:szCs w:val="8"/>
                <w:color w:val="auto"/>
              </w:rPr>
            </w:pPr>
          </w:p>
        </w:tc>
        <w:tc>
          <w:tcPr>
            <w:tcW w:w="1130" w:type="dxa"/>
            <w:vAlign w:val="bottom"/>
            <w:tcBorders>
              <w:top w:val="single" w:sz="8" w:color="auto"/>
            </w:tcBorders>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84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000" w:type="dxa"/>
            <w:vAlign w:val="bottom"/>
            <w:shd w:val="clear" w:color="auto" w:fill="E6E6E6"/>
          </w:tcPr>
          <w:p>
            <w:pPr>
              <w:spacing w:after="0" w:line="202" w:lineRule="exact"/>
              <w:rPr>
                <w:sz w:val="20"/>
                <w:szCs w:val="20"/>
                <w:color w:val="auto"/>
              </w:rPr>
            </w:pPr>
            <w:r>
              <w:rPr>
                <w:rFonts w:ascii="Arial" w:cs="Arial" w:eastAsia="Arial" w:hAnsi="Arial"/>
                <w:sz w:val="18"/>
                <w:szCs w:val="18"/>
                <w:b w:val="1"/>
                <w:bCs w:val="1"/>
                <w:color w:val="auto"/>
              </w:rPr>
              <w:t>Revenues</w:t>
            </w:r>
          </w:p>
        </w:tc>
        <w:tc>
          <w:tcPr>
            <w:tcW w:w="95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1010" w:type="dxa"/>
            <w:vAlign w:val="bottom"/>
            <w:shd w:val="clear" w:color="auto" w:fill="E6E6E6"/>
          </w:tcPr>
          <w:p>
            <w:pPr>
              <w:jc w:val="right"/>
              <w:ind w:right="113"/>
              <w:spacing w:after="0" w:line="202" w:lineRule="exact"/>
              <w:rPr>
                <w:sz w:val="20"/>
                <w:szCs w:val="20"/>
                <w:color w:val="auto"/>
              </w:rPr>
            </w:pPr>
            <w:r>
              <w:rPr>
                <w:rFonts w:ascii="Arial" w:cs="Arial" w:eastAsia="Arial" w:hAnsi="Arial"/>
                <w:sz w:val="18"/>
                <w:szCs w:val="18"/>
                <w:b w:val="1"/>
                <w:bCs w:val="1"/>
                <w:color w:val="auto"/>
              </w:rPr>
              <w:t>1,912.9</w:t>
            </w:r>
          </w:p>
        </w:tc>
        <w:tc>
          <w:tcPr>
            <w:tcW w:w="25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1130" w:type="dxa"/>
            <w:vAlign w:val="bottom"/>
            <w:shd w:val="clear" w:color="auto" w:fill="E6E6E6"/>
          </w:tcPr>
          <w:p>
            <w:pPr>
              <w:jc w:val="right"/>
              <w:ind w:right="253"/>
              <w:spacing w:after="0" w:line="202" w:lineRule="exact"/>
              <w:rPr>
                <w:sz w:val="20"/>
                <w:szCs w:val="20"/>
                <w:color w:val="auto"/>
              </w:rPr>
            </w:pPr>
            <w:r>
              <w:rPr>
                <w:rFonts w:ascii="Arial" w:cs="Arial" w:eastAsia="Arial" w:hAnsi="Arial"/>
                <w:sz w:val="18"/>
                <w:szCs w:val="18"/>
                <w:b w:val="1"/>
                <w:bCs w:val="1"/>
                <w:color w:val="auto"/>
              </w:rPr>
              <w:t>1,849.3</w:t>
            </w:r>
          </w:p>
        </w:tc>
        <w:tc>
          <w:tcPr>
            <w:tcW w:w="220" w:type="dxa"/>
            <w:vAlign w:val="bottom"/>
            <w:shd w:val="clear" w:color="auto" w:fill="E6E6E6"/>
          </w:tcPr>
          <w:p>
            <w:pPr>
              <w:jc w:val="right"/>
              <w:ind w:right="32"/>
              <w:spacing w:after="0" w:line="202" w:lineRule="exact"/>
              <w:rPr>
                <w:sz w:val="20"/>
                <w:szCs w:val="20"/>
                <w:color w:val="auto"/>
              </w:rPr>
            </w:pPr>
            <w:r>
              <w:rPr>
                <w:rFonts w:ascii="Arial" w:cs="Arial" w:eastAsia="Arial" w:hAnsi="Arial"/>
                <w:sz w:val="18"/>
                <w:szCs w:val="18"/>
                <w:b w:val="1"/>
                <w:bCs w:val="1"/>
                <w:color w:val="auto"/>
                <w:w w:val="79"/>
              </w:rPr>
              <w:t>$</w:t>
            </w:r>
          </w:p>
        </w:tc>
        <w:tc>
          <w:tcPr>
            <w:tcW w:w="840" w:type="dxa"/>
            <w:vAlign w:val="bottom"/>
            <w:shd w:val="clear" w:color="auto" w:fill="E6E6E6"/>
          </w:tcPr>
          <w:p>
            <w:pPr>
              <w:jc w:val="right"/>
              <w:ind w:right="33"/>
              <w:spacing w:after="0" w:line="202" w:lineRule="exact"/>
              <w:rPr>
                <w:sz w:val="20"/>
                <w:szCs w:val="20"/>
                <w:color w:val="auto"/>
              </w:rPr>
            </w:pPr>
            <w:r>
              <w:rPr>
                <w:rFonts w:ascii="Arial" w:cs="Arial" w:eastAsia="Arial" w:hAnsi="Arial"/>
                <w:sz w:val="18"/>
                <w:szCs w:val="18"/>
                <w:b w:val="1"/>
                <w:bCs w:val="1"/>
                <w:color w:val="auto"/>
              </w:rPr>
              <w:t>2,159.1</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20" w:type="dxa"/>
            <w:vAlign w:val="bottom"/>
            <w:gridSpan w:val="2"/>
          </w:tcPr>
          <w:p>
            <w:pPr>
              <w:spacing w:after="0" w:line="202" w:lineRule="exact"/>
              <w:rPr>
                <w:sz w:val="20"/>
                <w:szCs w:val="20"/>
                <w:color w:val="auto"/>
              </w:rPr>
            </w:pPr>
            <w:r>
              <w:rPr>
                <w:rFonts w:ascii="Arial" w:cs="Arial" w:eastAsia="Arial" w:hAnsi="Arial"/>
                <w:sz w:val="18"/>
                <w:szCs w:val="18"/>
                <w:color w:val="auto"/>
              </w:rPr>
              <w:t>Operating costs and expenses:</w:t>
            </w:r>
          </w:p>
        </w:tc>
        <w:tc>
          <w:tcPr>
            <w:tcW w:w="950" w:type="dxa"/>
            <w:vAlign w:val="bottom"/>
          </w:tcPr>
          <w:p>
            <w:pPr>
              <w:spacing w:after="0"/>
              <w:rPr>
                <w:sz w:val="17"/>
                <w:szCs w:val="17"/>
                <w:color w:val="auto"/>
              </w:rPr>
            </w:pPr>
          </w:p>
        </w:tc>
        <w:tc>
          <w:tcPr>
            <w:tcW w:w="1010" w:type="dxa"/>
            <w:vAlign w:val="bottom"/>
          </w:tcPr>
          <w:p>
            <w:pPr>
              <w:spacing w:after="0"/>
              <w:rPr>
                <w:sz w:val="17"/>
                <w:szCs w:val="17"/>
                <w:color w:val="auto"/>
              </w:rPr>
            </w:pPr>
          </w:p>
        </w:tc>
        <w:tc>
          <w:tcPr>
            <w:tcW w:w="250" w:type="dxa"/>
            <w:vAlign w:val="bottom"/>
          </w:tcPr>
          <w:p>
            <w:pPr>
              <w:spacing w:after="0"/>
              <w:rPr>
                <w:sz w:val="17"/>
                <w:szCs w:val="17"/>
                <w:color w:val="auto"/>
              </w:rPr>
            </w:pPr>
          </w:p>
        </w:tc>
        <w:tc>
          <w:tcPr>
            <w:tcW w:w="113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00" w:type="dxa"/>
            <w:vAlign w:val="bottom"/>
            <w:shd w:val="clear" w:color="auto" w:fill="E6E6E6"/>
          </w:tcPr>
          <w:p>
            <w:pPr>
              <w:ind w:left="140"/>
              <w:spacing w:after="0" w:line="202" w:lineRule="exact"/>
              <w:rPr>
                <w:sz w:val="20"/>
                <w:szCs w:val="20"/>
                <w:color w:val="auto"/>
              </w:rPr>
            </w:pPr>
            <w:r>
              <w:rPr>
                <w:rFonts w:ascii="Arial" w:cs="Arial" w:eastAsia="Arial" w:hAnsi="Arial"/>
                <w:sz w:val="18"/>
                <w:szCs w:val="18"/>
                <w:color w:val="auto"/>
              </w:rPr>
              <w:t>Cost of goods sold (exclusive of depreciation)</w:t>
            </w:r>
          </w:p>
        </w:tc>
        <w:tc>
          <w:tcPr>
            <w:tcW w:w="950" w:type="dxa"/>
            <w:vAlign w:val="bottom"/>
            <w:shd w:val="clear" w:color="auto" w:fill="E6E6E6"/>
          </w:tcPr>
          <w:p>
            <w:pPr>
              <w:spacing w:after="0"/>
              <w:rPr>
                <w:sz w:val="17"/>
                <w:szCs w:val="17"/>
                <w:color w:val="auto"/>
              </w:rPr>
            </w:pPr>
          </w:p>
        </w:tc>
        <w:tc>
          <w:tcPr>
            <w:tcW w:w="1010" w:type="dxa"/>
            <w:vAlign w:val="bottom"/>
            <w:shd w:val="clear" w:color="auto" w:fill="E6E6E6"/>
          </w:tcPr>
          <w:p>
            <w:pPr>
              <w:jc w:val="right"/>
              <w:ind w:right="113"/>
              <w:spacing w:after="0" w:line="202" w:lineRule="exact"/>
              <w:rPr>
                <w:sz w:val="20"/>
                <w:szCs w:val="20"/>
                <w:color w:val="auto"/>
              </w:rPr>
            </w:pPr>
            <w:r>
              <w:rPr>
                <w:rFonts w:ascii="Arial" w:cs="Arial" w:eastAsia="Arial" w:hAnsi="Arial"/>
                <w:sz w:val="18"/>
                <w:szCs w:val="18"/>
                <w:color w:val="auto"/>
              </w:rPr>
              <w:t>859.8</w:t>
            </w:r>
          </w:p>
        </w:tc>
        <w:tc>
          <w:tcPr>
            <w:tcW w:w="250" w:type="dxa"/>
            <w:vAlign w:val="bottom"/>
            <w:shd w:val="clear" w:color="auto" w:fill="E6E6E6"/>
          </w:tcPr>
          <w:p>
            <w:pPr>
              <w:spacing w:after="0"/>
              <w:rPr>
                <w:sz w:val="17"/>
                <w:szCs w:val="17"/>
                <w:color w:val="auto"/>
              </w:rPr>
            </w:pPr>
          </w:p>
        </w:tc>
        <w:tc>
          <w:tcPr>
            <w:tcW w:w="1130" w:type="dxa"/>
            <w:vAlign w:val="bottom"/>
            <w:shd w:val="clear" w:color="auto" w:fill="E6E6E6"/>
          </w:tcPr>
          <w:p>
            <w:pPr>
              <w:jc w:val="right"/>
              <w:ind w:right="253"/>
              <w:spacing w:after="0" w:line="202" w:lineRule="exact"/>
              <w:rPr>
                <w:sz w:val="20"/>
                <w:szCs w:val="20"/>
                <w:color w:val="auto"/>
              </w:rPr>
            </w:pPr>
            <w:r>
              <w:rPr>
                <w:rFonts w:ascii="Arial" w:cs="Arial" w:eastAsia="Arial" w:hAnsi="Arial"/>
                <w:sz w:val="18"/>
                <w:szCs w:val="18"/>
                <w:color w:val="auto"/>
              </w:rPr>
              <w:t>881.7</w:t>
            </w:r>
          </w:p>
        </w:tc>
        <w:tc>
          <w:tcPr>
            <w:tcW w:w="220" w:type="dxa"/>
            <w:vAlign w:val="bottom"/>
            <w:shd w:val="clear" w:color="auto" w:fill="E6E6E6"/>
          </w:tcPr>
          <w:p>
            <w:pPr>
              <w:spacing w:after="0"/>
              <w:rPr>
                <w:sz w:val="17"/>
                <w:szCs w:val="17"/>
                <w:color w:val="auto"/>
              </w:rPr>
            </w:pPr>
          </w:p>
        </w:tc>
        <w:tc>
          <w:tcPr>
            <w:tcW w:w="840" w:type="dxa"/>
            <w:vAlign w:val="bottom"/>
            <w:shd w:val="clear" w:color="auto" w:fill="E6E6E6"/>
          </w:tcPr>
          <w:p>
            <w:pPr>
              <w:jc w:val="right"/>
              <w:ind w:right="33"/>
              <w:spacing w:after="0" w:line="202" w:lineRule="exact"/>
              <w:rPr>
                <w:sz w:val="20"/>
                <w:szCs w:val="20"/>
                <w:color w:val="auto"/>
              </w:rPr>
            </w:pPr>
            <w:r>
              <w:rPr>
                <w:rFonts w:ascii="Arial" w:cs="Arial" w:eastAsia="Arial" w:hAnsi="Arial"/>
                <w:sz w:val="18"/>
                <w:szCs w:val="18"/>
                <w:color w:val="auto"/>
              </w:rPr>
              <w:t>1,042.3</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00" w:type="dxa"/>
            <w:vAlign w:val="bottom"/>
          </w:tcPr>
          <w:p>
            <w:pPr>
              <w:ind w:left="140"/>
              <w:spacing w:after="0" w:line="202" w:lineRule="exact"/>
              <w:rPr>
                <w:sz w:val="20"/>
                <w:szCs w:val="20"/>
                <w:color w:val="auto"/>
              </w:rPr>
            </w:pPr>
            <w:r>
              <w:rPr>
                <w:rFonts w:ascii="Arial" w:cs="Arial" w:eastAsia="Arial" w:hAnsi="Arial"/>
                <w:sz w:val="18"/>
                <w:szCs w:val="18"/>
                <w:color w:val="auto"/>
              </w:rPr>
              <w:t>Selling, general and administrative expenses</w:t>
            </w:r>
          </w:p>
        </w:tc>
        <w:tc>
          <w:tcPr>
            <w:tcW w:w="950" w:type="dxa"/>
            <w:vAlign w:val="bottom"/>
          </w:tcPr>
          <w:p>
            <w:pPr>
              <w:spacing w:after="0"/>
              <w:rPr>
                <w:sz w:val="17"/>
                <w:szCs w:val="17"/>
                <w:color w:val="auto"/>
              </w:rPr>
            </w:pPr>
          </w:p>
        </w:tc>
        <w:tc>
          <w:tcPr>
            <w:tcW w:w="1010" w:type="dxa"/>
            <w:vAlign w:val="bottom"/>
          </w:tcPr>
          <w:p>
            <w:pPr>
              <w:jc w:val="right"/>
              <w:ind w:right="113"/>
              <w:spacing w:after="0" w:line="202" w:lineRule="exact"/>
              <w:rPr>
                <w:sz w:val="20"/>
                <w:szCs w:val="20"/>
                <w:color w:val="auto"/>
              </w:rPr>
            </w:pPr>
            <w:r>
              <w:rPr>
                <w:rFonts w:ascii="Arial" w:cs="Arial" w:eastAsia="Arial" w:hAnsi="Arial"/>
                <w:sz w:val="18"/>
                <w:szCs w:val="18"/>
                <w:color w:val="auto"/>
              </w:rPr>
              <w:t>803.4</w:t>
            </w:r>
          </w:p>
        </w:tc>
        <w:tc>
          <w:tcPr>
            <w:tcW w:w="250" w:type="dxa"/>
            <w:vAlign w:val="bottom"/>
          </w:tcPr>
          <w:p>
            <w:pPr>
              <w:spacing w:after="0"/>
              <w:rPr>
                <w:sz w:val="17"/>
                <w:szCs w:val="17"/>
                <w:color w:val="auto"/>
              </w:rPr>
            </w:pPr>
          </w:p>
        </w:tc>
        <w:tc>
          <w:tcPr>
            <w:tcW w:w="1130" w:type="dxa"/>
            <w:vAlign w:val="bottom"/>
          </w:tcPr>
          <w:p>
            <w:pPr>
              <w:jc w:val="right"/>
              <w:ind w:right="253"/>
              <w:spacing w:after="0" w:line="202" w:lineRule="exact"/>
              <w:rPr>
                <w:sz w:val="20"/>
                <w:szCs w:val="20"/>
                <w:color w:val="auto"/>
              </w:rPr>
            </w:pPr>
            <w:r>
              <w:rPr>
                <w:rFonts w:ascii="Arial" w:cs="Arial" w:eastAsia="Arial" w:hAnsi="Arial"/>
                <w:sz w:val="18"/>
                <w:szCs w:val="18"/>
                <w:color w:val="auto"/>
              </w:rPr>
              <w:t>777.2</w:t>
            </w:r>
          </w:p>
        </w:tc>
        <w:tc>
          <w:tcPr>
            <w:tcW w:w="220" w:type="dxa"/>
            <w:vAlign w:val="bottom"/>
          </w:tcPr>
          <w:p>
            <w:pPr>
              <w:spacing w:after="0"/>
              <w:rPr>
                <w:sz w:val="17"/>
                <w:szCs w:val="17"/>
                <w:color w:val="auto"/>
              </w:rPr>
            </w:pPr>
          </w:p>
        </w:tc>
        <w:tc>
          <w:tcPr>
            <w:tcW w:w="840" w:type="dxa"/>
            <w:vAlign w:val="bottom"/>
          </w:tcPr>
          <w:p>
            <w:pPr>
              <w:jc w:val="right"/>
              <w:ind w:right="33"/>
              <w:spacing w:after="0" w:line="202" w:lineRule="exact"/>
              <w:rPr>
                <w:sz w:val="20"/>
                <w:szCs w:val="20"/>
                <w:color w:val="auto"/>
              </w:rPr>
            </w:pPr>
            <w:r>
              <w:rPr>
                <w:rFonts w:ascii="Arial" w:cs="Arial" w:eastAsia="Arial" w:hAnsi="Arial"/>
                <w:sz w:val="18"/>
                <w:szCs w:val="18"/>
                <w:color w:val="auto"/>
              </w:rPr>
              <w:t>825.6</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0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Bad debt expense</w:t>
            </w:r>
          </w:p>
        </w:tc>
        <w:tc>
          <w:tcPr>
            <w:tcW w:w="950" w:type="dxa"/>
            <w:vAlign w:val="bottom"/>
            <w:shd w:val="clear" w:color="auto" w:fill="E6E6E6"/>
          </w:tcPr>
          <w:p>
            <w:pPr>
              <w:spacing w:after="0"/>
              <w:rPr>
                <w:sz w:val="17"/>
                <w:szCs w:val="17"/>
                <w:color w:val="auto"/>
              </w:rPr>
            </w:pPr>
          </w:p>
        </w:tc>
        <w:tc>
          <w:tcPr>
            <w:tcW w:w="1010" w:type="dxa"/>
            <w:vAlign w:val="bottom"/>
            <w:shd w:val="clear" w:color="auto" w:fill="E6E6E6"/>
          </w:tcPr>
          <w:p>
            <w:pPr>
              <w:jc w:val="right"/>
              <w:ind w:right="113"/>
              <w:spacing w:after="0" w:line="202" w:lineRule="exact"/>
              <w:rPr>
                <w:sz w:val="20"/>
                <w:szCs w:val="20"/>
                <w:color w:val="auto"/>
              </w:rPr>
            </w:pPr>
            <w:r>
              <w:rPr>
                <w:rFonts w:ascii="Arial" w:cs="Arial" w:eastAsia="Arial" w:hAnsi="Arial"/>
                <w:sz w:val="18"/>
                <w:szCs w:val="18"/>
                <w:color w:val="auto"/>
              </w:rPr>
              <w:t>9.5</w:t>
            </w:r>
          </w:p>
        </w:tc>
        <w:tc>
          <w:tcPr>
            <w:tcW w:w="250" w:type="dxa"/>
            <w:vAlign w:val="bottom"/>
            <w:shd w:val="clear" w:color="auto" w:fill="E6E6E6"/>
          </w:tcPr>
          <w:p>
            <w:pPr>
              <w:spacing w:after="0"/>
              <w:rPr>
                <w:sz w:val="17"/>
                <w:szCs w:val="17"/>
                <w:color w:val="auto"/>
              </w:rPr>
            </w:pPr>
          </w:p>
        </w:tc>
        <w:tc>
          <w:tcPr>
            <w:tcW w:w="1130" w:type="dxa"/>
            <w:vAlign w:val="bottom"/>
            <w:shd w:val="clear" w:color="auto" w:fill="E6E6E6"/>
          </w:tcPr>
          <w:p>
            <w:pPr>
              <w:jc w:val="right"/>
              <w:ind w:right="253"/>
              <w:spacing w:after="0" w:line="202" w:lineRule="exact"/>
              <w:rPr>
                <w:sz w:val="20"/>
                <w:szCs w:val="20"/>
                <w:color w:val="auto"/>
              </w:rPr>
            </w:pPr>
            <w:r>
              <w:rPr>
                <w:rFonts w:ascii="Arial" w:cs="Arial" w:eastAsia="Arial" w:hAnsi="Arial"/>
                <w:sz w:val="18"/>
                <w:szCs w:val="18"/>
                <w:color w:val="auto"/>
              </w:rPr>
              <w:t>15.8</w:t>
            </w:r>
          </w:p>
        </w:tc>
        <w:tc>
          <w:tcPr>
            <w:tcW w:w="220" w:type="dxa"/>
            <w:vAlign w:val="bottom"/>
            <w:shd w:val="clear" w:color="auto" w:fill="E6E6E6"/>
          </w:tcPr>
          <w:p>
            <w:pPr>
              <w:spacing w:after="0"/>
              <w:rPr>
                <w:sz w:val="17"/>
                <w:szCs w:val="17"/>
                <w:color w:val="auto"/>
              </w:rPr>
            </w:pPr>
          </w:p>
        </w:tc>
        <w:tc>
          <w:tcPr>
            <w:tcW w:w="840" w:type="dxa"/>
            <w:vAlign w:val="bottom"/>
            <w:shd w:val="clear" w:color="auto" w:fill="E6E6E6"/>
          </w:tcPr>
          <w:p>
            <w:pPr>
              <w:jc w:val="right"/>
              <w:ind w:right="33"/>
              <w:spacing w:after="0" w:line="202" w:lineRule="exact"/>
              <w:rPr>
                <w:sz w:val="20"/>
                <w:szCs w:val="20"/>
                <w:color w:val="auto"/>
              </w:rPr>
            </w:pPr>
            <w:r>
              <w:rPr>
                <w:rFonts w:ascii="Arial" w:cs="Arial" w:eastAsia="Arial" w:hAnsi="Arial"/>
                <w:sz w:val="18"/>
                <w:szCs w:val="18"/>
                <w:color w:val="auto"/>
              </w:rPr>
              <w:t>8.6</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20" w:type="dxa"/>
            <w:vAlign w:val="bottom"/>
            <w:gridSpan w:val="2"/>
          </w:tcPr>
          <w:p>
            <w:pPr>
              <w:spacing w:after="0" w:line="202" w:lineRule="exact"/>
              <w:rPr>
                <w:sz w:val="20"/>
                <w:szCs w:val="20"/>
                <w:color w:val="auto"/>
              </w:rPr>
            </w:pPr>
            <w:r>
              <w:rPr>
                <w:rFonts w:ascii="Arial" w:cs="Arial" w:eastAsia="Arial" w:hAnsi="Arial"/>
                <w:sz w:val="18"/>
                <w:szCs w:val="18"/>
                <w:color w:val="auto"/>
              </w:rPr>
              <w:t>Depreciation and amortization</w:t>
            </w:r>
          </w:p>
        </w:tc>
        <w:tc>
          <w:tcPr>
            <w:tcW w:w="950" w:type="dxa"/>
            <w:vAlign w:val="bottom"/>
          </w:tcPr>
          <w:p>
            <w:pPr>
              <w:spacing w:after="0"/>
              <w:rPr>
                <w:sz w:val="17"/>
                <w:szCs w:val="17"/>
                <w:color w:val="auto"/>
              </w:rPr>
            </w:pPr>
          </w:p>
        </w:tc>
        <w:tc>
          <w:tcPr>
            <w:tcW w:w="1010" w:type="dxa"/>
            <w:vAlign w:val="bottom"/>
          </w:tcPr>
          <w:p>
            <w:pPr>
              <w:jc w:val="right"/>
              <w:ind w:right="113"/>
              <w:spacing w:after="0" w:line="202" w:lineRule="exact"/>
              <w:rPr>
                <w:sz w:val="20"/>
                <w:szCs w:val="20"/>
                <w:color w:val="auto"/>
              </w:rPr>
            </w:pPr>
            <w:r>
              <w:rPr>
                <w:rFonts w:ascii="Arial" w:cs="Arial" w:eastAsia="Arial" w:hAnsi="Arial"/>
                <w:sz w:val="18"/>
                <w:szCs w:val="18"/>
                <w:color w:val="auto"/>
              </w:rPr>
              <w:t>59.5</w:t>
            </w:r>
          </w:p>
        </w:tc>
        <w:tc>
          <w:tcPr>
            <w:tcW w:w="250" w:type="dxa"/>
            <w:vAlign w:val="bottom"/>
          </w:tcPr>
          <w:p>
            <w:pPr>
              <w:spacing w:after="0"/>
              <w:rPr>
                <w:sz w:val="17"/>
                <w:szCs w:val="17"/>
                <w:color w:val="auto"/>
              </w:rPr>
            </w:pPr>
          </w:p>
        </w:tc>
        <w:tc>
          <w:tcPr>
            <w:tcW w:w="1130" w:type="dxa"/>
            <w:vAlign w:val="bottom"/>
          </w:tcPr>
          <w:p>
            <w:pPr>
              <w:jc w:val="right"/>
              <w:ind w:right="253"/>
              <w:spacing w:after="0" w:line="202" w:lineRule="exact"/>
              <w:rPr>
                <w:sz w:val="20"/>
                <w:szCs w:val="20"/>
                <w:color w:val="auto"/>
              </w:rPr>
            </w:pPr>
            <w:r>
              <w:rPr>
                <w:rFonts w:ascii="Arial" w:cs="Arial" w:eastAsia="Arial" w:hAnsi="Arial"/>
                <w:sz w:val="18"/>
                <w:szCs w:val="18"/>
                <w:color w:val="auto"/>
              </w:rPr>
              <w:t>60.7</w:t>
            </w:r>
          </w:p>
        </w:tc>
        <w:tc>
          <w:tcPr>
            <w:tcW w:w="220" w:type="dxa"/>
            <w:vAlign w:val="bottom"/>
          </w:tcPr>
          <w:p>
            <w:pPr>
              <w:spacing w:after="0"/>
              <w:rPr>
                <w:sz w:val="17"/>
                <w:szCs w:val="17"/>
                <w:color w:val="auto"/>
              </w:rPr>
            </w:pPr>
          </w:p>
        </w:tc>
        <w:tc>
          <w:tcPr>
            <w:tcW w:w="840" w:type="dxa"/>
            <w:vAlign w:val="bottom"/>
          </w:tcPr>
          <w:p>
            <w:pPr>
              <w:jc w:val="right"/>
              <w:ind w:right="33"/>
              <w:spacing w:after="0" w:line="202" w:lineRule="exact"/>
              <w:rPr>
                <w:sz w:val="20"/>
                <w:szCs w:val="20"/>
                <w:color w:val="auto"/>
              </w:rPr>
            </w:pPr>
            <w:r>
              <w:rPr>
                <w:rFonts w:ascii="Arial" w:cs="Arial" w:eastAsia="Arial" w:hAnsi="Arial"/>
                <w:sz w:val="18"/>
                <w:szCs w:val="18"/>
                <w:color w:val="auto"/>
              </w:rPr>
              <w:t>62.2</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0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Severance</w:t>
            </w:r>
          </w:p>
        </w:tc>
        <w:tc>
          <w:tcPr>
            <w:tcW w:w="950" w:type="dxa"/>
            <w:vAlign w:val="bottom"/>
            <w:shd w:val="clear" w:color="auto" w:fill="E6E6E6"/>
          </w:tcPr>
          <w:p>
            <w:pPr>
              <w:spacing w:after="0"/>
              <w:rPr>
                <w:sz w:val="17"/>
                <w:szCs w:val="17"/>
                <w:color w:val="auto"/>
              </w:rPr>
            </w:pPr>
          </w:p>
        </w:tc>
        <w:tc>
          <w:tcPr>
            <w:tcW w:w="1010" w:type="dxa"/>
            <w:vAlign w:val="bottom"/>
            <w:shd w:val="clear" w:color="auto" w:fill="E6E6E6"/>
          </w:tcPr>
          <w:p>
            <w:pPr>
              <w:jc w:val="right"/>
              <w:ind w:right="113"/>
              <w:spacing w:after="0" w:line="202" w:lineRule="exact"/>
              <w:rPr>
                <w:sz w:val="20"/>
                <w:szCs w:val="20"/>
                <w:color w:val="auto"/>
              </w:rPr>
            </w:pPr>
            <w:r>
              <w:rPr>
                <w:rFonts w:ascii="Arial" w:cs="Arial" w:eastAsia="Arial" w:hAnsi="Arial"/>
                <w:sz w:val="18"/>
                <w:szCs w:val="18"/>
                <w:color w:val="auto"/>
              </w:rPr>
              <w:t>9.2</w:t>
            </w:r>
          </w:p>
        </w:tc>
        <w:tc>
          <w:tcPr>
            <w:tcW w:w="250" w:type="dxa"/>
            <w:vAlign w:val="bottom"/>
            <w:shd w:val="clear" w:color="auto" w:fill="E6E6E6"/>
          </w:tcPr>
          <w:p>
            <w:pPr>
              <w:spacing w:after="0"/>
              <w:rPr>
                <w:sz w:val="17"/>
                <w:szCs w:val="17"/>
                <w:color w:val="auto"/>
              </w:rPr>
            </w:pPr>
          </w:p>
        </w:tc>
        <w:tc>
          <w:tcPr>
            <w:tcW w:w="1130" w:type="dxa"/>
            <w:vAlign w:val="bottom"/>
            <w:shd w:val="clear" w:color="auto" w:fill="E6E6E6"/>
          </w:tcPr>
          <w:p>
            <w:pPr>
              <w:jc w:val="right"/>
              <w:ind w:right="253"/>
              <w:spacing w:after="0" w:line="202" w:lineRule="exact"/>
              <w:rPr>
                <w:sz w:val="20"/>
                <w:szCs w:val="20"/>
                <w:color w:val="auto"/>
              </w:rPr>
            </w:pPr>
            <w:r>
              <w:rPr>
                <w:rFonts w:ascii="Arial" w:cs="Arial" w:eastAsia="Arial" w:hAnsi="Arial"/>
                <w:sz w:val="18"/>
                <w:szCs w:val="18"/>
                <w:color w:val="auto"/>
              </w:rPr>
              <w:t>26.5</w:t>
            </w:r>
          </w:p>
        </w:tc>
        <w:tc>
          <w:tcPr>
            <w:tcW w:w="220" w:type="dxa"/>
            <w:vAlign w:val="bottom"/>
            <w:shd w:val="clear" w:color="auto" w:fill="E6E6E6"/>
          </w:tcPr>
          <w:p>
            <w:pPr>
              <w:spacing w:after="0"/>
              <w:rPr>
                <w:sz w:val="17"/>
                <w:szCs w:val="17"/>
                <w:color w:val="auto"/>
              </w:rPr>
            </w:pPr>
          </w:p>
        </w:tc>
        <w:tc>
          <w:tcPr>
            <w:tcW w:w="840" w:type="dxa"/>
            <w:vAlign w:val="bottom"/>
            <w:shd w:val="clear" w:color="auto" w:fill="E6E6E6"/>
          </w:tcPr>
          <w:p>
            <w:pPr>
              <w:jc w:val="right"/>
              <w:ind w:right="33"/>
              <w:spacing w:after="0" w:line="202" w:lineRule="exact"/>
              <w:rPr>
                <w:sz w:val="20"/>
                <w:szCs w:val="20"/>
                <w:color w:val="auto"/>
              </w:rPr>
            </w:pPr>
            <w:r>
              <w:rPr>
                <w:rFonts w:ascii="Arial" w:cs="Arial" w:eastAsia="Arial" w:hAnsi="Arial"/>
                <w:sz w:val="18"/>
                <w:szCs w:val="18"/>
                <w:color w:val="auto"/>
              </w:rPr>
              <w:t>7.0</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7020" w:type="dxa"/>
            <w:vAlign w:val="bottom"/>
            <w:gridSpan w:val="2"/>
          </w:tcPr>
          <w:p>
            <w:pPr>
              <w:spacing w:after="0"/>
              <w:rPr>
                <w:sz w:val="20"/>
                <w:szCs w:val="20"/>
                <w:color w:val="auto"/>
              </w:rPr>
            </w:pPr>
            <w:r>
              <w:rPr>
                <w:rFonts w:ascii="Arial" w:cs="Arial" w:eastAsia="Arial" w:hAnsi="Arial"/>
                <w:sz w:val="18"/>
                <w:szCs w:val="18"/>
                <w:color w:val="auto"/>
              </w:rPr>
              <w:t>Impairment charge</w:t>
            </w:r>
          </w:p>
        </w:tc>
        <w:tc>
          <w:tcPr>
            <w:tcW w:w="950" w:type="dxa"/>
            <w:vAlign w:val="bottom"/>
          </w:tcPr>
          <w:p>
            <w:pPr>
              <w:spacing w:after="0"/>
              <w:rPr>
                <w:sz w:val="18"/>
                <w:szCs w:val="18"/>
                <w:color w:val="auto"/>
              </w:rPr>
            </w:pPr>
          </w:p>
        </w:tc>
        <w:tc>
          <w:tcPr>
            <w:tcW w:w="1010" w:type="dxa"/>
            <w:vAlign w:val="bottom"/>
          </w:tcPr>
          <w:p>
            <w:pPr>
              <w:jc w:val="right"/>
              <w:ind w:right="113"/>
              <w:spacing w:after="0"/>
              <w:rPr>
                <w:sz w:val="20"/>
                <w:szCs w:val="20"/>
                <w:color w:val="auto"/>
              </w:rPr>
            </w:pPr>
            <w:r>
              <w:rPr>
                <w:rFonts w:ascii="Arial" w:cs="Arial" w:eastAsia="Arial" w:hAnsi="Arial"/>
                <w:sz w:val="18"/>
                <w:szCs w:val="18"/>
                <w:color w:val="auto"/>
              </w:rPr>
              <w:t>43.1</w:t>
            </w:r>
          </w:p>
        </w:tc>
        <w:tc>
          <w:tcPr>
            <w:tcW w:w="250" w:type="dxa"/>
            <w:vAlign w:val="bottom"/>
          </w:tcPr>
          <w:p>
            <w:pPr>
              <w:spacing w:after="0"/>
              <w:rPr>
                <w:sz w:val="18"/>
                <w:szCs w:val="18"/>
                <w:color w:val="auto"/>
              </w:rPr>
            </w:pPr>
          </w:p>
        </w:tc>
        <w:tc>
          <w:tcPr>
            <w:tcW w:w="1130" w:type="dxa"/>
            <w:vAlign w:val="bottom"/>
          </w:tcPr>
          <w:p>
            <w:pPr>
              <w:jc w:val="right"/>
              <w:ind w:right="253"/>
              <w:spacing w:after="0"/>
              <w:rPr>
                <w:sz w:val="20"/>
                <w:szCs w:val="20"/>
                <w:color w:val="auto"/>
              </w:rPr>
            </w:pPr>
            <w:r>
              <w:rPr>
                <w:rFonts w:ascii="Arial" w:cs="Arial" w:eastAsia="Arial" w:hAnsi="Arial"/>
                <w:sz w:val="18"/>
                <w:szCs w:val="18"/>
                <w:color w:val="auto"/>
              </w:rPr>
              <w:t>17.0</w:t>
            </w:r>
          </w:p>
        </w:tc>
        <w:tc>
          <w:tcPr>
            <w:tcW w:w="22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7"/>
        </w:trPr>
        <w:tc>
          <w:tcPr>
            <w:tcW w:w="7020" w:type="dxa"/>
            <w:vAlign w:val="bottom"/>
            <w:tcBorders>
              <w:bottom w:val="single" w:sz="8" w:color="808080"/>
            </w:tcBorders>
            <w:gridSpan w:val="2"/>
          </w:tcPr>
          <w:p>
            <w:pPr>
              <w:spacing w:after="0"/>
              <w:rPr>
                <w:sz w:val="8"/>
                <w:szCs w:val="8"/>
                <w:color w:val="auto"/>
              </w:rPr>
            </w:pPr>
          </w:p>
        </w:tc>
        <w:tc>
          <w:tcPr>
            <w:tcW w:w="950" w:type="dxa"/>
            <w:vAlign w:val="bottom"/>
            <w:tcBorders>
              <w:bottom w:val="single" w:sz="8" w:color="808080"/>
            </w:tcBorders>
          </w:tcPr>
          <w:p>
            <w:pPr>
              <w:spacing w:after="0"/>
              <w:rPr>
                <w:sz w:val="8"/>
                <w:szCs w:val="8"/>
                <w:color w:val="auto"/>
              </w:rPr>
            </w:pPr>
          </w:p>
        </w:tc>
        <w:tc>
          <w:tcPr>
            <w:tcW w:w="1010" w:type="dxa"/>
            <w:vAlign w:val="bottom"/>
            <w:tcBorders>
              <w:bottom w:val="single" w:sz="8" w:color="808080"/>
            </w:tcBorders>
          </w:tcPr>
          <w:p>
            <w:pPr>
              <w:spacing w:after="0"/>
              <w:rPr>
                <w:sz w:val="8"/>
                <w:szCs w:val="8"/>
                <w:color w:val="auto"/>
              </w:rPr>
            </w:pPr>
          </w:p>
        </w:tc>
        <w:tc>
          <w:tcPr>
            <w:tcW w:w="250" w:type="dxa"/>
            <w:vAlign w:val="bottom"/>
            <w:tcBorders>
              <w:bottom w:val="single" w:sz="8" w:color="808080"/>
            </w:tcBorders>
          </w:tcPr>
          <w:p>
            <w:pPr>
              <w:spacing w:after="0"/>
              <w:rPr>
                <w:sz w:val="8"/>
                <w:szCs w:val="8"/>
                <w:color w:val="auto"/>
              </w:rPr>
            </w:pPr>
          </w:p>
        </w:tc>
        <w:tc>
          <w:tcPr>
            <w:tcW w:w="113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7020" w:type="dxa"/>
            <w:vAlign w:val="bottom"/>
            <w:gridSpan w:val="2"/>
          </w:tcPr>
          <w:p>
            <w:pPr>
              <w:spacing w:after="0"/>
              <w:rPr>
                <w:sz w:val="8"/>
                <w:szCs w:val="8"/>
                <w:color w:val="auto"/>
              </w:rPr>
            </w:pPr>
          </w:p>
        </w:tc>
        <w:tc>
          <w:tcPr>
            <w:tcW w:w="950" w:type="dxa"/>
            <w:vAlign w:val="bottom"/>
          </w:tcPr>
          <w:p>
            <w:pPr>
              <w:spacing w:after="0"/>
              <w:rPr>
                <w:sz w:val="8"/>
                <w:szCs w:val="8"/>
                <w:color w:val="auto"/>
              </w:rPr>
            </w:pPr>
          </w:p>
        </w:tc>
        <w:tc>
          <w:tcPr>
            <w:tcW w:w="1010" w:type="dxa"/>
            <w:vAlign w:val="bottom"/>
          </w:tcPr>
          <w:p>
            <w:pPr>
              <w:spacing w:after="0"/>
              <w:rPr>
                <w:sz w:val="8"/>
                <w:szCs w:val="8"/>
                <w:color w:val="auto"/>
              </w:rPr>
            </w:pPr>
          </w:p>
        </w:tc>
        <w:tc>
          <w:tcPr>
            <w:tcW w:w="250" w:type="dxa"/>
            <w:vAlign w:val="bottom"/>
          </w:tcPr>
          <w:p>
            <w:pPr>
              <w:spacing w:after="0"/>
              <w:rPr>
                <w:sz w:val="8"/>
                <w:szCs w:val="8"/>
                <w:color w:val="auto"/>
              </w:rPr>
            </w:pPr>
          </w:p>
        </w:tc>
        <w:tc>
          <w:tcPr>
            <w:tcW w:w="113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0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Total operating costs and expenses</w:t>
            </w:r>
          </w:p>
        </w:tc>
        <w:tc>
          <w:tcPr>
            <w:tcW w:w="950" w:type="dxa"/>
            <w:vAlign w:val="bottom"/>
            <w:shd w:val="clear" w:color="auto" w:fill="E6E6E6"/>
          </w:tcPr>
          <w:p>
            <w:pPr>
              <w:spacing w:after="0"/>
              <w:rPr>
                <w:sz w:val="17"/>
                <w:szCs w:val="17"/>
                <w:color w:val="auto"/>
              </w:rPr>
            </w:pPr>
          </w:p>
        </w:tc>
        <w:tc>
          <w:tcPr>
            <w:tcW w:w="1010" w:type="dxa"/>
            <w:vAlign w:val="bottom"/>
            <w:shd w:val="clear" w:color="auto" w:fill="E6E6E6"/>
          </w:tcPr>
          <w:p>
            <w:pPr>
              <w:jc w:val="right"/>
              <w:ind w:right="113"/>
              <w:spacing w:after="0" w:line="202" w:lineRule="exact"/>
              <w:rPr>
                <w:sz w:val="20"/>
                <w:szCs w:val="20"/>
                <w:color w:val="auto"/>
              </w:rPr>
            </w:pPr>
            <w:r>
              <w:rPr>
                <w:rFonts w:ascii="Arial" w:cs="Arial" w:eastAsia="Arial" w:hAnsi="Arial"/>
                <w:sz w:val="18"/>
                <w:szCs w:val="18"/>
                <w:color w:val="auto"/>
              </w:rPr>
              <w:t>1,784.5</w:t>
            </w:r>
          </w:p>
        </w:tc>
        <w:tc>
          <w:tcPr>
            <w:tcW w:w="250" w:type="dxa"/>
            <w:vAlign w:val="bottom"/>
            <w:shd w:val="clear" w:color="auto" w:fill="E6E6E6"/>
          </w:tcPr>
          <w:p>
            <w:pPr>
              <w:spacing w:after="0"/>
              <w:rPr>
                <w:sz w:val="17"/>
                <w:szCs w:val="17"/>
                <w:color w:val="auto"/>
              </w:rPr>
            </w:pPr>
          </w:p>
        </w:tc>
        <w:tc>
          <w:tcPr>
            <w:tcW w:w="1130" w:type="dxa"/>
            <w:vAlign w:val="bottom"/>
            <w:shd w:val="clear" w:color="auto" w:fill="E6E6E6"/>
          </w:tcPr>
          <w:p>
            <w:pPr>
              <w:jc w:val="right"/>
              <w:ind w:right="253"/>
              <w:spacing w:after="0" w:line="202" w:lineRule="exact"/>
              <w:rPr>
                <w:sz w:val="20"/>
                <w:szCs w:val="20"/>
                <w:color w:val="auto"/>
              </w:rPr>
            </w:pPr>
            <w:r>
              <w:rPr>
                <w:rFonts w:ascii="Arial" w:cs="Arial" w:eastAsia="Arial" w:hAnsi="Arial"/>
                <w:sz w:val="18"/>
                <w:szCs w:val="18"/>
                <w:color w:val="auto"/>
              </w:rPr>
              <w:t>1,778.9</w:t>
            </w:r>
          </w:p>
        </w:tc>
        <w:tc>
          <w:tcPr>
            <w:tcW w:w="220" w:type="dxa"/>
            <w:vAlign w:val="bottom"/>
            <w:shd w:val="clear" w:color="auto" w:fill="E6E6E6"/>
          </w:tcPr>
          <w:p>
            <w:pPr>
              <w:spacing w:after="0"/>
              <w:rPr>
                <w:sz w:val="17"/>
                <w:szCs w:val="17"/>
                <w:color w:val="auto"/>
              </w:rPr>
            </w:pPr>
          </w:p>
        </w:tc>
        <w:tc>
          <w:tcPr>
            <w:tcW w:w="840" w:type="dxa"/>
            <w:vAlign w:val="bottom"/>
            <w:shd w:val="clear" w:color="auto" w:fill="E6E6E6"/>
          </w:tcPr>
          <w:p>
            <w:pPr>
              <w:jc w:val="right"/>
              <w:ind w:right="33"/>
              <w:spacing w:after="0" w:line="202" w:lineRule="exact"/>
              <w:rPr>
                <w:sz w:val="20"/>
                <w:szCs w:val="20"/>
                <w:color w:val="auto"/>
              </w:rPr>
            </w:pPr>
            <w:r>
              <w:rPr>
                <w:rFonts w:ascii="Arial" w:cs="Arial" w:eastAsia="Arial" w:hAnsi="Arial"/>
                <w:sz w:val="18"/>
                <w:szCs w:val="18"/>
                <w:color w:val="auto"/>
              </w:rPr>
              <w:t>1,945.7</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000" w:type="dxa"/>
            <w:vAlign w:val="bottom"/>
            <w:tcBorders>
              <w:bottom w:val="single" w:sz="8" w:color="808080"/>
            </w:tcBorders>
          </w:tcPr>
          <w:p>
            <w:pPr>
              <w:spacing w:after="0"/>
              <w:rPr>
                <w:sz w:val="9"/>
                <w:szCs w:val="9"/>
                <w:color w:val="auto"/>
              </w:rPr>
            </w:pPr>
          </w:p>
        </w:tc>
        <w:tc>
          <w:tcPr>
            <w:tcW w:w="950" w:type="dxa"/>
            <w:vAlign w:val="bottom"/>
            <w:tcBorders>
              <w:bottom w:val="single" w:sz="8" w:color="808080"/>
            </w:tcBorders>
          </w:tcPr>
          <w:p>
            <w:pPr>
              <w:spacing w:after="0"/>
              <w:rPr>
                <w:sz w:val="9"/>
                <w:szCs w:val="9"/>
                <w:color w:val="auto"/>
              </w:rPr>
            </w:pPr>
          </w:p>
        </w:tc>
        <w:tc>
          <w:tcPr>
            <w:tcW w:w="1010" w:type="dxa"/>
            <w:vAlign w:val="bottom"/>
            <w:tcBorders>
              <w:bottom w:val="single" w:sz="8" w:color="808080"/>
            </w:tcBorders>
          </w:tcPr>
          <w:p>
            <w:pPr>
              <w:spacing w:after="0"/>
              <w:rPr>
                <w:sz w:val="9"/>
                <w:szCs w:val="9"/>
                <w:color w:val="auto"/>
              </w:rPr>
            </w:pPr>
          </w:p>
        </w:tc>
        <w:tc>
          <w:tcPr>
            <w:tcW w:w="250" w:type="dxa"/>
            <w:vAlign w:val="bottom"/>
            <w:tcBorders>
              <w:bottom w:val="single" w:sz="8" w:color="808080"/>
            </w:tcBorders>
          </w:tcPr>
          <w:p>
            <w:pPr>
              <w:spacing w:after="0"/>
              <w:rPr>
                <w:sz w:val="9"/>
                <w:szCs w:val="9"/>
                <w:color w:val="auto"/>
              </w:rPr>
            </w:pPr>
          </w:p>
        </w:tc>
        <w:tc>
          <w:tcPr>
            <w:tcW w:w="113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4"/>
        </w:trPr>
        <w:tc>
          <w:tcPr>
            <w:tcW w:w="7020" w:type="dxa"/>
            <w:vAlign w:val="bottom"/>
            <w:gridSpan w:val="2"/>
          </w:tcPr>
          <w:p>
            <w:pPr>
              <w:spacing w:after="0"/>
              <w:rPr>
                <w:sz w:val="20"/>
                <w:szCs w:val="20"/>
                <w:color w:val="auto"/>
              </w:rPr>
            </w:pPr>
            <w:r>
              <w:rPr>
                <w:rFonts w:ascii="Arial" w:cs="Arial" w:eastAsia="Arial" w:hAnsi="Arial"/>
                <w:sz w:val="18"/>
                <w:szCs w:val="18"/>
                <w:b w:val="1"/>
                <w:bCs w:val="1"/>
                <w:color w:val="auto"/>
              </w:rPr>
              <w:t>Operating income</w:t>
            </w:r>
          </w:p>
        </w:tc>
        <w:tc>
          <w:tcPr>
            <w:tcW w:w="950" w:type="dxa"/>
            <w:vAlign w:val="bottom"/>
          </w:tcPr>
          <w:p>
            <w:pPr>
              <w:spacing w:after="0"/>
              <w:rPr>
                <w:sz w:val="24"/>
                <w:szCs w:val="24"/>
                <w:color w:val="auto"/>
              </w:rPr>
            </w:pPr>
          </w:p>
        </w:tc>
        <w:tc>
          <w:tcPr>
            <w:tcW w:w="1010" w:type="dxa"/>
            <w:vAlign w:val="bottom"/>
          </w:tcPr>
          <w:p>
            <w:pPr>
              <w:jc w:val="right"/>
              <w:ind w:right="113"/>
              <w:spacing w:after="0"/>
              <w:rPr>
                <w:sz w:val="20"/>
                <w:szCs w:val="20"/>
                <w:color w:val="auto"/>
              </w:rPr>
            </w:pPr>
            <w:r>
              <w:rPr>
                <w:rFonts w:ascii="Arial" w:cs="Arial" w:eastAsia="Arial" w:hAnsi="Arial"/>
                <w:sz w:val="18"/>
                <w:szCs w:val="18"/>
                <w:b w:val="1"/>
                <w:bCs w:val="1"/>
                <w:color w:val="auto"/>
              </w:rPr>
              <w:t>128.4</w:t>
            </w:r>
          </w:p>
        </w:tc>
        <w:tc>
          <w:tcPr>
            <w:tcW w:w="250" w:type="dxa"/>
            <w:vAlign w:val="bottom"/>
          </w:tcPr>
          <w:p>
            <w:pPr>
              <w:spacing w:after="0"/>
              <w:rPr>
                <w:sz w:val="24"/>
                <w:szCs w:val="24"/>
                <w:color w:val="auto"/>
              </w:rPr>
            </w:pPr>
          </w:p>
        </w:tc>
        <w:tc>
          <w:tcPr>
            <w:tcW w:w="1130" w:type="dxa"/>
            <w:vAlign w:val="bottom"/>
          </w:tcPr>
          <w:p>
            <w:pPr>
              <w:jc w:val="right"/>
              <w:ind w:right="253"/>
              <w:spacing w:after="0"/>
              <w:rPr>
                <w:sz w:val="20"/>
                <w:szCs w:val="20"/>
                <w:color w:val="auto"/>
              </w:rPr>
            </w:pPr>
            <w:r>
              <w:rPr>
                <w:rFonts w:ascii="Arial" w:cs="Arial" w:eastAsia="Arial" w:hAnsi="Arial"/>
                <w:sz w:val="18"/>
                <w:szCs w:val="18"/>
                <w:b w:val="1"/>
                <w:bCs w:val="1"/>
                <w:color w:val="auto"/>
              </w:rPr>
              <w:t>70.4</w:t>
            </w:r>
          </w:p>
        </w:tc>
        <w:tc>
          <w:tcPr>
            <w:tcW w:w="220" w:type="dxa"/>
            <w:vAlign w:val="bottom"/>
          </w:tcPr>
          <w:p>
            <w:pPr>
              <w:spacing w:after="0"/>
              <w:rPr>
                <w:sz w:val="24"/>
                <w:szCs w:val="24"/>
                <w:color w:val="auto"/>
              </w:rPr>
            </w:pPr>
          </w:p>
        </w:tc>
        <w:tc>
          <w:tcPr>
            <w:tcW w:w="840" w:type="dxa"/>
            <w:vAlign w:val="bottom"/>
          </w:tcPr>
          <w:p>
            <w:pPr>
              <w:jc w:val="right"/>
              <w:ind w:right="33"/>
              <w:spacing w:after="0"/>
              <w:rPr>
                <w:sz w:val="20"/>
                <w:szCs w:val="20"/>
                <w:color w:val="auto"/>
              </w:rPr>
            </w:pPr>
            <w:r>
              <w:rPr>
                <w:rFonts w:ascii="Arial" w:cs="Arial" w:eastAsia="Arial" w:hAnsi="Arial"/>
                <w:sz w:val="18"/>
                <w:szCs w:val="18"/>
                <w:b w:val="1"/>
                <w:bCs w:val="1"/>
                <w:color w:val="auto"/>
              </w:rPr>
              <w:t>213.4</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0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Other income</w:t>
            </w:r>
          </w:p>
        </w:tc>
        <w:tc>
          <w:tcPr>
            <w:tcW w:w="950" w:type="dxa"/>
            <w:vAlign w:val="bottom"/>
            <w:shd w:val="clear" w:color="auto" w:fill="E6E6E6"/>
          </w:tcPr>
          <w:p>
            <w:pPr>
              <w:spacing w:after="0"/>
              <w:rPr>
                <w:sz w:val="17"/>
                <w:szCs w:val="17"/>
                <w:color w:val="auto"/>
              </w:rPr>
            </w:pPr>
          </w:p>
        </w:tc>
        <w:tc>
          <w:tcPr>
            <w:tcW w:w="1010" w:type="dxa"/>
            <w:vAlign w:val="bottom"/>
            <w:shd w:val="clear" w:color="auto" w:fill="E6E6E6"/>
          </w:tcPr>
          <w:p>
            <w:pPr>
              <w:jc w:val="right"/>
              <w:ind w:right="113"/>
              <w:spacing w:after="0" w:line="202" w:lineRule="exact"/>
              <w:rPr>
                <w:sz w:val="20"/>
                <w:szCs w:val="20"/>
                <w:color w:val="auto"/>
              </w:rPr>
            </w:pPr>
            <w:r>
              <w:rPr>
                <w:rFonts w:ascii="Arial" w:cs="Arial" w:eastAsia="Arial" w:hAnsi="Arial"/>
                <w:sz w:val="18"/>
                <w:szCs w:val="18"/>
                <w:color w:val="auto"/>
              </w:rPr>
              <w:t>0.9</w:t>
            </w:r>
          </w:p>
        </w:tc>
        <w:tc>
          <w:tcPr>
            <w:tcW w:w="250" w:type="dxa"/>
            <w:vAlign w:val="bottom"/>
            <w:shd w:val="clear" w:color="auto" w:fill="E6E6E6"/>
          </w:tcPr>
          <w:p>
            <w:pPr>
              <w:spacing w:after="0"/>
              <w:rPr>
                <w:sz w:val="17"/>
                <w:szCs w:val="17"/>
                <w:color w:val="auto"/>
              </w:rPr>
            </w:pPr>
          </w:p>
        </w:tc>
        <w:tc>
          <w:tcPr>
            <w:tcW w:w="1130" w:type="dxa"/>
            <w:vAlign w:val="bottom"/>
            <w:shd w:val="clear" w:color="auto" w:fill="E6E6E6"/>
          </w:tcPr>
          <w:p>
            <w:pPr>
              <w:jc w:val="right"/>
              <w:ind w:right="253"/>
              <w:spacing w:after="0" w:line="202" w:lineRule="exact"/>
              <w:rPr>
                <w:sz w:val="20"/>
                <w:szCs w:val="20"/>
                <w:color w:val="auto"/>
              </w:rPr>
            </w:pPr>
            <w:r>
              <w:rPr>
                <w:rFonts w:ascii="Arial" w:cs="Arial" w:eastAsia="Arial" w:hAnsi="Arial"/>
                <w:sz w:val="18"/>
                <w:szCs w:val="18"/>
                <w:color w:val="auto"/>
              </w:rPr>
              <w:t>0.7</w:t>
            </w:r>
          </w:p>
        </w:tc>
        <w:tc>
          <w:tcPr>
            <w:tcW w:w="220" w:type="dxa"/>
            <w:vAlign w:val="bottom"/>
            <w:shd w:val="clear" w:color="auto" w:fill="E6E6E6"/>
          </w:tcPr>
          <w:p>
            <w:pPr>
              <w:spacing w:after="0"/>
              <w:rPr>
                <w:sz w:val="17"/>
                <w:szCs w:val="17"/>
                <w:color w:val="auto"/>
              </w:rPr>
            </w:pPr>
          </w:p>
        </w:tc>
        <w:tc>
          <w:tcPr>
            <w:tcW w:w="840" w:type="dxa"/>
            <w:vAlign w:val="bottom"/>
            <w:shd w:val="clear" w:color="auto" w:fill="E6E6E6"/>
          </w:tcPr>
          <w:p>
            <w:pPr>
              <w:jc w:val="right"/>
              <w:ind w:right="33"/>
              <w:spacing w:after="0" w:line="202" w:lineRule="exact"/>
              <w:rPr>
                <w:sz w:val="20"/>
                <w:szCs w:val="20"/>
                <w:color w:val="auto"/>
              </w:rPr>
            </w:pPr>
            <w:r>
              <w:rPr>
                <w:rFonts w:ascii="Arial" w:cs="Arial" w:eastAsia="Arial" w:hAnsi="Arial"/>
                <w:sz w:val="18"/>
                <w:szCs w:val="18"/>
                <w:color w:val="auto"/>
              </w:rPr>
              <w:t>2.6</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20" w:type="dxa"/>
            <w:vAlign w:val="bottom"/>
            <w:gridSpan w:val="2"/>
          </w:tcPr>
          <w:p>
            <w:pPr>
              <w:spacing w:after="0" w:line="202" w:lineRule="exact"/>
              <w:rPr>
                <w:sz w:val="20"/>
                <w:szCs w:val="20"/>
                <w:color w:val="auto"/>
              </w:rPr>
            </w:pPr>
            <w:r>
              <w:rPr>
                <w:rFonts w:ascii="Arial" w:cs="Arial" w:eastAsia="Arial" w:hAnsi="Arial"/>
                <w:sz w:val="18"/>
                <w:szCs w:val="18"/>
                <w:color w:val="auto"/>
              </w:rPr>
              <w:t>Interest income</w:t>
            </w:r>
          </w:p>
        </w:tc>
        <w:tc>
          <w:tcPr>
            <w:tcW w:w="950" w:type="dxa"/>
            <w:vAlign w:val="bottom"/>
          </w:tcPr>
          <w:p>
            <w:pPr>
              <w:spacing w:after="0"/>
              <w:rPr>
                <w:sz w:val="17"/>
                <w:szCs w:val="17"/>
                <w:color w:val="auto"/>
              </w:rPr>
            </w:pPr>
          </w:p>
        </w:tc>
        <w:tc>
          <w:tcPr>
            <w:tcW w:w="1010" w:type="dxa"/>
            <w:vAlign w:val="bottom"/>
          </w:tcPr>
          <w:p>
            <w:pPr>
              <w:jc w:val="right"/>
              <w:ind w:right="113"/>
              <w:spacing w:after="0" w:line="202" w:lineRule="exact"/>
              <w:rPr>
                <w:sz w:val="20"/>
                <w:szCs w:val="20"/>
                <w:color w:val="auto"/>
              </w:rPr>
            </w:pPr>
            <w:r>
              <w:rPr>
                <w:rFonts w:ascii="Arial" w:cs="Arial" w:eastAsia="Arial" w:hAnsi="Arial"/>
                <w:sz w:val="18"/>
                <w:szCs w:val="18"/>
                <w:color w:val="auto"/>
              </w:rPr>
              <w:t>1.6</w:t>
            </w:r>
          </w:p>
        </w:tc>
        <w:tc>
          <w:tcPr>
            <w:tcW w:w="250" w:type="dxa"/>
            <w:vAlign w:val="bottom"/>
          </w:tcPr>
          <w:p>
            <w:pPr>
              <w:spacing w:after="0"/>
              <w:rPr>
                <w:sz w:val="17"/>
                <w:szCs w:val="17"/>
                <w:color w:val="auto"/>
              </w:rPr>
            </w:pPr>
          </w:p>
        </w:tc>
        <w:tc>
          <w:tcPr>
            <w:tcW w:w="1130" w:type="dxa"/>
            <w:vAlign w:val="bottom"/>
          </w:tcPr>
          <w:p>
            <w:pPr>
              <w:jc w:val="right"/>
              <w:ind w:right="253"/>
              <w:spacing w:after="0" w:line="202" w:lineRule="exact"/>
              <w:rPr>
                <w:sz w:val="20"/>
                <w:szCs w:val="20"/>
                <w:color w:val="auto"/>
              </w:rPr>
            </w:pPr>
            <w:r>
              <w:rPr>
                <w:rFonts w:ascii="Arial" w:cs="Arial" w:eastAsia="Arial" w:hAnsi="Arial"/>
                <w:sz w:val="18"/>
                <w:szCs w:val="18"/>
                <w:color w:val="auto"/>
              </w:rPr>
              <w:t>1.2</w:t>
            </w:r>
          </w:p>
        </w:tc>
        <w:tc>
          <w:tcPr>
            <w:tcW w:w="220" w:type="dxa"/>
            <w:vAlign w:val="bottom"/>
          </w:tcPr>
          <w:p>
            <w:pPr>
              <w:spacing w:after="0"/>
              <w:rPr>
                <w:sz w:val="17"/>
                <w:szCs w:val="17"/>
                <w:color w:val="auto"/>
              </w:rPr>
            </w:pPr>
          </w:p>
        </w:tc>
        <w:tc>
          <w:tcPr>
            <w:tcW w:w="840" w:type="dxa"/>
            <w:vAlign w:val="bottom"/>
          </w:tcPr>
          <w:p>
            <w:pPr>
              <w:jc w:val="right"/>
              <w:ind w:right="33"/>
              <w:spacing w:after="0" w:line="202" w:lineRule="exact"/>
              <w:rPr>
                <w:sz w:val="20"/>
                <w:szCs w:val="20"/>
                <w:color w:val="auto"/>
              </w:rPr>
            </w:pPr>
            <w:r>
              <w:rPr>
                <w:rFonts w:ascii="Arial" w:cs="Arial" w:eastAsia="Arial" w:hAnsi="Arial"/>
                <w:sz w:val="18"/>
                <w:szCs w:val="18"/>
                <w:color w:val="auto"/>
              </w:rPr>
              <w:t>3.1</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0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Interest expense</w:t>
            </w:r>
          </w:p>
        </w:tc>
        <w:tc>
          <w:tcPr>
            <w:tcW w:w="950" w:type="dxa"/>
            <w:vAlign w:val="bottom"/>
            <w:shd w:val="clear" w:color="auto" w:fill="E6E6E6"/>
          </w:tcPr>
          <w:p>
            <w:pPr>
              <w:spacing w:after="0"/>
              <w:rPr>
                <w:sz w:val="17"/>
                <w:szCs w:val="17"/>
                <w:color w:val="auto"/>
              </w:rPr>
            </w:pPr>
          </w:p>
        </w:tc>
        <w:tc>
          <w:tcPr>
            <w:tcW w:w="1010" w:type="dxa"/>
            <w:vAlign w:val="bottom"/>
            <w:shd w:val="clear" w:color="auto" w:fill="E6E6E6"/>
          </w:tcPr>
          <w:p>
            <w:pPr>
              <w:jc w:val="right"/>
              <w:ind w:right="53"/>
              <w:spacing w:after="0" w:line="202" w:lineRule="exact"/>
              <w:rPr>
                <w:sz w:val="20"/>
                <w:szCs w:val="20"/>
                <w:color w:val="auto"/>
              </w:rPr>
            </w:pPr>
            <w:r>
              <w:rPr>
                <w:rFonts w:ascii="Arial" w:cs="Arial" w:eastAsia="Arial" w:hAnsi="Arial"/>
                <w:sz w:val="18"/>
                <w:szCs w:val="18"/>
                <w:color w:val="auto"/>
              </w:rPr>
              <w:t>(17.8)</w:t>
            </w:r>
          </w:p>
        </w:tc>
        <w:tc>
          <w:tcPr>
            <w:tcW w:w="250" w:type="dxa"/>
            <w:vAlign w:val="bottom"/>
            <w:shd w:val="clear" w:color="auto" w:fill="E6E6E6"/>
          </w:tcPr>
          <w:p>
            <w:pPr>
              <w:spacing w:after="0"/>
              <w:rPr>
                <w:sz w:val="17"/>
                <w:szCs w:val="17"/>
                <w:color w:val="auto"/>
              </w:rPr>
            </w:pPr>
          </w:p>
        </w:tc>
        <w:tc>
          <w:tcPr>
            <w:tcW w:w="1130" w:type="dxa"/>
            <w:vAlign w:val="bottom"/>
            <w:shd w:val="clear" w:color="auto" w:fill="E6E6E6"/>
          </w:tcPr>
          <w:p>
            <w:pPr>
              <w:jc w:val="right"/>
              <w:ind w:right="193"/>
              <w:spacing w:after="0" w:line="202" w:lineRule="exact"/>
              <w:rPr>
                <w:sz w:val="20"/>
                <w:szCs w:val="20"/>
                <w:color w:val="auto"/>
              </w:rPr>
            </w:pPr>
            <w:r>
              <w:rPr>
                <w:rFonts w:ascii="Arial" w:cs="Arial" w:eastAsia="Arial" w:hAnsi="Arial"/>
                <w:sz w:val="18"/>
                <w:szCs w:val="18"/>
                <w:color w:val="auto"/>
              </w:rPr>
              <w:t>(24.2)</w:t>
            </w:r>
          </w:p>
        </w:tc>
        <w:tc>
          <w:tcPr>
            <w:tcW w:w="220" w:type="dxa"/>
            <w:vAlign w:val="bottom"/>
            <w:shd w:val="clear" w:color="auto" w:fill="E6E6E6"/>
          </w:tcPr>
          <w:p>
            <w:pPr>
              <w:spacing w:after="0"/>
              <w:rPr>
                <w:sz w:val="17"/>
                <w:szCs w:val="17"/>
                <w:color w:val="auto"/>
              </w:rPr>
            </w:pPr>
          </w:p>
        </w:tc>
        <w:tc>
          <w:tcPr>
            <w:tcW w:w="84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(32.9)</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7020" w:type="dxa"/>
            <w:vAlign w:val="bottom"/>
            <w:gridSpan w:val="2"/>
          </w:tcPr>
          <w:p>
            <w:pPr>
              <w:spacing w:after="0"/>
              <w:rPr>
                <w:sz w:val="20"/>
                <w:szCs w:val="20"/>
                <w:color w:val="auto"/>
              </w:rPr>
            </w:pPr>
            <w:r>
              <w:rPr>
                <w:rFonts w:ascii="Arial" w:cs="Arial" w:eastAsia="Arial" w:hAnsi="Arial"/>
                <w:sz w:val="18"/>
                <w:szCs w:val="18"/>
                <w:color w:val="auto"/>
              </w:rPr>
              <w:t>Loss on investments</w:t>
            </w:r>
          </w:p>
        </w:tc>
        <w:tc>
          <w:tcPr>
            <w:tcW w:w="950" w:type="dxa"/>
            <w:vAlign w:val="bottom"/>
          </w:tcPr>
          <w:p>
            <w:pPr>
              <w:spacing w:after="0"/>
              <w:rPr>
                <w:sz w:val="18"/>
                <w:szCs w:val="18"/>
                <w:color w:val="auto"/>
              </w:rPr>
            </w:pPr>
          </w:p>
        </w:tc>
        <w:tc>
          <w:tcPr>
            <w:tcW w:w="1010" w:type="dxa"/>
            <w:vAlign w:val="bottom"/>
          </w:tcPr>
          <w:p>
            <w:pPr>
              <w:jc w:val="right"/>
              <w:ind w:right="53"/>
              <w:spacing w:after="0"/>
              <w:rPr>
                <w:sz w:val="20"/>
                <w:szCs w:val="20"/>
                <w:color w:val="auto"/>
              </w:rPr>
            </w:pPr>
            <w:r>
              <w:rPr>
                <w:rFonts w:ascii="Arial" w:cs="Arial" w:eastAsia="Arial" w:hAnsi="Arial"/>
                <w:sz w:val="18"/>
                <w:szCs w:val="18"/>
                <w:color w:val="auto"/>
              </w:rPr>
              <w:t>(1.5)</w:t>
            </w:r>
          </w:p>
        </w:tc>
        <w:tc>
          <w:tcPr>
            <w:tcW w:w="250" w:type="dxa"/>
            <w:vAlign w:val="bottom"/>
          </w:tcPr>
          <w:p>
            <w:pPr>
              <w:spacing w:after="0"/>
              <w:rPr>
                <w:sz w:val="18"/>
                <w:szCs w:val="18"/>
                <w:color w:val="auto"/>
              </w:rPr>
            </w:pPr>
          </w:p>
        </w:tc>
        <w:tc>
          <w:tcPr>
            <w:tcW w:w="1130" w:type="dxa"/>
            <w:vAlign w:val="bottom"/>
          </w:tcPr>
          <w:p>
            <w:pPr>
              <w:jc w:val="right"/>
              <w:ind w:right="193"/>
              <w:spacing w:after="0"/>
              <w:rPr>
                <w:sz w:val="20"/>
                <w:szCs w:val="20"/>
                <w:color w:val="auto"/>
              </w:rPr>
            </w:pPr>
            <w:r>
              <w:rPr>
                <w:rFonts w:ascii="Arial" w:cs="Arial" w:eastAsia="Arial" w:hAnsi="Arial"/>
                <w:sz w:val="18"/>
                <w:szCs w:val="18"/>
                <w:color w:val="auto"/>
              </w:rPr>
              <w:t>(13.5)</w:t>
            </w:r>
          </w:p>
        </w:tc>
        <w:tc>
          <w:tcPr>
            <w:tcW w:w="22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7"/>
        </w:trPr>
        <w:tc>
          <w:tcPr>
            <w:tcW w:w="7020" w:type="dxa"/>
            <w:vAlign w:val="bottom"/>
            <w:tcBorders>
              <w:bottom w:val="single" w:sz="8" w:color="808080"/>
            </w:tcBorders>
            <w:gridSpan w:val="2"/>
          </w:tcPr>
          <w:p>
            <w:pPr>
              <w:spacing w:after="0"/>
              <w:rPr>
                <w:sz w:val="8"/>
                <w:szCs w:val="8"/>
                <w:color w:val="auto"/>
              </w:rPr>
            </w:pPr>
          </w:p>
        </w:tc>
        <w:tc>
          <w:tcPr>
            <w:tcW w:w="950" w:type="dxa"/>
            <w:vAlign w:val="bottom"/>
            <w:tcBorders>
              <w:bottom w:val="single" w:sz="8" w:color="808080"/>
            </w:tcBorders>
          </w:tcPr>
          <w:p>
            <w:pPr>
              <w:spacing w:after="0"/>
              <w:rPr>
                <w:sz w:val="8"/>
                <w:szCs w:val="8"/>
                <w:color w:val="auto"/>
              </w:rPr>
            </w:pPr>
          </w:p>
        </w:tc>
        <w:tc>
          <w:tcPr>
            <w:tcW w:w="1010" w:type="dxa"/>
            <w:vAlign w:val="bottom"/>
            <w:tcBorders>
              <w:bottom w:val="single" w:sz="8" w:color="808080"/>
            </w:tcBorders>
          </w:tcPr>
          <w:p>
            <w:pPr>
              <w:spacing w:after="0"/>
              <w:rPr>
                <w:sz w:val="8"/>
                <w:szCs w:val="8"/>
                <w:color w:val="auto"/>
              </w:rPr>
            </w:pPr>
          </w:p>
        </w:tc>
        <w:tc>
          <w:tcPr>
            <w:tcW w:w="250" w:type="dxa"/>
            <w:vAlign w:val="bottom"/>
            <w:tcBorders>
              <w:bottom w:val="single" w:sz="8" w:color="808080"/>
            </w:tcBorders>
          </w:tcPr>
          <w:p>
            <w:pPr>
              <w:spacing w:after="0"/>
              <w:rPr>
                <w:sz w:val="8"/>
                <w:szCs w:val="8"/>
                <w:color w:val="auto"/>
              </w:rPr>
            </w:pPr>
          </w:p>
        </w:tc>
        <w:tc>
          <w:tcPr>
            <w:tcW w:w="113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000" w:type="dxa"/>
            <w:vAlign w:val="bottom"/>
          </w:tcPr>
          <w:p>
            <w:pPr>
              <w:spacing w:after="0"/>
              <w:rPr>
                <w:sz w:val="8"/>
                <w:szCs w:val="8"/>
                <w:color w:val="auto"/>
              </w:rPr>
            </w:pPr>
          </w:p>
        </w:tc>
        <w:tc>
          <w:tcPr>
            <w:tcW w:w="950" w:type="dxa"/>
            <w:vAlign w:val="bottom"/>
          </w:tcPr>
          <w:p>
            <w:pPr>
              <w:spacing w:after="0"/>
              <w:rPr>
                <w:sz w:val="8"/>
                <w:szCs w:val="8"/>
                <w:color w:val="auto"/>
              </w:rPr>
            </w:pPr>
          </w:p>
        </w:tc>
        <w:tc>
          <w:tcPr>
            <w:tcW w:w="1010" w:type="dxa"/>
            <w:vAlign w:val="bottom"/>
          </w:tcPr>
          <w:p>
            <w:pPr>
              <w:spacing w:after="0"/>
              <w:rPr>
                <w:sz w:val="8"/>
                <w:szCs w:val="8"/>
                <w:color w:val="auto"/>
              </w:rPr>
            </w:pPr>
          </w:p>
        </w:tc>
        <w:tc>
          <w:tcPr>
            <w:tcW w:w="250" w:type="dxa"/>
            <w:vAlign w:val="bottom"/>
          </w:tcPr>
          <w:p>
            <w:pPr>
              <w:spacing w:after="0"/>
              <w:rPr>
                <w:sz w:val="8"/>
                <w:szCs w:val="8"/>
                <w:color w:val="auto"/>
              </w:rPr>
            </w:pPr>
          </w:p>
        </w:tc>
        <w:tc>
          <w:tcPr>
            <w:tcW w:w="113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000" w:type="dxa"/>
            <w:vAlign w:val="bottom"/>
            <w:shd w:val="clear" w:color="auto" w:fill="E6E6E6"/>
          </w:tcPr>
          <w:p>
            <w:pPr>
              <w:spacing w:after="0" w:line="202" w:lineRule="exact"/>
              <w:rPr>
                <w:sz w:val="20"/>
                <w:szCs w:val="20"/>
                <w:color w:val="auto"/>
              </w:rPr>
            </w:pPr>
            <w:r>
              <w:rPr>
                <w:rFonts w:ascii="Arial" w:cs="Arial" w:eastAsia="Arial" w:hAnsi="Arial"/>
                <w:sz w:val="18"/>
                <w:szCs w:val="18"/>
                <w:b w:val="1"/>
                <w:bCs w:val="1"/>
                <w:color w:val="auto"/>
              </w:rPr>
              <w:t>Earnings from continuing operations before income taxes</w:t>
            </w:r>
          </w:p>
        </w:tc>
        <w:tc>
          <w:tcPr>
            <w:tcW w:w="950" w:type="dxa"/>
            <w:vAlign w:val="bottom"/>
            <w:shd w:val="clear" w:color="auto" w:fill="E6E6E6"/>
          </w:tcPr>
          <w:p>
            <w:pPr>
              <w:spacing w:after="0"/>
              <w:rPr>
                <w:sz w:val="17"/>
                <w:szCs w:val="17"/>
                <w:color w:val="auto"/>
              </w:rPr>
            </w:pPr>
          </w:p>
        </w:tc>
        <w:tc>
          <w:tcPr>
            <w:tcW w:w="1010" w:type="dxa"/>
            <w:vAlign w:val="bottom"/>
            <w:shd w:val="clear" w:color="auto" w:fill="E6E6E6"/>
          </w:tcPr>
          <w:p>
            <w:pPr>
              <w:jc w:val="right"/>
              <w:ind w:right="113"/>
              <w:spacing w:after="0" w:line="202" w:lineRule="exact"/>
              <w:rPr>
                <w:sz w:val="20"/>
                <w:szCs w:val="20"/>
                <w:color w:val="auto"/>
              </w:rPr>
            </w:pPr>
            <w:r>
              <w:rPr>
                <w:rFonts w:ascii="Arial" w:cs="Arial" w:eastAsia="Arial" w:hAnsi="Arial"/>
                <w:sz w:val="18"/>
                <w:szCs w:val="18"/>
                <w:b w:val="1"/>
                <w:bCs w:val="1"/>
                <w:color w:val="auto"/>
              </w:rPr>
              <w:t>111.6</w:t>
            </w:r>
          </w:p>
        </w:tc>
        <w:tc>
          <w:tcPr>
            <w:tcW w:w="250" w:type="dxa"/>
            <w:vAlign w:val="bottom"/>
            <w:shd w:val="clear" w:color="auto" w:fill="E6E6E6"/>
          </w:tcPr>
          <w:p>
            <w:pPr>
              <w:spacing w:after="0"/>
              <w:rPr>
                <w:sz w:val="17"/>
                <w:szCs w:val="17"/>
                <w:color w:val="auto"/>
              </w:rPr>
            </w:pPr>
          </w:p>
        </w:tc>
        <w:tc>
          <w:tcPr>
            <w:tcW w:w="1130" w:type="dxa"/>
            <w:vAlign w:val="bottom"/>
            <w:shd w:val="clear" w:color="auto" w:fill="E6E6E6"/>
          </w:tcPr>
          <w:p>
            <w:pPr>
              <w:jc w:val="right"/>
              <w:ind w:right="253"/>
              <w:spacing w:after="0" w:line="202" w:lineRule="exact"/>
              <w:rPr>
                <w:sz w:val="20"/>
                <w:szCs w:val="20"/>
                <w:color w:val="auto"/>
              </w:rPr>
            </w:pPr>
            <w:r>
              <w:rPr>
                <w:rFonts w:ascii="Arial" w:cs="Arial" w:eastAsia="Arial" w:hAnsi="Arial"/>
                <w:sz w:val="18"/>
                <w:szCs w:val="18"/>
                <w:b w:val="1"/>
                <w:bCs w:val="1"/>
                <w:color w:val="auto"/>
              </w:rPr>
              <w:t>34.6</w:t>
            </w:r>
          </w:p>
        </w:tc>
        <w:tc>
          <w:tcPr>
            <w:tcW w:w="220" w:type="dxa"/>
            <w:vAlign w:val="bottom"/>
            <w:shd w:val="clear" w:color="auto" w:fill="E6E6E6"/>
          </w:tcPr>
          <w:p>
            <w:pPr>
              <w:spacing w:after="0"/>
              <w:rPr>
                <w:sz w:val="17"/>
                <w:szCs w:val="17"/>
                <w:color w:val="auto"/>
              </w:rPr>
            </w:pPr>
          </w:p>
        </w:tc>
        <w:tc>
          <w:tcPr>
            <w:tcW w:w="840" w:type="dxa"/>
            <w:vAlign w:val="bottom"/>
            <w:shd w:val="clear" w:color="auto" w:fill="E6E6E6"/>
          </w:tcPr>
          <w:p>
            <w:pPr>
              <w:jc w:val="right"/>
              <w:ind w:right="33"/>
              <w:spacing w:after="0" w:line="202" w:lineRule="exact"/>
              <w:rPr>
                <w:sz w:val="20"/>
                <w:szCs w:val="20"/>
                <w:color w:val="auto"/>
              </w:rPr>
            </w:pPr>
            <w:r>
              <w:rPr>
                <w:rFonts w:ascii="Arial" w:cs="Arial" w:eastAsia="Arial" w:hAnsi="Arial"/>
                <w:sz w:val="18"/>
                <w:szCs w:val="18"/>
                <w:b w:val="1"/>
                <w:bCs w:val="1"/>
                <w:color w:val="auto"/>
              </w:rPr>
              <w:t>186.2</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7020" w:type="dxa"/>
            <w:vAlign w:val="bottom"/>
            <w:gridSpan w:val="2"/>
          </w:tcPr>
          <w:p>
            <w:pPr>
              <w:spacing w:after="0"/>
              <w:rPr>
                <w:sz w:val="20"/>
                <w:szCs w:val="20"/>
                <w:color w:val="auto"/>
              </w:rPr>
            </w:pPr>
            <w:r>
              <w:rPr>
                <w:rFonts w:ascii="Arial" w:cs="Arial" w:eastAsia="Arial" w:hAnsi="Arial"/>
                <w:sz w:val="18"/>
                <w:szCs w:val="18"/>
                <w:color w:val="auto"/>
              </w:rPr>
              <w:t>Provision for income taxes</w:t>
            </w:r>
          </w:p>
        </w:tc>
        <w:tc>
          <w:tcPr>
            <w:tcW w:w="950" w:type="dxa"/>
            <w:vAlign w:val="bottom"/>
          </w:tcPr>
          <w:p>
            <w:pPr>
              <w:spacing w:after="0"/>
              <w:rPr>
                <w:sz w:val="18"/>
                <w:szCs w:val="18"/>
                <w:color w:val="auto"/>
              </w:rPr>
            </w:pPr>
          </w:p>
        </w:tc>
        <w:tc>
          <w:tcPr>
            <w:tcW w:w="1010" w:type="dxa"/>
            <w:vAlign w:val="bottom"/>
          </w:tcPr>
          <w:p>
            <w:pPr>
              <w:jc w:val="right"/>
              <w:ind w:right="113"/>
              <w:spacing w:after="0"/>
              <w:rPr>
                <w:sz w:val="20"/>
                <w:szCs w:val="20"/>
                <w:color w:val="auto"/>
              </w:rPr>
            </w:pPr>
            <w:r>
              <w:rPr>
                <w:rFonts w:ascii="Arial" w:cs="Arial" w:eastAsia="Arial" w:hAnsi="Arial"/>
                <w:sz w:val="18"/>
                <w:szCs w:val="18"/>
                <w:color w:val="auto"/>
              </w:rPr>
              <w:t>52.9</w:t>
            </w:r>
          </w:p>
        </w:tc>
        <w:tc>
          <w:tcPr>
            <w:tcW w:w="250" w:type="dxa"/>
            <w:vAlign w:val="bottom"/>
          </w:tcPr>
          <w:p>
            <w:pPr>
              <w:spacing w:after="0"/>
              <w:rPr>
                <w:sz w:val="18"/>
                <w:szCs w:val="18"/>
                <w:color w:val="auto"/>
              </w:rPr>
            </w:pPr>
          </w:p>
        </w:tc>
        <w:tc>
          <w:tcPr>
            <w:tcW w:w="1130" w:type="dxa"/>
            <w:vAlign w:val="bottom"/>
          </w:tcPr>
          <w:p>
            <w:pPr>
              <w:jc w:val="right"/>
              <w:ind w:right="253"/>
              <w:spacing w:after="0"/>
              <w:rPr>
                <w:sz w:val="20"/>
                <w:szCs w:val="20"/>
                <w:color w:val="auto"/>
              </w:rPr>
            </w:pPr>
            <w:r>
              <w:rPr>
                <w:rFonts w:ascii="Arial" w:cs="Arial" w:eastAsia="Arial" w:hAnsi="Arial"/>
                <w:sz w:val="18"/>
                <w:szCs w:val="18"/>
                <w:color w:val="auto"/>
              </w:rPr>
              <w:t>21.4</w:t>
            </w:r>
          </w:p>
        </w:tc>
        <w:tc>
          <w:tcPr>
            <w:tcW w:w="220" w:type="dxa"/>
            <w:vAlign w:val="bottom"/>
          </w:tcPr>
          <w:p>
            <w:pPr>
              <w:spacing w:after="0"/>
              <w:rPr>
                <w:sz w:val="18"/>
                <w:szCs w:val="18"/>
                <w:color w:val="auto"/>
              </w:rPr>
            </w:pP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68.9</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7"/>
        </w:trPr>
        <w:tc>
          <w:tcPr>
            <w:tcW w:w="7020" w:type="dxa"/>
            <w:vAlign w:val="bottom"/>
            <w:tcBorders>
              <w:bottom w:val="single" w:sz="8" w:color="808080"/>
            </w:tcBorders>
            <w:gridSpan w:val="2"/>
          </w:tcPr>
          <w:p>
            <w:pPr>
              <w:spacing w:after="0"/>
              <w:rPr>
                <w:sz w:val="8"/>
                <w:szCs w:val="8"/>
                <w:color w:val="auto"/>
              </w:rPr>
            </w:pPr>
          </w:p>
        </w:tc>
        <w:tc>
          <w:tcPr>
            <w:tcW w:w="950" w:type="dxa"/>
            <w:vAlign w:val="bottom"/>
            <w:tcBorders>
              <w:bottom w:val="single" w:sz="8" w:color="808080"/>
            </w:tcBorders>
          </w:tcPr>
          <w:p>
            <w:pPr>
              <w:spacing w:after="0"/>
              <w:rPr>
                <w:sz w:val="8"/>
                <w:szCs w:val="8"/>
                <w:color w:val="auto"/>
              </w:rPr>
            </w:pPr>
          </w:p>
        </w:tc>
        <w:tc>
          <w:tcPr>
            <w:tcW w:w="1010" w:type="dxa"/>
            <w:vAlign w:val="bottom"/>
            <w:tcBorders>
              <w:bottom w:val="single" w:sz="8" w:color="808080"/>
            </w:tcBorders>
          </w:tcPr>
          <w:p>
            <w:pPr>
              <w:spacing w:after="0"/>
              <w:rPr>
                <w:sz w:val="8"/>
                <w:szCs w:val="8"/>
                <w:color w:val="auto"/>
              </w:rPr>
            </w:pPr>
          </w:p>
        </w:tc>
        <w:tc>
          <w:tcPr>
            <w:tcW w:w="250" w:type="dxa"/>
            <w:vAlign w:val="bottom"/>
            <w:tcBorders>
              <w:bottom w:val="single" w:sz="8" w:color="808080"/>
            </w:tcBorders>
          </w:tcPr>
          <w:p>
            <w:pPr>
              <w:spacing w:after="0"/>
              <w:rPr>
                <w:sz w:val="8"/>
                <w:szCs w:val="8"/>
                <w:color w:val="auto"/>
              </w:rPr>
            </w:pPr>
          </w:p>
        </w:tc>
        <w:tc>
          <w:tcPr>
            <w:tcW w:w="113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000" w:type="dxa"/>
            <w:vAlign w:val="bottom"/>
          </w:tcPr>
          <w:p>
            <w:pPr>
              <w:spacing w:after="0"/>
              <w:rPr>
                <w:sz w:val="8"/>
                <w:szCs w:val="8"/>
                <w:color w:val="auto"/>
              </w:rPr>
            </w:pPr>
          </w:p>
        </w:tc>
        <w:tc>
          <w:tcPr>
            <w:tcW w:w="950" w:type="dxa"/>
            <w:vAlign w:val="bottom"/>
          </w:tcPr>
          <w:p>
            <w:pPr>
              <w:spacing w:after="0"/>
              <w:rPr>
                <w:sz w:val="8"/>
                <w:szCs w:val="8"/>
                <w:color w:val="auto"/>
              </w:rPr>
            </w:pPr>
          </w:p>
        </w:tc>
        <w:tc>
          <w:tcPr>
            <w:tcW w:w="1010" w:type="dxa"/>
            <w:vAlign w:val="bottom"/>
          </w:tcPr>
          <w:p>
            <w:pPr>
              <w:spacing w:after="0"/>
              <w:rPr>
                <w:sz w:val="8"/>
                <w:szCs w:val="8"/>
                <w:color w:val="auto"/>
              </w:rPr>
            </w:pPr>
          </w:p>
        </w:tc>
        <w:tc>
          <w:tcPr>
            <w:tcW w:w="250" w:type="dxa"/>
            <w:vAlign w:val="bottom"/>
          </w:tcPr>
          <w:p>
            <w:pPr>
              <w:spacing w:after="0"/>
              <w:rPr>
                <w:sz w:val="8"/>
                <w:szCs w:val="8"/>
                <w:color w:val="auto"/>
              </w:rPr>
            </w:pPr>
          </w:p>
        </w:tc>
        <w:tc>
          <w:tcPr>
            <w:tcW w:w="113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000" w:type="dxa"/>
            <w:vAlign w:val="bottom"/>
            <w:shd w:val="clear" w:color="auto" w:fill="E6E6E6"/>
          </w:tcPr>
          <w:p>
            <w:pPr>
              <w:spacing w:after="0" w:line="202" w:lineRule="exact"/>
              <w:rPr>
                <w:sz w:val="20"/>
                <w:szCs w:val="20"/>
                <w:color w:val="auto"/>
              </w:rPr>
            </w:pPr>
            <w:r>
              <w:rPr>
                <w:rFonts w:ascii="Arial" w:cs="Arial" w:eastAsia="Arial" w:hAnsi="Arial"/>
                <w:sz w:val="18"/>
                <w:szCs w:val="18"/>
                <w:b w:val="1"/>
                <w:bCs w:val="1"/>
                <w:color w:val="auto"/>
              </w:rPr>
              <w:t>Earnings from continuing operations</w:t>
            </w:r>
          </w:p>
        </w:tc>
        <w:tc>
          <w:tcPr>
            <w:tcW w:w="950" w:type="dxa"/>
            <w:vAlign w:val="bottom"/>
            <w:shd w:val="clear" w:color="auto" w:fill="E6E6E6"/>
          </w:tcPr>
          <w:p>
            <w:pPr>
              <w:spacing w:after="0"/>
              <w:rPr>
                <w:sz w:val="17"/>
                <w:szCs w:val="17"/>
                <w:color w:val="auto"/>
              </w:rPr>
            </w:pPr>
          </w:p>
        </w:tc>
        <w:tc>
          <w:tcPr>
            <w:tcW w:w="1010" w:type="dxa"/>
            <w:vAlign w:val="bottom"/>
            <w:shd w:val="clear" w:color="auto" w:fill="E6E6E6"/>
          </w:tcPr>
          <w:p>
            <w:pPr>
              <w:jc w:val="right"/>
              <w:ind w:right="113"/>
              <w:spacing w:after="0" w:line="202" w:lineRule="exact"/>
              <w:rPr>
                <w:sz w:val="20"/>
                <w:szCs w:val="20"/>
                <w:color w:val="auto"/>
              </w:rPr>
            </w:pPr>
            <w:r>
              <w:rPr>
                <w:rFonts w:ascii="Arial" w:cs="Arial" w:eastAsia="Arial" w:hAnsi="Arial"/>
                <w:sz w:val="18"/>
                <w:szCs w:val="18"/>
                <w:b w:val="1"/>
                <w:bCs w:val="1"/>
                <w:color w:val="auto"/>
              </w:rPr>
              <w:t>58.7</w:t>
            </w:r>
          </w:p>
        </w:tc>
        <w:tc>
          <w:tcPr>
            <w:tcW w:w="250" w:type="dxa"/>
            <w:vAlign w:val="bottom"/>
            <w:shd w:val="clear" w:color="auto" w:fill="E6E6E6"/>
          </w:tcPr>
          <w:p>
            <w:pPr>
              <w:spacing w:after="0"/>
              <w:rPr>
                <w:sz w:val="17"/>
                <w:szCs w:val="17"/>
                <w:color w:val="auto"/>
              </w:rPr>
            </w:pPr>
          </w:p>
        </w:tc>
        <w:tc>
          <w:tcPr>
            <w:tcW w:w="1130" w:type="dxa"/>
            <w:vAlign w:val="bottom"/>
            <w:shd w:val="clear" w:color="auto" w:fill="E6E6E6"/>
          </w:tcPr>
          <w:p>
            <w:pPr>
              <w:jc w:val="right"/>
              <w:ind w:right="253"/>
              <w:spacing w:after="0" w:line="202" w:lineRule="exact"/>
              <w:rPr>
                <w:sz w:val="20"/>
                <w:szCs w:val="20"/>
                <w:color w:val="auto"/>
              </w:rPr>
            </w:pPr>
            <w:r>
              <w:rPr>
                <w:rFonts w:ascii="Arial" w:cs="Arial" w:eastAsia="Arial" w:hAnsi="Arial"/>
                <w:sz w:val="18"/>
                <w:szCs w:val="18"/>
                <w:b w:val="1"/>
                <w:bCs w:val="1"/>
                <w:color w:val="auto"/>
              </w:rPr>
              <w:t>13.2</w:t>
            </w:r>
          </w:p>
        </w:tc>
        <w:tc>
          <w:tcPr>
            <w:tcW w:w="220" w:type="dxa"/>
            <w:vAlign w:val="bottom"/>
            <w:shd w:val="clear" w:color="auto" w:fill="E6E6E6"/>
          </w:tcPr>
          <w:p>
            <w:pPr>
              <w:spacing w:after="0"/>
              <w:rPr>
                <w:sz w:val="17"/>
                <w:szCs w:val="17"/>
                <w:color w:val="auto"/>
              </w:rPr>
            </w:pPr>
          </w:p>
        </w:tc>
        <w:tc>
          <w:tcPr>
            <w:tcW w:w="840" w:type="dxa"/>
            <w:vAlign w:val="bottom"/>
            <w:shd w:val="clear" w:color="auto" w:fill="E6E6E6"/>
          </w:tcPr>
          <w:p>
            <w:pPr>
              <w:jc w:val="right"/>
              <w:ind w:right="33"/>
              <w:spacing w:after="0" w:line="202" w:lineRule="exact"/>
              <w:rPr>
                <w:sz w:val="20"/>
                <w:szCs w:val="20"/>
                <w:color w:val="auto"/>
              </w:rPr>
            </w:pPr>
            <w:r>
              <w:rPr>
                <w:rFonts w:ascii="Arial" w:cs="Arial" w:eastAsia="Arial" w:hAnsi="Arial"/>
                <w:sz w:val="18"/>
                <w:szCs w:val="18"/>
                <w:b w:val="1"/>
                <w:bCs w:val="1"/>
                <w:color w:val="auto"/>
              </w:rPr>
              <w:t>117.3</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63"/>
        </w:trPr>
        <w:tc>
          <w:tcPr>
            <w:tcW w:w="7020" w:type="dxa"/>
            <w:vAlign w:val="bottom"/>
            <w:gridSpan w:val="2"/>
          </w:tcPr>
          <w:p>
            <w:pPr>
              <w:spacing w:after="0"/>
              <w:rPr>
                <w:sz w:val="20"/>
                <w:szCs w:val="20"/>
                <w:color w:val="auto"/>
              </w:rPr>
            </w:pPr>
            <w:r>
              <w:rPr>
                <w:rFonts w:ascii="Arial" w:cs="Arial" w:eastAsia="Arial" w:hAnsi="Arial"/>
                <w:sz w:val="18"/>
                <w:szCs w:val="18"/>
                <w:b w:val="1"/>
                <w:bCs w:val="1"/>
                <w:color w:val="auto"/>
              </w:rPr>
              <w:t>Loss from discontinued operations, net of tax</w:t>
            </w:r>
          </w:p>
        </w:tc>
        <w:tc>
          <w:tcPr>
            <w:tcW w:w="950" w:type="dxa"/>
            <w:vAlign w:val="bottom"/>
          </w:tcPr>
          <w:p>
            <w:pPr>
              <w:spacing w:after="0"/>
              <w:rPr>
                <w:sz w:val="24"/>
                <w:szCs w:val="24"/>
                <w:color w:val="auto"/>
              </w:rPr>
            </w:pPr>
          </w:p>
        </w:tc>
        <w:tc>
          <w:tcPr>
            <w:tcW w:w="1010" w:type="dxa"/>
            <w:vAlign w:val="bottom"/>
          </w:tcPr>
          <w:p>
            <w:pPr>
              <w:jc w:val="right"/>
              <w:ind w:right="53"/>
              <w:spacing w:after="0"/>
              <w:rPr>
                <w:sz w:val="20"/>
                <w:szCs w:val="20"/>
                <w:color w:val="auto"/>
              </w:rPr>
            </w:pPr>
            <w:r>
              <w:rPr>
                <w:rFonts w:ascii="Arial" w:cs="Arial" w:eastAsia="Arial" w:hAnsi="Arial"/>
                <w:sz w:val="18"/>
                <w:szCs w:val="18"/>
                <w:b w:val="1"/>
                <w:bCs w:val="1"/>
                <w:color w:val="auto"/>
              </w:rPr>
              <w:t>(2.6)</w:t>
            </w:r>
          </w:p>
        </w:tc>
        <w:tc>
          <w:tcPr>
            <w:tcW w:w="250" w:type="dxa"/>
            <w:vAlign w:val="bottom"/>
          </w:tcPr>
          <w:p>
            <w:pPr>
              <w:spacing w:after="0"/>
              <w:rPr>
                <w:sz w:val="24"/>
                <w:szCs w:val="24"/>
                <w:color w:val="auto"/>
              </w:rPr>
            </w:pPr>
          </w:p>
        </w:tc>
        <w:tc>
          <w:tcPr>
            <w:tcW w:w="1130" w:type="dxa"/>
            <w:vAlign w:val="bottom"/>
          </w:tcPr>
          <w:p>
            <w:pPr>
              <w:jc w:val="right"/>
              <w:ind w:right="193"/>
              <w:spacing w:after="0"/>
              <w:rPr>
                <w:sz w:val="20"/>
                <w:szCs w:val="20"/>
                <w:color w:val="auto"/>
              </w:rPr>
            </w:pPr>
            <w:r>
              <w:rPr>
                <w:rFonts w:ascii="Arial" w:cs="Arial" w:eastAsia="Arial" w:hAnsi="Arial"/>
                <w:sz w:val="18"/>
                <w:szCs w:val="18"/>
                <w:b w:val="1"/>
                <w:bCs w:val="1"/>
                <w:color w:val="auto"/>
              </w:rPr>
              <w:t>(27.5)</w:t>
            </w:r>
          </w:p>
        </w:tc>
        <w:tc>
          <w:tcPr>
            <w:tcW w:w="2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(134.5)</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7020" w:type="dxa"/>
            <w:vAlign w:val="bottom"/>
            <w:tcBorders>
              <w:bottom w:val="single" w:sz="8" w:color="808080"/>
            </w:tcBorders>
            <w:gridSpan w:val="2"/>
          </w:tcPr>
          <w:p>
            <w:pPr>
              <w:spacing w:after="0"/>
              <w:rPr>
                <w:sz w:val="8"/>
                <w:szCs w:val="8"/>
                <w:color w:val="auto"/>
              </w:rPr>
            </w:pPr>
          </w:p>
        </w:tc>
        <w:tc>
          <w:tcPr>
            <w:tcW w:w="950" w:type="dxa"/>
            <w:vAlign w:val="bottom"/>
            <w:tcBorders>
              <w:bottom w:val="single" w:sz="8" w:color="808080"/>
            </w:tcBorders>
          </w:tcPr>
          <w:p>
            <w:pPr>
              <w:spacing w:after="0"/>
              <w:rPr>
                <w:sz w:val="8"/>
                <w:szCs w:val="8"/>
                <w:color w:val="auto"/>
              </w:rPr>
            </w:pPr>
          </w:p>
        </w:tc>
        <w:tc>
          <w:tcPr>
            <w:tcW w:w="1010" w:type="dxa"/>
            <w:vAlign w:val="bottom"/>
            <w:tcBorders>
              <w:bottom w:val="single" w:sz="8" w:color="808080"/>
            </w:tcBorders>
          </w:tcPr>
          <w:p>
            <w:pPr>
              <w:spacing w:after="0"/>
              <w:rPr>
                <w:sz w:val="8"/>
                <w:szCs w:val="8"/>
                <w:color w:val="auto"/>
              </w:rPr>
            </w:pPr>
          </w:p>
        </w:tc>
        <w:tc>
          <w:tcPr>
            <w:tcW w:w="250" w:type="dxa"/>
            <w:vAlign w:val="bottom"/>
            <w:tcBorders>
              <w:bottom w:val="single" w:sz="8" w:color="808080"/>
            </w:tcBorders>
          </w:tcPr>
          <w:p>
            <w:pPr>
              <w:spacing w:after="0"/>
              <w:rPr>
                <w:sz w:val="8"/>
                <w:szCs w:val="8"/>
                <w:color w:val="auto"/>
              </w:rPr>
            </w:pPr>
          </w:p>
        </w:tc>
        <w:tc>
          <w:tcPr>
            <w:tcW w:w="113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vMerge w:val="restart"/>
          </w:tcPr>
          <w:p>
            <w:pPr>
              <w:spacing w:after="0"/>
              <w:rPr>
                <w:sz w:val="21"/>
                <w:szCs w:val="21"/>
                <w:color w:val="auto"/>
              </w:rPr>
            </w:pPr>
          </w:p>
        </w:tc>
        <w:tc>
          <w:tcPr>
            <w:tcW w:w="7000" w:type="dxa"/>
            <w:vAlign w:val="bottom"/>
          </w:tcPr>
          <w:p>
            <w:pPr>
              <w:spacing w:after="0"/>
              <w:rPr>
                <w:sz w:val="21"/>
                <w:szCs w:val="21"/>
                <w:color w:val="auto"/>
              </w:rPr>
            </w:pPr>
          </w:p>
        </w:tc>
        <w:tc>
          <w:tcPr>
            <w:tcW w:w="950" w:type="dxa"/>
            <w:vAlign w:val="bottom"/>
          </w:tcPr>
          <w:p>
            <w:pPr>
              <w:spacing w:after="0"/>
              <w:rPr>
                <w:sz w:val="21"/>
                <w:szCs w:val="21"/>
                <w:color w:val="auto"/>
              </w:rPr>
            </w:pPr>
          </w:p>
        </w:tc>
        <w:tc>
          <w:tcPr>
            <w:tcW w:w="1010" w:type="dxa"/>
            <w:vAlign w:val="bottom"/>
          </w:tcPr>
          <w:p>
            <w:pPr>
              <w:spacing w:after="0"/>
              <w:rPr>
                <w:sz w:val="21"/>
                <w:szCs w:val="21"/>
                <w:color w:val="auto"/>
              </w:rPr>
            </w:pPr>
          </w:p>
        </w:tc>
        <w:tc>
          <w:tcPr>
            <w:tcW w:w="250" w:type="dxa"/>
            <w:vAlign w:val="bottom"/>
          </w:tcPr>
          <w:p>
            <w:pPr>
              <w:spacing w:after="0"/>
              <w:rPr>
                <w:sz w:val="21"/>
                <w:szCs w:val="21"/>
                <w:color w:val="auto"/>
              </w:rPr>
            </w:pPr>
          </w:p>
        </w:tc>
        <w:tc>
          <w:tcPr>
            <w:tcW w:w="113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000" w:type="dxa"/>
            <w:vAlign w:val="bottom"/>
            <w:shd w:val="clear" w:color="auto" w:fill="E6E6E6"/>
          </w:tcPr>
          <w:p>
            <w:pPr>
              <w:spacing w:after="0" w:line="202" w:lineRule="exact"/>
              <w:rPr>
                <w:sz w:val="20"/>
                <w:szCs w:val="20"/>
                <w:color w:val="auto"/>
              </w:rPr>
            </w:pPr>
            <w:r>
              <w:rPr>
                <w:rFonts w:ascii="Arial" w:cs="Arial" w:eastAsia="Arial" w:hAnsi="Arial"/>
                <w:sz w:val="18"/>
                <w:szCs w:val="18"/>
                <w:b w:val="1"/>
                <w:bCs w:val="1"/>
                <w:color w:val="auto"/>
              </w:rPr>
              <w:t>Net income (loss)</w:t>
            </w:r>
          </w:p>
        </w:tc>
        <w:tc>
          <w:tcPr>
            <w:tcW w:w="95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1010" w:type="dxa"/>
            <w:vAlign w:val="bottom"/>
            <w:shd w:val="clear" w:color="auto" w:fill="E6E6E6"/>
          </w:tcPr>
          <w:p>
            <w:pPr>
              <w:jc w:val="right"/>
              <w:ind w:right="113"/>
              <w:spacing w:after="0" w:line="202" w:lineRule="exact"/>
              <w:rPr>
                <w:sz w:val="20"/>
                <w:szCs w:val="20"/>
                <w:color w:val="auto"/>
              </w:rPr>
            </w:pPr>
            <w:r>
              <w:rPr>
                <w:rFonts w:ascii="Arial" w:cs="Arial" w:eastAsia="Arial" w:hAnsi="Arial"/>
                <w:sz w:val="18"/>
                <w:szCs w:val="18"/>
                <w:b w:val="1"/>
                <w:bCs w:val="1"/>
                <w:color w:val="auto"/>
              </w:rPr>
              <w:t>56.1</w:t>
            </w:r>
          </w:p>
        </w:tc>
        <w:tc>
          <w:tcPr>
            <w:tcW w:w="25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1130" w:type="dxa"/>
            <w:vAlign w:val="bottom"/>
            <w:shd w:val="clear" w:color="auto" w:fill="E6E6E6"/>
          </w:tcPr>
          <w:p>
            <w:pPr>
              <w:jc w:val="right"/>
              <w:ind w:right="193"/>
              <w:spacing w:after="0" w:line="202" w:lineRule="exact"/>
              <w:rPr>
                <w:sz w:val="20"/>
                <w:szCs w:val="20"/>
                <w:color w:val="auto"/>
              </w:rPr>
            </w:pPr>
            <w:r>
              <w:rPr>
                <w:rFonts w:ascii="Arial" w:cs="Arial" w:eastAsia="Arial" w:hAnsi="Arial"/>
                <w:sz w:val="18"/>
                <w:szCs w:val="18"/>
                <w:b w:val="1"/>
                <w:bCs w:val="1"/>
                <w:color w:val="auto"/>
              </w:rPr>
              <w:t>(14.3)</w:t>
            </w:r>
          </w:p>
        </w:tc>
        <w:tc>
          <w:tcPr>
            <w:tcW w:w="220" w:type="dxa"/>
            <w:vAlign w:val="bottom"/>
            <w:shd w:val="clear" w:color="auto" w:fill="E6E6E6"/>
          </w:tcPr>
          <w:p>
            <w:pPr>
              <w:jc w:val="right"/>
              <w:ind w:right="32"/>
              <w:spacing w:after="0" w:line="202" w:lineRule="exact"/>
              <w:rPr>
                <w:sz w:val="20"/>
                <w:szCs w:val="20"/>
                <w:color w:val="auto"/>
              </w:rPr>
            </w:pPr>
            <w:r>
              <w:rPr>
                <w:rFonts w:ascii="Arial" w:cs="Arial" w:eastAsia="Arial" w:hAnsi="Arial"/>
                <w:sz w:val="18"/>
                <w:szCs w:val="18"/>
                <w:b w:val="1"/>
                <w:bCs w:val="1"/>
                <w:color w:val="auto"/>
                <w:w w:val="79"/>
              </w:rPr>
              <w:t>$</w:t>
            </w:r>
          </w:p>
        </w:tc>
        <w:tc>
          <w:tcPr>
            <w:tcW w:w="84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b w:val="1"/>
                <w:bCs w:val="1"/>
                <w:color w:val="auto"/>
              </w:rPr>
              <w:t>(17.2)</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2"/>
        </w:trPr>
        <w:tc>
          <w:tcPr>
            <w:tcW w:w="7020" w:type="dxa"/>
            <w:vAlign w:val="bottom"/>
            <w:tcBorders>
              <w:bottom w:val="single" w:sz="8" w:color="808080"/>
            </w:tcBorders>
            <w:gridSpan w:val="2"/>
          </w:tcPr>
          <w:p>
            <w:pPr>
              <w:spacing w:after="0"/>
              <w:rPr>
                <w:sz w:val="11"/>
                <w:szCs w:val="11"/>
                <w:color w:val="auto"/>
              </w:rPr>
            </w:pPr>
          </w:p>
        </w:tc>
        <w:tc>
          <w:tcPr>
            <w:tcW w:w="950" w:type="dxa"/>
            <w:vAlign w:val="bottom"/>
            <w:tcBorders>
              <w:bottom w:val="single" w:sz="8" w:color="808080"/>
            </w:tcBorders>
          </w:tcPr>
          <w:p>
            <w:pPr>
              <w:spacing w:after="0"/>
              <w:rPr>
                <w:sz w:val="11"/>
                <w:szCs w:val="11"/>
                <w:color w:val="auto"/>
              </w:rPr>
            </w:pPr>
          </w:p>
        </w:tc>
        <w:tc>
          <w:tcPr>
            <w:tcW w:w="1010" w:type="dxa"/>
            <w:vAlign w:val="bottom"/>
            <w:tcBorders>
              <w:bottom w:val="single" w:sz="8" w:color="808080"/>
            </w:tcBorders>
          </w:tcPr>
          <w:p>
            <w:pPr>
              <w:spacing w:after="0"/>
              <w:rPr>
                <w:sz w:val="11"/>
                <w:szCs w:val="11"/>
                <w:color w:val="auto"/>
              </w:rPr>
            </w:pPr>
          </w:p>
        </w:tc>
        <w:tc>
          <w:tcPr>
            <w:tcW w:w="250" w:type="dxa"/>
            <w:vAlign w:val="bottom"/>
            <w:tcBorders>
              <w:bottom w:val="single" w:sz="8" w:color="808080"/>
            </w:tcBorders>
          </w:tcPr>
          <w:p>
            <w:pPr>
              <w:spacing w:after="0"/>
              <w:rPr>
                <w:sz w:val="11"/>
                <w:szCs w:val="11"/>
                <w:color w:val="auto"/>
              </w:rPr>
            </w:pPr>
          </w:p>
        </w:tc>
        <w:tc>
          <w:tcPr>
            <w:tcW w:w="113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8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319"/>
        </w:trPr>
        <w:tc>
          <w:tcPr>
            <w:tcW w:w="7020" w:type="dxa"/>
            <w:vAlign w:val="bottom"/>
            <w:gridSpan w:val="2"/>
          </w:tcPr>
          <w:p>
            <w:pPr>
              <w:spacing w:after="0"/>
              <w:rPr>
                <w:sz w:val="20"/>
                <w:szCs w:val="20"/>
                <w:color w:val="auto"/>
              </w:rPr>
            </w:pPr>
            <w:r>
              <w:rPr>
                <w:rFonts w:ascii="Arial" w:cs="Arial" w:eastAsia="Arial" w:hAnsi="Arial"/>
                <w:sz w:val="18"/>
                <w:szCs w:val="18"/>
                <w:b w:val="1"/>
                <w:bCs w:val="1"/>
                <w:color w:val="auto"/>
              </w:rPr>
              <w:t>Basic and diluted earnings (loss) per share of Class A and Common Stock</w:t>
            </w:r>
          </w:p>
        </w:tc>
        <w:tc>
          <w:tcPr>
            <w:tcW w:w="950" w:type="dxa"/>
            <w:vAlign w:val="bottom"/>
          </w:tcPr>
          <w:p>
            <w:pPr>
              <w:spacing w:after="0"/>
              <w:rPr>
                <w:sz w:val="24"/>
                <w:szCs w:val="24"/>
                <w:color w:val="auto"/>
              </w:rPr>
            </w:pPr>
          </w:p>
        </w:tc>
        <w:tc>
          <w:tcPr>
            <w:tcW w:w="1010" w:type="dxa"/>
            <w:vAlign w:val="bottom"/>
          </w:tcPr>
          <w:p>
            <w:pPr>
              <w:spacing w:after="0"/>
              <w:rPr>
                <w:sz w:val="24"/>
                <w:szCs w:val="24"/>
                <w:color w:val="auto"/>
              </w:rPr>
            </w:pPr>
          </w:p>
        </w:tc>
        <w:tc>
          <w:tcPr>
            <w:tcW w:w="250" w:type="dxa"/>
            <w:vAlign w:val="bottom"/>
          </w:tcPr>
          <w:p>
            <w:pPr>
              <w:spacing w:after="0"/>
              <w:rPr>
                <w:sz w:val="24"/>
                <w:szCs w:val="24"/>
                <w:color w:val="auto"/>
              </w:rPr>
            </w:pPr>
          </w:p>
        </w:tc>
        <w:tc>
          <w:tcPr>
            <w:tcW w:w="113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7"/>
        </w:trPr>
        <w:tc>
          <w:tcPr>
            <w:tcW w:w="7020" w:type="dxa"/>
            <w:vAlign w:val="bottom"/>
            <w:gridSpan w:val="2"/>
          </w:tcPr>
          <w:p>
            <w:pPr>
              <w:spacing w:after="0"/>
              <w:rPr>
                <w:sz w:val="11"/>
                <w:szCs w:val="11"/>
                <w:color w:val="auto"/>
              </w:rPr>
            </w:pPr>
          </w:p>
        </w:tc>
        <w:tc>
          <w:tcPr>
            <w:tcW w:w="950" w:type="dxa"/>
            <w:vAlign w:val="bottom"/>
          </w:tcPr>
          <w:p>
            <w:pPr>
              <w:spacing w:after="0"/>
              <w:rPr>
                <w:sz w:val="11"/>
                <w:szCs w:val="11"/>
                <w:color w:val="auto"/>
              </w:rPr>
            </w:pPr>
          </w:p>
        </w:tc>
        <w:tc>
          <w:tcPr>
            <w:tcW w:w="1010" w:type="dxa"/>
            <w:vAlign w:val="bottom"/>
          </w:tcPr>
          <w:p>
            <w:pPr>
              <w:spacing w:after="0"/>
              <w:rPr>
                <w:sz w:val="11"/>
                <w:szCs w:val="11"/>
                <w:color w:val="auto"/>
              </w:rPr>
            </w:pPr>
          </w:p>
        </w:tc>
        <w:tc>
          <w:tcPr>
            <w:tcW w:w="250" w:type="dxa"/>
            <w:vAlign w:val="bottom"/>
          </w:tcPr>
          <w:p>
            <w:pPr>
              <w:spacing w:after="0"/>
              <w:rPr>
                <w:sz w:val="11"/>
                <w:szCs w:val="11"/>
                <w:color w:val="auto"/>
              </w:rPr>
            </w:pPr>
          </w:p>
        </w:tc>
        <w:tc>
          <w:tcPr>
            <w:tcW w:w="113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0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Basic:</w:t>
            </w:r>
          </w:p>
        </w:tc>
        <w:tc>
          <w:tcPr>
            <w:tcW w:w="950" w:type="dxa"/>
            <w:vAlign w:val="bottom"/>
            <w:shd w:val="clear" w:color="auto" w:fill="E6E6E6"/>
          </w:tcPr>
          <w:p>
            <w:pPr>
              <w:spacing w:after="0"/>
              <w:rPr>
                <w:sz w:val="17"/>
                <w:szCs w:val="17"/>
                <w:color w:val="auto"/>
              </w:rPr>
            </w:pPr>
          </w:p>
        </w:tc>
        <w:tc>
          <w:tcPr>
            <w:tcW w:w="1010" w:type="dxa"/>
            <w:vAlign w:val="bottom"/>
            <w:shd w:val="clear" w:color="auto" w:fill="E6E6E6"/>
          </w:tcPr>
          <w:p>
            <w:pPr>
              <w:spacing w:after="0"/>
              <w:rPr>
                <w:sz w:val="17"/>
                <w:szCs w:val="17"/>
                <w:color w:val="auto"/>
              </w:rPr>
            </w:pPr>
          </w:p>
        </w:tc>
        <w:tc>
          <w:tcPr>
            <w:tcW w:w="250" w:type="dxa"/>
            <w:vAlign w:val="bottom"/>
            <w:shd w:val="clear" w:color="auto" w:fill="E6E6E6"/>
          </w:tcPr>
          <w:p>
            <w:pPr>
              <w:spacing w:after="0"/>
              <w:rPr>
                <w:sz w:val="17"/>
                <w:szCs w:val="17"/>
                <w:color w:val="auto"/>
              </w:rPr>
            </w:pPr>
          </w:p>
        </w:tc>
        <w:tc>
          <w:tcPr>
            <w:tcW w:w="1130" w:type="dxa"/>
            <w:vAlign w:val="bottom"/>
            <w:shd w:val="clear" w:color="auto" w:fill="E6E6E6"/>
          </w:tcPr>
          <w:p>
            <w:pPr>
              <w:spacing w:after="0"/>
              <w:rPr>
                <w:sz w:val="17"/>
                <w:szCs w:val="17"/>
                <w:color w:val="auto"/>
              </w:rPr>
            </w:pPr>
          </w:p>
        </w:tc>
        <w:tc>
          <w:tcPr>
            <w:tcW w:w="220" w:type="dxa"/>
            <w:vAlign w:val="bottom"/>
            <w:shd w:val="clear" w:color="auto" w:fill="E6E6E6"/>
          </w:tcPr>
          <w:p>
            <w:pPr>
              <w:spacing w:after="0"/>
              <w:rPr>
                <w:sz w:val="17"/>
                <w:szCs w:val="17"/>
                <w:color w:val="auto"/>
              </w:rPr>
            </w:pPr>
          </w:p>
        </w:tc>
        <w:tc>
          <w:tcPr>
            <w:tcW w:w="840" w:type="dxa"/>
            <w:vAlign w:val="bottom"/>
            <w:shd w:val="clear" w:color="auto" w:fill="E6E6E6"/>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00" w:type="dxa"/>
            <w:vAlign w:val="bottom"/>
          </w:tcPr>
          <w:p>
            <w:pPr>
              <w:ind w:left="140"/>
              <w:spacing w:after="0" w:line="202" w:lineRule="exact"/>
              <w:rPr>
                <w:sz w:val="20"/>
                <w:szCs w:val="20"/>
                <w:color w:val="auto"/>
              </w:rPr>
            </w:pPr>
            <w:r>
              <w:rPr>
                <w:rFonts w:ascii="Arial" w:cs="Arial" w:eastAsia="Arial" w:hAnsi="Arial"/>
                <w:sz w:val="18"/>
                <w:szCs w:val="18"/>
                <w:color w:val="auto"/>
              </w:rPr>
              <w:t>Earnings from continuing operations</w:t>
            </w:r>
          </w:p>
        </w:tc>
        <w:tc>
          <w:tcPr>
            <w:tcW w:w="95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10" w:type="dxa"/>
            <w:vAlign w:val="bottom"/>
          </w:tcPr>
          <w:p>
            <w:pPr>
              <w:jc w:val="right"/>
              <w:ind w:right="113"/>
              <w:spacing w:after="0" w:line="202" w:lineRule="exact"/>
              <w:rPr>
                <w:sz w:val="20"/>
                <w:szCs w:val="20"/>
                <w:color w:val="auto"/>
              </w:rPr>
            </w:pPr>
            <w:r>
              <w:rPr>
                <w:rFonts w:ascii="Arial" w:cs="Arial" w:eastAsia="Arial" w:hAnsi="Arial"/>
                <w:sz w:val="18"/>
                <w:szCs w:val="18"/>
                <w:color w:val="auto"/>
              </w:rPr>
              <w:t>1.61</w:t>
            </w:r>
          </w:p>
        </w:tc>
        <w:tc>
          <w:tcPr>
            <w:tcW w:w="25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130" w:type="dxa"/>
            <w:vAlign w:val="bottom"/>
          </w:tcPr>
          <w:p>
            <w:pPr>
              <w:jc w:val="right"/>
              <w:ind w:right="253"/>
              <w:spacing w:after="0" w:line="202" w:lineRule="exact"/>
              <w:rPr>
                <w:sz w:val="20"/>
                <w:szCs w:val="20"/>
                <w:color w:val="auto"/>
              </w:rPr>
            </w:pPr>
            <w:r>
              <w:rPr>
                <w:rFonts w:ascii="Arial" w:cs="Arial" w:eastAsia="Arial" w:hAnsi="Arial"/>
                <w:sz w:val="18"/>
                <w:szCs w:val="18"/>
                <w:color w:val="auto"/>
              </w:rPr>
              <w:t>0.35</w:t>
            </w:r>
          </w:p>
        </w:tc>
        <w:tc>
          <w:tcPr>
            <w:tcW w:w="220" w:type="dxa"/>
            <w:vAlign w:val="bottom"/>
          </w:tcPr>
          <w:p>
            <w:pPr>
              <w:jc w:val="right"/>
              <w:ind w:right="32"/>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tcPr>
          <w:p>
            <w:pPr>
              <w:jc w:val="right"/>
              <w:ind w:right="33"/>
              <w:spacing w:after="0" w:line="202" w:lineRule="exact"/>
              <w:rPr>
                <w:sz w:val="20"/>
                <w:szCs w:val="20"/>
                <w:color w:val="auto"/>
              </w:rPr>
            </w:pPr>
            <w:r>
              <w:rPr>
                <w:rFonts w:ascii="Arial" w:cs="Arial" w:eastAsia="Arial" w:hAnsi="Arial"/>
                <w:sz w:val="18"/>
                <w:szCs w:val="18"/>
                <w:color w:val="auto"/>
              </w:rPr>
              <w:t>3.03</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00" w:type="dxa"/>
            <w:vAlign w:val="bottom"/>
            <w:shd w:val="clear" w:color="auto" w:fill="E6E6E6"/>
          </w:tcPr>
          <w:p>
            <w:pPr>
              <w:ind w:left="140"/>
              <w:spacing w:after="0" w:line="202" w:lineRule="exact"/>
              <w:rPr>
                <w:sz w:val="20"/>
                <w:szCs w:val="20"/>
                <w:color w:val="auto"/>
              </w:rPr>
            </w:pPr>
            <w:r>
              <w:rPr>
                <w:rFonts w:ascii="Arial" w:cs="Arial" w:eastAsia="Arial" w:hAnsi="Arial"/>
                <w:sz w:val="18"/>
                <w:szCs w:val="18"/>
                <w:color w:val="auto"/>
              </w:rPr>
              <w:t>Loss from discontinued operations</w:t>
            </w:r>
          </w:p>
        </w:tc>
        <w:tc>
          <w:tcPr>
            <w:tcW w:w="95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w:t>
            </w:r>
          </w:p>
        </w:tc>
        <w:tc>
          <w:tcPr>
            <w:tcW w:w="1010" w:type="dxa"/>
            <w:vAlign w:val="bottom"/>
            <w:shd w:val="clear" w:color="auto" w:fill="E6E6E6"/>
          </w:tcPr>
          <w:p>
            <w:pPr>
              <w:jc w:val="right"/>
              <w:ind w:right="53"/>
              <w:spacing w:after="0" w:line="202" w:lineRule="exact"/>
              <w:rPr>
                <w:sz w:val="20"/>
                <w:szCs w:val="20"/>
                <w:color w:val="auto"/>
              </w:rPr>
            </w:pPr>
            <w:r>
              <w:rPr>
                <w:rFonts w:ascii="Arial" w:cs="Arial" w:eastAsia="Arial" w:hAnsi="Arial"/>
                <w:sz w:val="18"/>
                <w:szCs w:val="18"/>
                <w:color w:val="auto"/>
              </w:rPr>
              <w:t>(0.07)</w:t>
            </w:r>
          </w:p>
        </w:tc>
        <w:tc>
          <w:tcPr>
            <w:tcW w:w="25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w:t>
            </w:r>
          </w:p>
        </w:tc>
        <w:tc>
          <w:tcPr>
            <w:tcW w:w="1130" w:type="dxa"/>
            <w:vAlign w:val="bottom"/>
            <w:shd w:val="clear" w:color="auto" w:fill="E6E6E6"/>
          </w:tcPr>
          <w:p>
            <w:pPr>
              <w:jc w:val="right"/>
              <w:ind w:right="193"/>
              <w:spacing w:after="0" w:line="202" w:lineRule="exact"/>
              <w:rPr>
                <w:sz w:val="20"/>
                <w:szCs w:val="20"/>
                <w:color w:val="auto"/>
              </w:rPr>
            </w:pPr>
            <w:r>
              <w:rPr>
                <w:rFonts w:ascii="Arial" w:cs="Arial" w:eastAsia="Arial" w:hAnsi="Arial"/>
                <w:sz w:val="18"/>
                <w:szCs w:val="18"/>
                <w:color w:val="auto"/>
              </w:rPr>
              <w:t>(0.74)</w:t>
            </w:r>
          </w:p>
        </w:tc>
        <w:tc>
          <w:tcPr>
            <w:tcW w:w="220" w:type="dxa"/>
            <w:vAlign w:val="bottom"/>
            <w:shd w:val="clear" w:color="auto" w:fill="E6E6E6"/>
          </w:tcPr>
          <w:p>
            <w:pPr>
              <w:jc w:val="right"/>
              <w:ind w:right="32"/>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(3.47)</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00" w:type="dxa"/>
            <w:vAlign w:val="bottom"/>
          </w:tcPr>
          <w:p>
            <w:pPr>
              <w:ind w:left="140"/>
              <w:spacing w:after="0" w:line="202" w:lineRule="exact"/>
              <w:rPr>
                <w:sz w:val="20"/>
                <w:szCs w:val="20"/>
                <w:color w:val="auto"/>
              </w:rPr>
            </w:pPr>
            <w:r>
              <w:rPr>
                <w:rFonts w:ascii="Arial" w:cs="Arial" w:eastAsia="Arial" w:hAnsi="Arial"/>
                <w:sz w:val="18"/>
                <w:szCs w:val="18"/>
                <w:color w:val="auto"/>
              </w:rPr>
              <w:t>Net income (loss)</w:t>
            </w:r>
          </w:p>
        </w:tc>
        <w:tc>
          <w:tcPr>
            <w:tcW w:w="95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10" w:type="dxa"/>
            <w:vAlign w:val="bottom"/>
          </w:tcPr>
          <w:p>
            <w:pPr>
              <w:jc w:val="right"/>
              <w:ind w:right="113"/>
              <w:spacing w:after="0" w:line="202" w:lineRule="exact"/>
              <w:rPr>
                <w:sz w:val="20"/>
                <w:szCs w:val="20"/>
                <w:color w:val="auto"/>
              </w:rPr>
            </w:pPr>
            <w:r>
              <w:rPr>
                <w:rFonts w:ascii="Arial" w:cs="Arial" w:eastAsia="Arial" w:hAnsi="Arial"/>
                <w:sz w:val="18"/>
                <w:szCs w:val="18"/>
                <w:color w:val="auto"/>
              </w:rPr>
              <w:t>1.54</w:t>
            </w:r>
          </w:p>
        </w:tc>
        <w:tc>
          <w:tcPr>
            <w:tcW w:w="25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130" w:type="dxa"/>
            <w:vAlign w:val="bottom"/>
          </w:tcPr>
          <w:p>
            <w:pPr>
              <w:jc w:val="right"/>
              <w:ind w:right="193"/>
              <w:spacing w:after="0" w:line="202" w:lineRule="exact"/>
              <w:rPr>
                <w:sz w:val="20"/>
                <w:szCs w:val="20"/>
                <w:color w:val="auto"/>
              </w:rPr>
            </w:pPr>
            <w:r>
              <w:rPr>
                <w:rFonts w:ascii="Arial" w:cs="Arial" w:eastAsia="Arial" w:hAnsi="Arial"/>
                <w:sz w:val="18"/>
                <w:szCs w:val="18"/>
                <w:color w:val="auto"/>
              </w:rPr>
              <w:t>(0.39)</w:t>
            </w:r>
          </w:p>
        </w:tc>
        <w:tc>
          <w:tcPr>
            <w:tcW w:w="220" w:type="dxa"/>
            <w:vAlign w:val="bottom"/>
          </w:tcPr>
          <w:p>
            <w:pPr>
              <w:jc w:val="right"/>
              <w:ind w:right="32"/>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(0.44)</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0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Diluted:</w:t>
            </w:r>
          </w:p>
        </w:tc>
        <w:tc>
          <w:tcPr>
            <w:tcW w:w="950" w:type="dxa"/>
            <w:vAlign w:val="bottom"/>
            <w:shd w:val="clear" w:color="auto" w:fill="E6E6E6"/>
          </w:tcPr>
          <w:p>
            <w:pPr>
              <w:spacing w:after="0"/>
              <w:rPr>
                <w:sz w:val="17"/>
                <w:szCs w:val="17"/>
                <w:color w:val="auto"/>
              </w:rPr>
            </w:pPr>
          </w:p>
        </w:tc>
        <w:tc>
          <w:tcPr>
            <w:tcW w:w="1010" w:type="dxa"/>
            <w:vAlign w:val="bottom"/>
            <w:shd w:val="clear" w:color="auto" w:fill="E6E6E6"/>
          </w:tcPr>
          <w:p>
            <w:pPr>
              <w:spacing w:after="0"/>
              <w:rPr>
                <w:sz w:val="17"/>
                <w:szCs w:val="17"/>
                <w:color w:val="auto"/>
              </w:rPr>
            </w:pPr>
          </w:p>
        </w:tc>
        <w:tc>
          <w:tcPr>
            <w:tcW w:w="250" w:type="dxa"/>
            <w:vAlign w:val="bottom"/>
            <w:shd w:val="clear" w:color="auto" w:fill="E6E6E6"/>
          </w:tcPr>
          <w:p>
            <w:pPr>
              <w:spacing w:after="0"/>
              <w:rPr>
                <w:sz w:val="17"/>
                <w:szCs w:val="17"/>
                <w:color w:val="auto"/>
              </w:rPr>
            </w:pPr>
          </w:p>
        </w:tc>
        <w:tc>
          <w:tcPr>
            <w:tcW w:w="1130" w:type="dxa"/>
            <w:vAlign w:val="bottom"/>
            <w:shd w:val="clear" w:color="auto" w:fill="E6E6E6"/>
          </w:tcPr>
          <w:p>
            <w:pPr>
              <w:spacing w:after="0"/>
              <w:rPr>
                <w:sz w:val="17"/>
                <w:szCs w:val="17"/>
                <w:color w:val="auto"/>
              </w:rPr>
            </w:pPr>
          </w:p>
        </w:tc>
        <w:tc>
          <w:tcPr>
            <w:tcW w:w="220" w:type="dxa"/>
            <w:vAlign w:val="bottom"/>
            <w:shd w:val="clear" w:color="auto" w:fill="E6E6E6"/>
          </w:tcPr>
          <w:p>
            <w:pPr>
              <w:spacing w:after="0"/>
              <w:rPr>
                <w:sz w:val="17"/>
                <w:szCs w:val="17"/>
                <w:color w:val="auto"/>
              </w:rPr>
            </w:pPr>
          </w:p>
        </w:tc>
        <w:tc>
          <w:tcPr>
            <w:tcW w:w="840" w:type="dxa"/>
            <w:vAlign w:val="bottom"/>
            <w:shd w:val="clear" w:color="auto" w:fill="E6E6E6"/>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00" w:type="dxa"/>
            <w:vAlign w:val="bottom"/>
          </w:tcPr>
          <w:p>
            <w:pPr>
              <w:ind w:left="140"/>
              <w:spacing w:after="0" w:line="202" w:lineRule="exact"/>
              <w:rPr>
                <w:sz w:val="20"/>
                <w:szCs w:val="20"/>
                <w:color w:val="auto"/>
              </w:rPr>
            </w:pPr>
            <w:r>
              <w:rPr>
                <w:rFonts w:ascii="Arial" w:cs="Arial" w:eastAsia="Arial" w:hAnsi="Arial"/>
                <w:sz w:val="18"/>
                <w:szCs w:val="18"/>
                <w:color w:val="auto"/>
              </w:rPr>
              <w:t>Earnings from continuing operations</w:t>
            </w:r>
          </w:p>
        </w:tc>
        <w:tc>
          <w:tcPr>
            <w:tcW w:w="95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10" w:type="dxa"/>
            <w:vAlign w:val="bottom"/>
          </w:tcPr>
          <w:p>
            <w:pPr>
              <w:jc w:val="right"/>
              <w:ind w:right="113"/>
              <w:spacing w:after="0" w:line="202" w:lineRule="exact"/>
              <w:rPr>
                <w:sz w:val="20"/>
                <w:szCs w:val="20"/>
                <w:color w:val="auto"/>
              </w:rPr>
            </w:pPr>
            <w:r>
              <w:rPr>
                <w:rFonts w:ascii="Arial" w:cs="Arial" w:eastAsia="Arial" w:hAnsi="Arial"/>
                <w:sz w:val="18"/>
                <w:szCs w:val="18"/>
                <w:color w:val="auto"/>
              </w:rPr>
              <w:t>1.59</w:t>
            </w:r>
          </w:p>
        </w:tc>
        <w:tc>
          <w:tcPr>
            <w:tcW w:w="25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130" w:type="dxa"/>
            <w:vAlign w:val="bottom"/>
          </w:tcPr>
          <w:p>
            <w:pPr>
              <w:jc w:val="right"/>
              <w:ind w:right="253"/>
              <w:spacing w:after="0" w:line="202" w:lineRule="exact"/>
              <w:rPr>
                <w:sz w:val="20"/>
                <w:szCs w:val="20"/>
                <w:color w:val="auto"/>
              </w:rPr>
            </w:pPr>
            <w:r>
              <w:rPr>
                <w:rFonts w:ascii="Arial" w:cs="Arial" w:eastAsia="Arial" w:hAnsi="Arial"/>
                <w:sz w:val="18"/>
                <w:szCs w:val="18"/>
                <w:color w:val="auto"/>
              </w:rPr>
              <w:t>0.35</w:t>
            </w:r>
          </w:p>
        </w:tc>
        <w:tc>
          <w:tcPr>
            <w:tcW w:w="220" w:type="dxa"/>
            <w:vAlign w:val="bottom"/>
          </w:tcPr>
          <w:p>
            <w:pPr>
              <w:jc w:val="right"/>
              <w:ind w:right="32"/>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tcPr>
          <w:p>
            <w:pPr>
              <w:jc w:val="right"/>
              <w:ind w:right="33"/>
              <w:spacing w:after="0" w:line="202" w:lineRule="exact"/>
              <w:rPr>
                <w:sz w:val="20"/>
                <w:szCs w:val="20"/>
                <w:color w:val="auto"/>
              </w:rPr>
            </w:pPr>
            <w:r>
              <w:rPr>
                <w:rFonts w:ascii="Arial" w:cs="Arial" w:eastAsia="Arial" w:hAnsi="Arial"/>
                <w:sz w:val="18"/>
                <w:szCs w:val="18"/>
                <w:color w:val="auto"/>
              </w:rPr>
              <w:t>2.99</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00" w:type="dxa"/>
            <w:vAlign w:val="bottom"/>
            <w:shd w:val="clear" w:color="auto" w:fill="E6E6E6"/>
          </w:tcPr>
          <w:p>
            <w:pPr>
              <w:ind w:left="140"/>
              <w:spacing w:after="0" w:line="202" w:lineRule="exact"/>
              <w:rPr>
                <w:sz w:val="20"/>
                <w:szCs w:val="20"/>
                <w:color w:val="auto"/>
              </w:rPr>
            </w:pPr>
            <w:r>
              <w:rPr>
                <w:rFonts w:ascii="Arial" w:cs="Arial" w:eastAsia="Arial" w:hAnsi="Arial"/>
                <w:sz w:val="18"/>
                <w:szCs w:val="18"/>
                <w:color w:val="auto"/>
              </w:rPr>
              <w:t>Loss from discontinued operations</w:t>
            </w:r>
          </w:p>
        </w:tc>
        <w:tc>
          <w:tcPr>
            <w:tcW w:w="95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w:t>
            </w:r>
          </w:p>
        </w:tc>
        <w:tc>
          <w:tcPr>
            <w:tcW w:w="1010" w:type="dxa"/>
            <w:vAlign w:val="bottom"/>
            <w:shd w:val="clear" w:color="auto" w:fill="E6E6E6"/>
          </w:tcPr>
          <w:p>
            <w:pPr>
              <w:jc w:val="right"/>
              <w:ind w:right="53"/>
              <w:spacing w:after="0" w:line="202" w:lineRule="exact"/>
              <w:rPr>
                <w:sz w:val="20"/>
                <w:szCs w:val="20"/>
                <w:color w:val="auto"/>
              </w:rPr>
            </w:pPr>
            <w:r>
              <w:rPr>
                <w:rFonts w:ascii="Arial" w:cs="Arial" w:eastAsia="Arial" w:hAnsi="Arial"/>
                <w:sz w:val="18"/>
                <w:szCs w:val="18"/>
                <w:color w:val="auto"/>
              </w:rPr>
              <w:t>(0.07)</w:t>
            </w:r>
          </w:p>
        </w:tc>
        <w:tc>
          <w:tcPr>
            <w:tcW w:w="25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w:t>
            </w:r>
          </w:p>
        </w:tc>
        <w:tc>
          <w:tcPr>
            <w:tcW w:w="1130" w:type="dxa"/>
            <w:vAlign w:val="bottom"/>
            <w:shd w:val="clear" w:color="auto" w:fill="E6E6E6"/>
          </w:tcPr>
          <w:p>
            <w:pPr>
              <w:jc w:val="right"/>
              <w:ind w:right="193"/>
              <w:spacing w:after="0" w:line="202" w:lineRule="exact"/>
              <w:rPr>
                <w:sz w:val="20"/>
                <w:szCs w:val="20"/>
                <w:color w:val="auto"/>
              </w:rPr>
            </w:pPr>
            <w:r>
              <w:rPr>
                <w:rFonts w:ascii="Arial" w:cs="Arial" w:eastAsia="Arial" w:hAnsi="Arial"/>
                <w:sz w:val="18"/>
                <w:szCs w:val="18"/>
                <w:color w:val="auto"/>
              </w:rPr>
              <w:t>(0.73)</w:t>
            </w:r>
          </w:p>
        </w:tc>
        <w:tc>
          <w:tcPr>
            <w:tcW w:w="220" w:type="dxa"/>
            <w:vAlign w:val="bottom"/>
            <w:shd w:val="clear" w:color="auto" w:fill="E6E6E6"/>
          </w:tcPr>
          <w:p>
            <w:pPr>
              <w:jc w:val="right"/>
              <w:ind w:right="32"/>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(3.43)</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00" w:type="dxa"/>
            <w:vAlign w:val="bottom"/>
          </w:tcPr>
          <w:p>
            <w:pPr>
              <w:ind w:left="140"/>
              <w:spacing w:after="0" w:line="202" w:lineRule="exact"/>
              <w:rPr>
                <w:sz w:val="20"/>
                <w:szCs w:val="20"/>
                <w:color w:val="auto"/>
              </w:rPr>
            </w:pPr>
            <w:r>
              <w:rPr>
                <w:rFonts w:ascii="Arial" w:cs="Arial" w:eastAsia="Arial" w:hAnsi="Arial"/>
                <w:sz w:val="18"/>
                <w:szCs w:val="18"/>
                <w:color w:val="auto"/>
              </w:rPr>
              <w:t>Net income (loss)</w:t>
            </w:r>
          </w:p>
        </w:tc>
        <w:tc>
          <w:tcPr>
            <w:tcW w:w="95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10" w:type="dxa"/>
            <w:vAlign w:val="bottom"/>
          </w:tcPr>
          <w:p>
            <w:pPr>
              <w:jc w:val="right"/>
              <w:ind w:right="113"/>
              <w:spacing w:after="0" w:line="202" w:lineRule="exact"/>
              <w:rPr>
                <w:sz w:val="20"/>
                <w:szCs w:val="20"/>
                <w:color w:val="auto"/>
              </w:rPr>
            </w:pPr>
            <w:r>
              <w:rPr>
                <w:rFonts w:ascii="Arial" w:cs="Arial" w:eastAsia="Arial" w:hAnsi="Arial"/>
                <w:sz w:val="18"/>
                <w:szCs w:val="18"/>
                <w:color w:val="auto"/>
              </w:rPr>
              <w:t>1.52</w:t>
            </w:r>
          </w:p>
        </w:tc>
        <w:tc>
          <w:tcPr>
            <w:tcW w:w="25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130" w:type="dxa"/>
            <w:vAlign w:val="bottom"/>
          </w:tcPr>
          <w:p>
            <w:pPr>
              <w:jc w:val="right"/>
              <w:ind w:right="193"/>
              <w:spacing w:after="0" w:line="202" w:lineRule="exact"/>
              <w:rPr>
                <w:sz w:val="20"/>
                <w:szCs w:val="20"/>
                <w:color w:val="auto"/>
              </w:rPr>
            </w:pPr>
            <w:r>
              <w:rPr>
                <w:rFonts w:ascii="Arial" w:cs="Arial" w:eastAsia="Arial" w:hAnsi="Arial"/>
                <w:sz w:val="18"/>
                <w:szCs w:val="18"/>
                <w:color w:val="auto"/>
              </w:rPr>
              <w:t>(0.38)</w:t>
            </w:r>
          </w:p>
        </w:tc>
        <w:tc>
          <w:tcPr>
            <w:tcW w:w="220" w:type="dxa"/>
            <w:vAlign w:val="bottom"/>
          </w:tcPr>
          <w:p>
            <w:pPr>
              <w:jc w:val="right"/>
              <w:ind w:right="32"/>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(0.44)</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0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Dividends declared per common share</w:t>
            </w:r>
          </w:p>
        </w:tc>
        <w:tc>
          <w:tcPr>
            <w:tcW w:w="95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w:t>
            </w:r>
          </w:p>
        </w:tc>
        <w:tc>
          <w:tcPr>
            <w:tcW w:w="1010" w:type="dxa"/>
            <w:vAlign w:val="bottom"/>
            <w:shd w:val="clear" w:color="auto" w:fill="E6E6E6"/>
          </w:tcPr>
          <w:p>
            <w:pPr>
              <w:jc w:val="right"/>
              <w:ind w:right="113"/>
              <w:spacing w:after="0" w:line="202" w:lineRule="exact"/>
              <w:rPr>
                <w:sz w:val="20"/>
                <w:szCs w:val="20"/>
                <w:color w:val="auto"/>
              </w:rPr>
            </w:pPr>
            <w:r>
              <w:rPr>
                <w:rFonts w:ascii="Arial" w:cs="Arial" w:eastAsia="Arial" w:hAnsi="Arial"/>
                <w:sz w:val="18"/>
                <w:szCs w:val="18"/>
                <w:color w:val="auto"/>
              </w:rPr>
              <w:t>0.30</w:t>
            </w:r>
          </w:p>
        </w:tc>
        <w:tc>
          <w:tcPr>
            <w:tcW w:w="25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w:t>
            </w:r>
          </w:p>
        </w:tc>
        <w:tc>
          <w:tcPr>
            <w:tcW w:w="1130" w:type="dxa"/>
            <w:vAlign w:val="bottom"/>
            <w:shd w:val="clear" w:color="auto" w:fill="E6E6E6"/>
          </w:tcPr>
          <w:p>
            <w:pPr>
              <w:jc w:val="right"/>
              <w:ind w:right="253"/>
              <w:spacing w:after="0" w:line="202" w:lineRule="exact"/>
              <w:rPr>
                <w:sz w:val="20"/>
                <w:szCs w:val="20"/>
                <w:color w:val="auto"/>
              </w:rPr>
            </w:pPr>
            <w:r>
              <w:rPr>
                <w:rFonts w:ascii="Arial" w:cs="Arial" w:eastAsia="Arial" w:hAnsi="Arial"/>
                <w:sz w:val="18"/>
                <w:szCs w:val="18"/>
                <w:color w:val="auto"/>
              </w:rPr>
              <w:t>0.30</w:t>
            </w:r>
          </w:p>
        </w:tc>
        <w:tc>
          <w:tcPr>
            <w:tcW w:w="220" w:type="dxa"/>
            <w:vAlign w:val="bottom"/>
            <w:shd w:val="clear" w:color="auto" w:fill="E6E6E6"/>
          </w:tcPr>
          <w:p>
            <w:pPr>
              <w:jc w:val="right"/>
              <w:ind w:right="32"/>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shd w:val="clear" w:color="auto" w:fill="E6E6E6"/>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7000" w:type="dxa"/>
            <w:vAlign w:val="bottom"/>
            <w:tcBorders>
              <w:bottom w:val="single" w:sz="8" w:color="808080"/>
            </w:tcBorders>
          </w:tcPr>
          <w:p>
            <w:pPr>
              <w:spacing w:after="0"/>
              <w:rPr>
                <w:sz w:val="11"/>
                <w:szCs w:val="11"/>
                <w:color w:val="auto"/>
              </w:rPr>
            </w:pPr>
          </w:p>
        </w:tc>
        <w:tc>
          <w:tcPr>
            <w:tcW w:w="950" w:type="dxa"/>
            <w:vAlign w:val="bottom"/>
            <w:tcBorders>
              <w:bottom w:val="single" w:sz="8" w:color="808080"/>
            </w:tcBorders>
          </w:tcPr>
          <w:p>
            <w:pPr>
              <w:spacing w:after="0"/>
              <w:rPr>
                <w:sz w:val="11"/>
                <w:szCs w:val="11"/>
                <w:color w:val="auto"/>
              </w:rPr>
            </w:pPr>
          </w:p>
        </w:tc>
        <w:tc>
          <w:tcPr>
            <w:tcW w:w="1010" w:type="dxa"/>
            <w:vAlign w:val="bottom"/>
            <w:tcBorders>
              <w:bottom w:val="single" w:sz="8" w:color="808080"/>
            </w:tcBorders>
          </w:tcPr>
          <w:p>
            <w:pPr>
              <w:spacing w:after="0"/>
              <w:rPr>
                <w:sz w:val="11"/>
                <w:szCs w:val="11"/>
                <w:color w:val="auto"/>
              </w:rPr>
            </w:pPr>
          </w:p>
        </w:tc>
        <w:tc>
          <w:tcPr>
            <w:tcW w:w="250" w:type="dxa"/>
            <w:vAlign w:val="bottom"/>
            <w:tcBorders>
              <w:bottom w:val="single" w:sz="8" w:color="808080"/>
            </w:tcBorders>
          </w:tcPr>
          <w:p>
            <w:pPr>
              <w:spacing w:after="0"/>
              <w:rPr>
                <w:sz w:val="11"/>
                <w:szCs w:val="11"/>
                <w:color w:val="auto"/>
              </w:rPr>
            </w:pPr>
          </w:p>
        </w:tc>
        <w:tc>
          <w:tcPr>
            <w:tcW w:w="113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8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-1572895</wp:posOffset>
            </wp:positionV>
            <wp:extent cx="12700" cy="298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-1572895</wp:posOffset>
            </wp:positionV>
            <wp:extent cx="12700" cy="298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-1572895</wp:posOffset>
            </wp:positionV>
            <wp:extent cx="12700" cy="298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-1572895</wp:posOffset>
            </wp:positionV>
            <wp:extent cx="12700" cy="298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-1572895</wp:posOffset>
            </wp:positionV>
            <wp:extent cx="12700" cy="298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-1572895</wp:posOffset>
            </wp:positionV>
            <wp:extent cx="12700" cy="298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-1572895</wp:posOffset>
            </wp:positionV>
            <wp:extent cx="12700" cy="298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-1572895</wp:posOffset>
            </wp:positionV>
            <wp:extent cx="12700" cy="298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-1572895</wp:posOffset>
            </wp:positionV>
            <wp:extent cx="12700" cy="298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6649085</wp:posOffset>
            </wp:positionH>
            <wp:positionV relativeFrom="paragraph">
              <wp:posOffset>-1572895</wp:posOffset>
            </wp:positionV>
            <wp:extent cx="12700" cy="298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-1572895</wp:posOffset>
            </wp:positionV>
            <wp:extent cx="12700" cy="298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-1572895</wp:posOffset>
            </wp:positionV>
            <wp:extent cx="12700" cy="298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-29210</wp:posOffset>
            </wp:positionV>
            <wp:extent cx="12700" cy="298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-29210</wp:posOffset>
            </wp:positionV>
            <wp:extent cx="12700" cy="298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-29210</wp:posOffset>
            </wp:positionV>
            <wp:extent cx="12700" cy="298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-29210</wp:posOffset>
            </wp:positionV>
            <wp:extent cx="12700" cy="298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-29210</wp:posOffset>
            </wp:positionV>
            <wp:extent cx="12700" cy="298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-29210</wp:posOffset>
            </wp:positionV>
            <wp:extent cx="12700" cy="298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-29210</wp:posOffset>
            </wp:positionV>
            <wp:extent cx="12700" cy="298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-29210</wp:posOffset>
            </wp:positionV>
            <wp:extent cx="12700" cy="298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6649085</wp:posOffset>
            </wp:positionH>
            <wp:positionV relativeFrom="paragraph">
              <wp:posOffset>-29210</wp:posOffset>
            </wp:positionV>
            <wp:extent cx="12700" cy="298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-29210</wp:posOffset>
            </wp:positionV>
            <wp:extent cx="12700" cy="298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00"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2663825</wp:posOffset>
            </wp:positionH>
            <wp:positionV relativeFrom="paragraph">
              <wp:posOffset>129540</wp:posOffset>
            </wp:positionV>
            <wp:extent cx="1929765" cy="23177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1929765"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3873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60"/>
          </w:cols>
          <w:pgMar w:left="240" w:top="755" w:right="19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63765" cy="8890"/>
                    </a:xfrm>
                    <a:prstGeom prst="rect">
                      <a:avLst/>
                    </a:prstGeom>
                    <a:noFill/>
                  </pic:spPr>
                </pic:pic>
              </a:graphicData>
            </a:graphic>
          </wp:anchor>
        </w:drawing>
        <w:t>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240665</wp:posOffset>
            </wp:positionV>
            <wp:extent cx="7263765"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8740" w:type="dxa"/>
            <w:vAlign w:val="bottom"/>
            <w:gridSpan w:val="2"/>
          </w:tcPr>
          <w:p>
            <w:pPr>
              <w:spacing w:after="0"/>
              <w:rPr>
                <w:sz w:val="20"/>
                <w:szCs w:val="20"/>
                <w:color w:val="auto"/>
              </w:rPr>
            </w:pPr>
            <w:r>
              <w:rPr>
                <w:rFonts w:ascii="Arial" w:cs="Arial" w:eastAsia="Arial" w:hAnsi="Arial"/>
                <w:sz w:val="14"/>
                <w:szCs w:val="14"/>
                <w:b w:val="1"/>
                <w:bCs w:val="1"/>
                <w:color w:val="auto"/>
              </w:rPr>
              <w:t>ASSETS</w:t>
            </w:r>
          </w:p>
        </w:tc>
        <w:tc>
          <w:tcPr>
            <w:tcW w:w="600" w:type="dxa"/>
            <w:vAlign w:val="bottom"/>
          </w:tcPr>
          <w:p>
            <w:pPr>
              <w:spacing w:after="0"/>
              <w:rPr>
                <w:sz w:val="15"/>
                <w:szCs w:val="15"/>
                <w:color w:val="auto"/>
              </w:rPr>
            </w:pPr>
          </w:p>
        </w:tc>
        <w:tc>
          <w:tcPr>
            <w:tcW w:w="900" w:type="dxa"/>
            <w:vAlign w:val="bottom"/>
          </w:tcPr>
          <w:p>
            <w:pPr>
              <w:jc w:val="right"/>
              <w:ind w:right="113"/>
              <w:spacing w:after="0"/>
              <w:rPr>
                <w:sz w:val="20"/>
                <w:szCs w:val="20"/>
                <w:color w:val="auto"/>
              </w:rPr>
            </w:pPr>
            <w:r>
              <w:rPr>
                <w:rFonts w:ascii="Arial" w:cs="Arial" w:eastAsia="Arial" w:hAnsi="Arial"/>
                <w:sz w:val="14"/>
                <w:szCs w:val="14"/>
                <w:b w:val="1"/>
                <w:bCs w:val="1"/>
                <w:color w:val="auto"/>
              </w:rPr>
              <w:t>2010</w:t>
            </w:r>
          </w:p>
        </w:tc>
        <w:tc>
          <w:tcPr>
            <w:tcW w:w="360" w:type="dxa"/>
            <w:vAlign w:val="bottom"/>
          </w:tcPr>
          <w:p>
            <w:pPr>
              <w:spacing w:after="0"/>
              <w:rPr>
                <w:sz w:val="15"/>
                <w:szCs w:val="15"/>
                <w:color w:val="auto"/>
              </w:rPr>
            </w:pPr>
          </w:p>
        </w:tc>
        <w:tc>
          <w:tcPr>
            <w:tcW w:w="820" w:type="dxa"/>
            <w:vAlign w:val="bottom"/>
          </w:tcPr>
          <w:p>
            <w:pPr>
              <w:jc w:val="right"/>
              <w:ind w:right="33"/>
              <w:spacing w:after="0"/>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Borders>
              <w:bottom w:val="single" w:sz="8" w:color="auto"/>
            </w:tcBorders>
          </w:tcPr>
          <w:p>
            <w:pPr>
              <w:spacing w:after="0"/>
              <w:rPr>
                <w:sz w:val="8"/>
                <w:szCs w:val="8"/>
                <w:color w:val="auto"/>
              </w:rPr>
            </w:pPr>
          </w:p>
        </w:tc>
        <w:tc>
          <w:tcPr>
            <w:tcW w:w="87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720" w:type="dxa"/>
            <w:vAlign w:val="bottom"/>
          </w:tcPr>
          <w:p>
            <w:pPr>
              <w:spacing w:after="0"/>
              <w:rPr>
                <w:sz w:val="8"/>
                <w:szCs w:val="8"/>
                <w:color w:val="auto"/>
              </w:rPr>
            </w:pPr>
          </w:p>
        </w:tc>
        <w:tc>
          <w:tcPr>
            <w:tcW w:w="600" w:type="dxa"/>
            <w:vAlign w:val="bottom"/>
          </w:tcPr>
          <w:p>
            <w:pPr>
              <w:spacing w:after="0"/>
              <w:rPr>
                <w:sz w:val="8"/>
                <w:szCs w:val="8"/>
                <w:color w:val="auto"/>
              </w:rPr>
            </w:pPr>
          </w:p>
        </w:tc>
        <w:tc>
          <w:tcPr>
            <w:tcW w:w="900" w:type="dxa"/>
            <w:vAlign w:val="bottom"/>
          </w:tcPr>
          <w:p>
            <w:pPr>
              <w:spacing w:after="0"/>
              <w:rPr>
                <w:sz w:val="8"/>
                <w:szCs w:val="8"/>
                <w:color w:val="auto"/>
              </w:rPr>
            </w:pPr>
          </w:p>
        </w:tc>
        <w:tc>
          <w:tcPr>
            <w:tcW w:w="36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8720" w:type="dxa"/>
            <w:vAlign w:val="bottom"/>
            <w:shd w:val="clear" w:color="auto" w:fill="E6E6E6"/>
          </w:tcPr>
          <w:p>
            <w:pPr>
              <w:spacing w:after="0" w:line="202" w:lineRule="exact"/>
              <w:rPr>
                <w:sz w:val="20"/>
                <w:szCs w:val="20"/>
                <w:color w:val="auto"/>
              </w:rPr>
            </w:pPr>
            <w:r>
              <w:rPr>
                <w:rFonts w:ascii="Arial" w:cs="Arial" w:eastAsia="Arial" w:hAnsi="Arial"/>
                <w:sz w:val="18"/>
                <w:szCs w:val="18"/>
                <w:b w:val="1"/>
                <w:bCs w:val="1"/>
                <w:color w:val="auto"/>
              </w:rPr>
              <w:t>Current Assets:</w:t>
            </w:r>
          </w:p>
        </w:tc>
        <w:tc>
          <w:tcPr>
            <w:tcW w:w="600" w:type="dxa"/>
            <w:vAlign w:val="bottom"/>
            <w:shd w:val="clear" w:color="auto" w:fill="E6E6E6"/>
          </w:tcPr>
          <w:p>
            <w:pPr>
              <w:spacing w:after="0"/>
              <w:rPr>
                <w:sz w:val="17"/>
                <w:szCs w:val="17"/>
                <w:color w:val="auto"/>
              </w:rPr>
            </w:pPr>
          </w:p>
        </w:tc>
        <w:tc>
          <w:tcPr>
            <w:tcW w:w="900" w:type="dxa"/>
            <w:vAlign w:val="bottom"/>
            <w:shd w:val="clear" w:color="auto" w:fill="E6E6E6"/>
          </w:tcPr>
          <w:p>
            <w:pPr>
              <w:spacing w:after="0"/>
              <w:rPr>
                <w:sz w:val="17"/>
                <w:szCs w:val="17"/>
                <w:color w:val="auto"/>
              </w:rPr>
            </w:pPr>
          </w:p>
        </w:tc>
        <w:tc>
          <w:tcPr>
            <w:tcW w:w="360" w:type="dxa"/>
            <w:vAlign w:val="bottom"/>
            <w:shd w:val="clear" w:color="auto" w:fill="E6E6E6"/>
          </w:tcPr>
          <w:p>
            <w:pPr>
              <w:spacing w:after="0"/>
              <w:rPr>
                <w:sz w:val="17"/>
                <w:szCs w:val="17"/>
                <w:color w:val="auto"/>
              </w:rPr>
            </w:pPr>
          </w:p>
        </w:tc>
        <w:tc>
          <w:tcPr>
            <w:tcW w:w="820" w:type="dxa"/>
            <w:vAlign w:val="bottom"/>
            <w:shd w:val="clear" w:color="auto" w:fill="E6E6E6"/>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20" w:type="dxa"/>
            <w:vAlign w:val="bottom"/>
          </w:tcPr>
          <w:p>
            <w:pPr>
              <w:ind w:left="140"/>
              <w:spacing w:after="0" w:line="202" w:lineRule="exact"/>
              <w:rPr>
                <w:sz w:val="20"/>
                <w:szCs w:val="20"/>
                <w:color w:val="auto"/>
              </w:rPr>
            </w:pPr>
            <w:r>
              <w:rPr>
                <w:rFonts w:ascii="Arial" w:cs="Arial" w:eastAsia="Arial" w:hAnsi="Arial"/>
                <w:sz w:val="18"/>
                <w:szCs w:val="18"/>
                <w:color w:val="auto"/>
              </w:rPr>
              <w:t>Cash and cash equivalents</w:t>
            </w:r>
          </w:p>
        </w:tc>
        <w:tc>
          <w:tcPr>
            <w:tcW w:w="60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113"/>
              <w:spacing w:after="0" w:line="202" w:lineRule="exact"/>
              <w:rPr>
                <w:sz w:val="20"/>
                <w:szCs w:val="20"/>
                <w:color w:val="auto"/>
              </w:rPr>
            </w:pPr>
            <w:r>
              <w:rPr>
                <w:rFonts w:ascii="Arial" w:cs="Arial" w:eastAsia="Arial" w:hAnsi="Arial"/>
                <w:sz w:val="18"/>
                <w:szCs w:val="18"/>
                <w:color w:val="auto"/>
              </w:rPr>
              <w:t>244.1</w:t>
            </w:r>
          </w:p>
        </w:tc>
        <w:tc>
          <w:tcPr>
            <w:tcW w:w="36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820" w:type="dxa"/>
            <w:vAlign w:val="bottom"/>
          </w:tcPr>
          <w:p>
            <w:pPr>
              <w:jc w:val="right"/>
              <w:ind w:right="33"/>
              <w:spacing w:after="0" w:line="202" w:lineRule="exact"/>
              <w:rPr>
                <w:sz w:val="20"/>
                <w:szCs w:val="20"/>
                <w:color w:val="auto"/>
              </w:rPr>
            </w:pPr>
            <w:r>
              <w:rPr>
                <w:rFonts w:ascii="Arial" w:cs="Arial" w:eastAsia="Arial" w:hAnsi="Arial"/>
                <w:sz w:val="18"/>
                <w:szCs w:val="18"/>
                <w:color w:val="auto"/>
              </w:rPr>
              <w:t>143.6</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20" w:type="dxa"/>
            <w:vAlign w:val="bottom"/>
            <w:shd w:val="clear" w:color="auto" w:fill="E6E6E6"/>
          </w:tcPr>
          <w:p>
            <w:pPr>
              <w:ind w:left="140"/>
              <w:spacing w:after="0" w:line="206" w:lineRule="exact"/>
              <w:rPr>
                <w:sz w:val="20"/>
                <w:szCs w:val="20"/>
                <w:color w:val="auto"/>
              </w:rPr>
            </w:pPr>
            <w:r>
              <w:rPr>
                <w:rFonts w:ascii="Arial" w:cs="Arial" w:eastAsia="Arial" w:hAnsi="Arial"/>
                <w:sz w:val="18"/>
                <w:szCs w:val="18"/>
                <w:color w:val="auto"/>
              </w:rPr>
              <w:t>Accounts receivable (less allowance for doubtful accounts of $18.5 at May 31, 2010 and $15.2 at May 31,</w:t>
            </w:r>
          </w:p>
        </w:tc>
        <w:tc>
          <w:tcPr>
            <w:tcW w:w="600" w:type="dxa"/>
            <w:vAlign w:val="bottom"/>
            <w:shd w:val="clear" w:color="auto" w:fill="E6E6E6"/>
          </w:tcPr>
          <w:p>
            <w:pPr>
              <w:spacing w:after="0"/>
              <w:rPr>
                <w:sz w:val="17"/>
                <w:szCs w:val="17"/>
                <w:color w:val="auto"/>
              </w:rPr>
            </w:pPr>
          </w:p>
        </w:tc>
        <w:tc>
          <w:tcPr>
            <w:tcW w:w="900" w:type="dxa"/>
            <w:vAlign w:val="bottom"/>
            <w:shd w:val="clear" w:color="auto" w:fill="E6E6E6"/>
          </w:tcPr>
          <w:p>
            <w:pPr>
              <w:spacing w:after="0"/>
              <w:rPr>
                <w:sz w:val="17"/>
                <w:szCs w:val="17"/>
                <w:color w:val="auto"/>
              </w:rPr>
            </w:pPr>
          </w:p>
        </w:tc>
        <w:tc>
          <w:tcPr>
            <w:tcW w:w="360" w:type="dxa"/>
            <w:vAlign w:val="bottom"/>
            <w:shd w:val="clear" w:color="auto" w:fill="E6E6E6"/>
          </w:tcPr>
          <w:p>
            <w:pPr>
              <w:spacing w:after="0"/>
              <w:rPr>
                <w:sz w:val="17"/>
                <w:szCs w:val="17"/>
                <w:color w:val="auto"/>
              </w:rPr>
            </w:pPr>
          </w:p>
        </w:tc>
        <w:tc>
          <w:tcPr>
            <w:tcW w:w="820" w:type="dxa"/>
            <w:vAlign w:val="bottom"/>
            <w:shd w:val="clear" w:color="auto" w:fill="E6E6E6"/>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8720" w:type="dxa"/>
            <w:vAlign w:val="bottom"/>
            <w:shd w:val="clear" w:color="auto" w:fill="E6E6E6"/>
          </w:tcPr>
          <w:p>
            <w:pPr>
              <w:ind w:left="300"/>
              <w:spacing w:after="0" w:line="200" w:lineRule="exact"/>
              <w:rPr>
                <w:sz w:val="20"/>
                <w:szCs w:val="20"/>
                <w:color w:val="auto"/>
              </w:rPr>
            </w:pPr>
            <w:r>
              <w:rPr>
                <w:rFonts w:ascii="Arial" w:cs="Arial" w:eastAsia="Arial" w:hAnsi="Arial"/>
                <w:sz w:val="18"/>
                <w:szCs w:val="18"/>
                <w:color w:val="auto"/>
              </w:rPr>
              <w:t>2009)</w:t>
            </w:r>
          </w:p>
        </w:tc>
        <w:tc>
          <w:tcPr>
            <w:tcW w:w="600" w:type="dxa"/>
            <w:vAlign w:val="bottom"/>
            <w:shd w:val="clear" w:color="auto" w:fill="E6E6E6"/>
          </w:tcPr>
          <w:p>
            <w:pPr>
              <w:spacing w:after="0"/>
              <w:rPr>
                <w:sz w:val="17"/>
                <w:szCs w:val="17"/>
                <w:color w:val="auto"/>
              </w:rPr>
            </w:pPr>
          </w:p>
        </w:tc>
        <w:tc>
          <w:tcPr>
            <w:tcW w:w="900" w:type="dxa"/>
            <w:vAlign w:val="bottom"/>
            <w:shd w:val="clear" w:color="auto" w:fill="E6E6E6"/>
          </w:tcPr>
          <w:p>
            <w:pPr>
              <w:jc w:val="right"/>
              <w:ind w:right="113"/>
              <w:spacing w:after="0" w:line="200" w:lineRule="exact"/>
              <w:rPr>
                <w:sz w:val="20"/>
                <w:szCs w:val="20"/>
                <w:color w:val="auto"/>
              </w:rPr>
            </w:pPr>
            <w:r>
              <w:rPr>
                <w:rFonts w:ascii="Arial" w:cs="Arial" w:eastAsia="Arial" w:hAnsi="Arial"/>
                <w:sz w:val="18"/>
                <w:szCs w:val="18"/>
                <w:color w:val="auto"/>
              </w:rPr>
              <w:t>212.5</w:t>
            </w:r>
          </w:p>
        </w:tc>
        <w:tc>
          <w:tcPr>
            <w:tcW w:w="360" w:type="dxa"/>
            <w:vAlign w:val="bottom"/>
            <w:shd w:val="clear" w:color="auto" w:fill="E6E6E6"/>
          </w:tcPr>
          <w:p>
            <w:pPr>
              <w:spacing w:after="0"/>
              <w:rPr>
                <w:sz w:val="17"/>
                <w:szCs w:val="17"/>
                <w:color w:val="auto"/>
              </w:rPr>
            </w:pPr>
          </w:p>
        </w:tc>
        <w:tc>
          <w:tcPr>
            <w:tcW w:w="820" w:type="dxa"/>
            <w:vAlign w:val="bottom"/>
            <w:shd w:val="clear" w:color="auto" w:fill="E6E6E6"/>
          </w:tcPr>
          <w:p>
            <w:pPr>
              <w:jc w:val="right"/>
              <w:ind w:right="33"/>
              <w:spacing w:after="0" w:line="200" w:lineRule="exact"/>
              <w:rPr>
                <w:sz w:val="20"/>
                <w:szCs w:val="20"/>
                <w:color w:val="auto"/>
              </w:rPr>
            </w:pPr>
            <w:r>
              <w:rPr>
                <w:rFonts w:ascii="Arial" w:cs="Arial" w:eastAsia="Arial" w:hAnsi="Arial"/>
                <w:sz w:val="18"/>
                <w:szCs w:val="18"/>
                <w:color w:val="auto"/>
              </w:rPr>
              <w:t>197.4</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20" w:type="dxa"/>
            <w:vAlign w:val="bottom"/>
          </w:tcPr>
          <w:p>
            <w:pPr>
              <w:ind w:left="140"/>
              <w:spacing w:after="0" w:line="202" w:lineRule="exact"/>
              <w:rPr>
                <w:sz w:val="20"/>
                <w:szCs w:val="20"/>
                <w:color w:val="auto"/>
              </w:rPr>
            </w:pPr>
            <w:r>
              <w:rPr>
                <w:rFonts w:ascii="Arial" w:cs="Arial" w:eastAsia="Arial" w:hAnsi="Arial"/>
                <w:sz w:val="18"/>
                <w:szCs w:val="18"/>
                <w:color w:val="auto"/>
              </w:rPr>
              <w:t>Inventories</w:t>
            </w:r>
          </w:p>
        </w:tc>
        <w:tc>
          <w:tcPr>
            <w:tcW w:w="600" w:type="dxa"/>
            <w:vAlign w:val="bottom"/>
          </w:tcPr>
          <w:p>
            <w:pPr>
              <w:spacing w:after="0"/>
              <w:rPr>
                <w:sz w:val="17"/>
                <w:szCs w:val="17"/>
                <w:color w:val="auto"/>
              </w:rPr>
            </w:pPr>
          </w:p>
        </w:tc>
        <w:tc>
          <w:tcPr>
            <w:tcW w:w="900" w:type="dxa"/>
            <w:vAlign w:val="bottom"/>
          </w:tcPr>
          <w:p>
            <w:pPr>
              <w:jc w:val="right"/>
              <w:ind w:right="113"/>
              <w:spacing w:after="0" w:line="202" w:lineRule="exact"/>
              <w:rPr>
                <w:sz w:val="20"/>
                <w:szCs w:val="20"/>
                <w:color w:val="auto"/>
              </w:rPr>
            </w:pPr>
            <w:r>
              <w:rPr>
                <w:rFonts w:ascii="Arial" w:cs="Arial" w:eastAsia="Arial" w:hAnsi="Arial"/>
                <w:sz w:val="18"/>
                <w:szCs w:val="18"/>
                <w:color w:val="auto"/>
              </w:rPr>
              <w:t>315.7</w:t>
            </w:r>
          </w:p>
        </w:tc>
        <w:tc>
          <w:tcPr>
            <w:tcW w:w="360" w:type="dxa"/>
            <w:vAlign w:val="bottom"/>
          </w:tcPr>
          <w:p>
            <w:pPr>
              <w:spacing w:after="0"/>
              <w:rPr>
                <w:sz w:val="17"/>
                <w:szCs w:val="17"/>
                <w:color w:val="auto"/>
              </w:rPr>
            </w:pPr>
          </w:p>
        </w:tc>
        <w:tc>
          <w:tcPr>
            <w:tcW w:w="820" w:type="dxa"/>
            <w:vAlign w:val="bottom"/>
          </w:tcPr>
          <w:p>
            <w:pPr>
              <w:jc w:val="right"/>
              <w:ind w:right="33"/>
              <w:spacing w:after="0" w:line="202" w:lineRule="exact"/>
              <w:rPr>
                <w:sz w:val="20"/>
                <w:szCs w:val="20"/>
                <w:color w:val="auto"/>
              </w:rPr>
            </w:pPr>
            <w:r>
              <w:rPr>
                <w:rFonts w:ascii="Arial" w:cs="Arial" w:eastAsia="Arial" w:hAnsi="Arial"/>
                <w:sz w:val="18"/>
                <w:szCs w:val="18"/>
                <w:color w:val="auto"/>
              </w:rPr>
              <w:t>344.8</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20" w:type="dxa"/>
            <w:vAlign w:val="bottom"/>
            <w:shd w:val="clear" w:color="auto" w:fill="E6E6E6"/>
          </w:tcPr>
          <w:p>
            <w:pPr>
              <w:ind w:left="140"/>
              <w:spacing w:after="0" w:line="202" w:lineRule="exact"/>
              <w:rPr>
                <w:sz w:val="20"/>
                <w:szCs w:val="20"/>
                <w:color w:val="auto"/>
              </w:rPr>
            </w:pPr>
            <w:r>
              <w:rPr>
                <w:rFonts w:ascii="Arial" w:cs="Arial" w:eastAsia="Arial" w:hAnsi="Arial"/>
                <w:sz w:val="18"/>
                <w:szCs w:val="18"/>
                <w:color w:val="auto"/>
              </w:rPr>
              <w:t>Deferred income taxes</w:t>
            </w:r>
          </w:p>
        </w:tc>
        <w:tc>
          <w:tcPr>
            <w:tcW w:w="600" w:type="dxa"/>
            <w:vAlign w:val="bottom"/>
            <w:shd w:val="clear" w:color="auto" w:fill="E6E6E6"/>
          </w:tcPr>
          <w:p>
            <w:pPr>
              <w:spacing w:after="0"/>
              <w:rPr>
                <w:sz w:val="17"/>
                <w:szCs w:val="17"/>
                <w:color w:val="auto"/>
              </w:rPr>
            </w:pPr>
          </w:p>
        </w:tc>
        <w:tc>
          <w:tcPr>
            <w:tcW w:w="900" w:type="dxa"/>
            <w:vAlign w:val="bottom"/>
            <w:shd w:val="clear" w:color="auto" w:fill="E6E6E6"/>
          </w:tcPr>
          <w:p>
            <w:pPr>
              <w:jc w:val="right"/>
              <w:ind w:right="113"/>
              <w:spacing w:after="0" w:line="202" w:lineRule="exact"/>
              <w:rPr>
                <w:sz w:val="20"/>
                <w:szCs w:val="20"/>
                <w:color w:val="auto"/>
              </w:rPr>
            </w:pPr>
            <w:r>
              <w:rPr>
                <w:rFonts w:ascii="Arial" w:cs="Arial" w:eastAsia="Arial" w:hAnsi="Arial"/>
                <w:sz w:val="18"/>
                <w:szCs w:val="18"/>
                <w:color w:val="auto"/>
              </w:rPr>
              <w:t>59.3</w:t>
            </w:r>
          </w:p>
        </w:tc>
        <w:tc>
          <w:tcPr>
            <w:tcW w:w="360" w:type="dxa"/>
            <w:vAlign w:val="bottom"/>
            <w:shd w:val="clear" w:color="auto" w:fill="E6E6E6"/>
          </w:tcPr>
          <w:p>
            <w:pPr>
              <w:spacing w:after="0"/>
              <w:rPr>
                <w:sz w:val="17"/>
                <w:szCs w:val="17"/>
                <w:color w:val="auto"/>
              </w:rPr>
            </w:pPr>
          </w:p>
        </w:tc>
        <w:tc>
          <w:tcPr>
            <w:tcW w:w="820" w:type="dxa"/>
            <w:vAlign w:val="bottom"/>
            <w:shd w:val="clear" w:color="auto" w:fill="E6E6E6"/>
          </w:tcPr>
          <w:p>
            <w:pPr>
              <w:jc w:val="right"/>
              <w:ind w:right="33"/>
              <w:spacing w:after="0" w:line="202" w:lineRule="exact"/>
              <w:rPr>
                <w:sz w:val="20"/>
                <w:szCs w:val="20"/>
                <w:color w:val="auto"/>
              </w:rPr>
            </w:pPr>
            <w:r>
              <w:rPr>
                <w:rFonts w:ascii="Arial" w:cs="Arial" w:eastAsia="Arial" w:hAnsi="Arial"/>
                <w:sz w:val="18"/>
                <w:szCs w:val="18"/>
                <w:color w:val="auto"/>
              </w:rPr>
              <w:t>62.7</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20" w:type="dxa"/>
            <w:vAlign w:val="bottom"/>
          </w:tcPr>
          <w:p>
            <w:pPr>
              <w:ind w:left="140"/>
              <w:spacing w:after="0" w:line="202" w:lineRule="exact"/>
              <w:rPr>
                <w:sz w:val="20"/>
                <w:szCs w:val="20"/>
                <w:color w:val="auto"/>
              </w:rPr>
            </w:pPr>
            <w:r>
              <w:rPr>
                <w:rFonts w:ascii="Arial" w:cs="Arial" w:eastAsia="Arial" w:hAnsi="Arial"/>
                <w:sz w:val="18"/>
                <w:szCs w:val="18"/>
                <w:color w:val="auto"/>
              </w:rPr>
              <w:t>Prepaid expenses and other current assets</w:t>
            </w:r>
          </w:p>
        </w:tc>
        <w:tc>
          <w:tcPr>
            <w:tcW w:w="600" w:type="dxa"/>
            <w:vAlign w:val="bottom"/>
          </w:tcPr>
          <w:p>
            <w:pPr>
              <w:spacing w:after="0"/>
              <w:rPr>
                <w:sz w:val="17"/>
                <w:szCs w:val="17"/>
                <w:color w:val="auto"/>
              </w:rPr>
            </w:pPr>
          </w:p>
        </w:tc>
        <w:tc>
          <w:tcPr>
            <w:tcW w:w="900" w:type="dxa"/>
            <w:vAlign w:val="bottom"/>
          </w:tcPr>
          <w:p>
            <w:pPr>
              <w:jc w:val="right"/>
              <w:ind w:right="113"/>
              <w:spacing w:after="0" w:line="202" w:lineRule="exact"/>
              <w:rPr>
                <w:sz w:val="20"/>
                <w:szCs w:val="20"/>
                <w:color w:val="auto"/>
              </w:rPr>
            </w:pPr>
            <w:r>
              <w:rPr>
                <w:rFonts w:ascii="Arial" w:cs="Arial" w:eastAsia="Arial" w:hAnsi="Arial"/>
                <w:sz w:val="18"/>
                <w:szCs w:val="18"/>
                <w:color w:val="auto"/>
              </w:rPr>
              <w:t>42.5</w:t>
            </w:r>
          </w:p>
        </w:tc>
        <w:tc>
          <w:tcPr>
            <w:tcW w:w="360" w:type="dxa"/>
            <w:vAlign w:val="bottom"/>
          </w:tcPr>
          <w:p>
            <w:pPr>
              <w:spacing w:after="0"/>
              <w:rPr>
                <w:sz w:val="17"/>
                <w:szCs w:val="17"/>
                <w:color w:val="auto"/>
              </w:rPr>
            </w:pPr>
          </w:p>
        </w:tc>
        <w:tc>
          <w:tcPr>
            <w:tcW w:w="820" w:type="dxa"/>
            <w:vAlign w:val="bottom"/>
          </w:tcPr>
          <w:p>
            <w:pPr>
              <w:jc w:val="right"/>
              <w:ind w:right="33"/>
              <w:spacing w:after="0" w:line="202" w:lineRule="exact"/>
              <w:rPr>
                <w:sz w:val="20"/>
                <w:szCs w:val="20"/>
                <w:color w:val="auto"/>
              </w:rPr>
            </w:pPr>
            <w:r>
              <w:rPr>
                <w:rFonts w:ascii="Arial" w:cs="Arial" w:eastAsia="Arial" w:hAnsi="Arial"/>
                <w:sz w:val="18"/>
                <w:szCs w:val="18"/>
                <w:color w:val="auto"/>
              </w:rPr>
              <w:t>40.3</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20" w:type="dxa"/>
            <w:vAlign w:val="bottom"/>
            <w:shd w:val="clear" w:color="auto" w:fill="E6E6E6"/>
          </w:tcPr>
          <w:p>
            <w:pPr>
              <w:ind w:left="140"/>
              <w:spacing w:after="0" w:line="202" w:lineRule="exact"/>
              <w:rPr>
                <w:sz w:val="20"/>
                <w:szCs w:val="20"/>
                <w:color w:val="auto"/>
              </w:rPr>
            </w:pPr>
            <w:r>
              <w:rPr>
                <w:rFonts w:ascii="Arial" w:cs="Arial" w:eastAsia="Arial" w:hAnsi="Arial"/>
                <w:sz w:val="18"/>
                <w:szCs w:val="18"/>
                <w:color w:val="auto"/>
              </w:rPr>
              <w:t>Current assets of discontinued operations</w:t>
            </w:r>
          </w:p>
        </w:tc>
        <w:tc>
          <w:tcPr>
            <w:tcW w:w="600" w:type="dxa"/>
            <w:vAlign w:val="bottom"/>
            <w:shd w:val="clear" w:color="auto" w:fill="E6E6E6"/>
          </w:tcPr>
          <w:p>
            <w:pPr>
              <w:spacing w:after="0"/>
              <w:rPr>
                <w:sz w:val="17"/>
                <w:szCs w:val="17"/>
                <w:color w:val="auto"/>
              </w:rPr>
            </w:pPr>
          </w:p>
        </w:tc>
        <w:tc>
          <w:tcPr>
            <w:tcW w:w="900" w:type="dxa"/>
            <w:vAlign w:val="bottom"/>
            <w:shd w:val="clear" w:color="auto" w:fill="E6E6E6"/>
          </w:tcPr>
          <w:p>
            <w:pPr>
              <w:jc w:val="right"/>
              <w:ind w:right="113"/>
              <w:spacing w:after="0" w:line="202" w:lineRule="exact"/>
              <w:rPr>
                <w:sz w:val="20"/>
                <w:szCs w:val="20"/>
                <w:color w:val="auto"/>
              </w:rPr>
            </w:pPr>
            <w:r>
              <w:rPr>
                <w:rFonts w:ascii="Arial" w:cs="Arial" w:eastAsia="Arial" w:hAnsi="Arial"/>
                <w:sz w:val="18"/>
                <w:szCs w:val="18"/>
                <w:color w:val="auto"/>
              </w:rPr>
              <w:t>20.4</w:t>
            </w:r>
          </w:p>
        </w:tc>
        <w:tc>
          <w:tcPr>
            <w:tcW w:w="360" w:type="dxa"/>
            <w:vAlign w:val="bottom"/>
            <w:shd w:val="clear" w:color="auto" w:fill="E6E6E6"/>
          </w:tcPr>
          <w:p>
            <w:pPr>
              <w:spacing w:after="0"/>
              <w:rPr>
                <w:sz w:val="17"/>
                <w:szCs w:val="17"/>
                <w:color w:val="auto"/>
              </w:rPr>
            </w:pPr>
          </w:p>
        </w:tc>
        <w:tc>
          <w:tcPr>
            <w:tcW w:w="820" w:type="dxa"/>
            <w:vAlign w:val="bottom"/>
            <w:shd w:val="clear" w:color="auto" w:fill="E6E6E6"/>
          </w:tcPr>
          <w:p>
            <w:pPr>
              <w:jc w:val="right"/>
              <w:ind w:right="33"/>
              <w:spacing w:after="0" w:line="202" w:lineRule="exact"/>
              <w:rPr>
                <w:sz w:val="20"/>
                <w:szCs w:val="20"/>
                <w:color w:val="auto"/>
              </w:rPr>
            </w:pPr>
            <w:r>
              <w:rPr>
                <w:rFonts w:ascii="Arial" w:cs="Arial" w:eastAsia="Arial" w:hAnsi="Arial"/>
                <w:sz w:val="18"/>
                <w:szCs w:val="18"/>
                <w:color w:val="auto"/>
              </w:rPr>
              <w:t>31.0</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72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8740" w:type="dxa"/>
            <w:vAlign w:val="bottom"/>
            <w:gridSpan w:val="2"/>
          </w:tcPr>
          <w:p>
            <w:pPr>
              <w:spacing w:after="0"/>
              <w:rPr>
                <w:sz w:val="20"/>
                <w:szCs w:val="20"/>
                <w:color w:val="auto"/>
              </w:rPr>
            </w:pPr>
            <w:r>
              <w:rPr>
                <w:rFonts w:ascii="Arial" w:cs="Arial" w:eastAsia="Arial" w:hAnsi="Arial"/>
                <w:sz w:val="18"/>
                <w:szCs w:val="18"/>
                <w:b w:val="1"/>
                <w:bCs w:val="1"/>
                <w:color w:val="auto"/>
              </w:rPr>
              <w:t>Total current assets</w:t>
            </w:r>
          </w:p>
        </w:tc>
        <w:tc>
          <w:tcPr>
            <w:tcW w:w="600" w:type="dxa"/>
            <w:vAlign w:val="bottom"/>
          </w:tcPr>
          <w:p>
            <w:pPr>
              <w:spacing w:after="0"/>
              <w:rPr>
                <w:sz w:val="24"/>
                <w:szCs w:val="24"/>
                <w:color w:val="auto"/>
              </w:rPr>
            </w:pPr>
          </w:p>
        </w:tc>
        <w:tc>
          <w:tcPr>
            <w:tcW w:w="900" w:type="dxa"/>
            <w:vAlign w:val="bottom"/>
          </w:tcPr>
          <w:p>
            <w:pPr>
              <w:jc w:val="right"/>
              <w:ind w:right="113"/>
              <w:spacing w:after="0"/>
              <w:rPr>
                <w:sz w:val="20"/>
                <w:szCs w:val="20"/>
                <w:color w:val="auto"/>
              </w:rPr>
            </w:pPr>
            <w:r>
              <w:rPr>
                <w:rFonts w:ascii="Arial" w:cs="Arial" w:eastAsia="Arial" w:hAnsi="Arial"/>
                <w:sz w:val="18"/>
                <w:szCs w:val="18"/>
                <w:b w:val="1"/>
                <w:bCs w:val="1"/>
                <w:color w:val="auto"/>
              </w:rPr>
              <w:t>894.5</w:t>
            </w:r>
          </w:p>
        </w:tc>
        <w:tc>
          <w:tcPr>
            <w:tcW w:w="360" w:type="dxa"/>
            <w:vAlign w:val="bottom"/>
          </w:tcPr>
          <w:p>
            <w:pPr>
              <w:spacing w:after="0"/>
              <w:rPr>
                <w:sz w:val="24"/>
                <w:szCs w:val="24"/>
                <w:color w:val="auto"/>
              </w:rPr>
            </w:pPr>
          </w:p>
        </w:tc>
        <w:tc>
          <w:tcPr>
            <w:tcW w:w="820" w:type="dxa"/>
            <w:vAlign w:val="bottom"/>
          </w:tcPr>
          <w:p>
            <w:pPr>
              <w:jc w:val="right"/>
              <w:ind w:right="33"/>
              <w:spacing w:after="0"/>
              <w:rPr>
                <w:sz w:val="20"/>
                <w:szCs w:val="20"/>
                <w:color w:val="auto"/>
              </w:rPr>
            </w:pPr>
            <w:r>
              <w:rPr>
                <w:rFonts w:ascii="Arial" w:cs="Arial" w:eastAsia="Arial" w:hAnsi="Arial"/>
                <w:sz w:val="18"/>
                <w:szCs w:val="18"/>
                <w:b w:val="1"/>
                <w:bCs w:val="1"/>
                <w:color w:val="auto"/>
              </w:rPr>
              <w:t>819.8</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8740" w:type="dxa"/>
            <w:vAlign w:val="bottom"/>
            <w:tcBorders>
              <w:bottom w:val="single" w:sz="8" w:color="808080"/>
            </w:tcBorders>
            <w:gridSpan w:val="2"/>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vMerge w:val="restart"/>
          </w:tcPr>
          <w:p>
            <w:pPr>
              <w:spacing w:after="0"/>
              <w:rPr>
                <w:sz w:val="21"/>
                <w:szCs w:val="21"/>
                <w:color w:val="auto"/>
              </w:rPr>
            </w:pPr>
          </w:p>
        </w:tc>
        <w:tc>
          <w:tcPr>
            <w:tcW w:w="87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8720" w:type="dxa"/>
            <w:vAlign w:val="bottom"/>
            <w:shd w:val="clear" w:color="auto" w:fill="E6E6E6"/>
          </w:tcPr>
          <w:p>
            <w:pPr>
              <w:spacing w:after="0" w:line="202" w:lineRule="exact"/>
              <w:rPr>
                <w:sz w:val="20"/>
                <w:szCs w:val="20"/>
                <w:color w:val="auto"/>
              </w:rPr>
            </w:pPr>
            <w:r>
              <w:rPr>
                <w:rFonts w:ascii="Arial" w:cs="Arial" w:eastAsia="Arial" w:hAnsi="Arial"/>
                <w:sz w:val="18"/>
                <w:szCs w:val="18"/>
                <w:b w:val="1"/>
                <w:bCs w:val="1"/>
                <w:color w:val="auto"/>
              </w:rPr>
              <w:t>Property, Plant and Equipment</w:t>
            </w:r>
          </w:p>
        </w:tc>
        <w:tc>
          <w:tcPr>
            <w:tcW w:w="600" w:type="dxa"/>
            <w:vAlign w:val="bottom"/>
            <w:shd w:val="clear" w:color="auto" w:fill="E6E6E6"/>
          </w:tcPr>
          <w:p>
            <w:pPr>
              <w:spacing w:after="0"/>
              <w:rPr>
                <w:sz w:val="17"/>
                <w:szCs w:val="17"/>
                <w:color w:val="auto"/>
              </w:rPr>
            </w:pPr>
          </w:p>
        </w:tc>
        <w:tc>
          <w:tcPr>
            <w:tcW w:w="900" w:type="dxa"/>
            <w:vAlign w:val="bottom"/>
            <w:shd w:val="clear" w:color="auto" w:fill="E6E6E6"/>
          </w:tcPr>
          <w:p>
            <w:pPr>
              <w:spacing w:after="0"/>
              <w:rPr>
                <w:sz w:val="17"/>
                <w:szCs w:val="17"/>
                <w:color w:val="auto"/>
              </w:rPr>
            </w:pPr>
          </w:p>
        </w:tc>
        <w:tc>
          <w:tcPr>
            <w:tcW w:w="360" w:type="dxa"/>
            <w:vAlign w:val="bottom"/>
            <w:shd w:val="clear" w:color="auto" w:fill="E6E6E6"/>
          </w:tcPr>
          <w:p>
            <w:pPr>
              <w:spacing w:after="0"/>
              <w:rPr>
                <w:sz w:val="17"/>
                <w:szCs w:val="17"/>
                <w:color w:val="auto"/>
              </w:rPr>
            </w:pPr>
          </w:p>
        </w:tc>
        <w:tc>
          <w:tcPr>
            <w:tcW w:w="820" w:type="dxa"/>
            <w:vAlign w:val="bottom"/>
            <w:shd w:val="clear" w:color="auto" w:fill="E6E6E6"/>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20" w:type="dxa"/>
            <w:vAlign w:val="bottom"/>
          </w:tcPr>
          <w:p>
            <w:pPr>
              <w:ind w:left="140"/>
              <w:spacing w:after="0" w:line="202" w:lineRule="exact"/>
              <w:rPr>
                <w:sz w:val="20"/>
                <w:szCs w:val="20"/>
                <w:color w:val="auto"/>
              </w:rPr>
            </w:pPr>
            <w:r>
              <w:rPr>
                <w:rFonts w:ascii="Arial" w:cs="Arial" w:eastAsia="Arial" w:hAnsi="Arial"/>
                <w:sz w:val="18"/>
                <w:szCs w:val="18"/>
                <w:color w:val="auto"/>
              </w:rPr>
              <w:t>Land</w:t>
            </w:r>
          </w:p>
        </w:tc>
        <w:tc>
          <w:tcPr>
            <w:tcW w:w="600" w:type="dxa"/>
            <w:vAlign w:val="bottom"/>
          </w:tcPr>
          <w:p>
            <w:pPr>
              <w:spacing w:after="0"/>
              <w:rPr>
                <w:sz w:val="17"/>
                <w:szCs w:val="17"/>
                <w:color w:val="auto"/>
              </w:rPr>
            </w:pPr>
          </w:p>
        </w:tc>
        <w:tc>
          <w:tcPr>
            <w:tcW w:w="900" w:type="dxa"/>
            <w:vAlign w:val="bottom"/>
          </w:tcPr>
          <w:p>
            <w:pPr>
              <w:jc w:val="right"/>
              <w:ind w:right="113"/>
              <w:spacing w:after="0" w:line="202" w:lineRule="exact"/>
              <w:rPr>
                <w:sz w:val="20"/>
                <w:szCs w:val="20"/>
                <w:color w:val="auto"/>
              </w:rPr>
            </w:pPr>
            <w:r>
              <w:rPr>
                <w:rFonts w:ascii="Arial" w:cs="Arial" w:eastAsia="Arial" w:hAnsi="Arial"/>
                <w:sz w:val="18"/>
                <w:szCs w:val="18"/>
                <w:color w:val="auto"/>
              </w:rPr>
              <w:t>11.0</w:t>
            </w:r>
          </w:p>
        </w:tc>
        <w:tc>
          <w:tcPr>
            <w:tcW w:w="360" w:type="dxa"/>
            <w:vAlign w:val="bottom"/>
          </w:tcPr>
          <w:p>
            <w:pPr>
              <w:spacing w:after="0"/>
              <w:rPr>
                <w:sz w:val="17"/>
                <w:szCs w:val="17"/>
                <w:color w:val="auto"/>
              </w:rPr>
            </w:pPr>
          </w:p>
        </w:tc>
        <w:tc>
          <w:tcPr>
            <w:tcW w:w="820" w:type="dxa"/>
            <w:vAlign w:val="bottom"/>
          </w:tcPr>
          <w:p>
            <w:pPr>
              <w:jc w:val="right"/>
              <w:ind w:right="33"/>
              <w:spacing w:after="0" w:line="202" w:lineRule="exact"/>
              <w:rPr>
                <w:sz w:val="20"/>
                <w:szCs w:val="20"/>
                <w:color w:val="auto"/>
              </w:rPr>
            </w:pPr>
            <w:r>
              <w:rPr>
                <w:rFonts w:ascii="Arial" w:cs="Arial" w:eastAsia="Arial" w:hAnsi="Arial"/>
                <w:sz w:val="18"/>
                <w:szCs w:val="18"/>
                <w:color w:val="auto"/>
              </w:rPr>
              <w:t>10.6</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20" w:type="dxa"/>
            <w:vAlign w:val="bottom"/>
            <w:shd w:val="clear" w:color="auto" w:fill="E6E6E6"/>
          </w:tcPr>
          <w:p>
            <w:pPr>
              <w:ind w:left="140"/>
              <w:spacing w:after="0" w:line="202" w:lineRule="exact"/>
              <w:rPr>
                <w:sz w:val="20"/>
                <w:szCs w:val="20"/>
                <w:color w:val="auto"/>
              </w:rPr>
            </w:pPr>
            <w:r>
              <w:rPr>
                <w:rFonts w:ascii="Arial" w:cs="Arial" w:eastAsia="Arial" w:hAnsi="Arial"/>
                <w:sz w:val="18"/>
                <w:szCs w:val="18"/>
                <w:color w:val="auto"/>
              </w:rPr>
              <w:t>Buildings</w:t>
            </w:r>
          </w:p>
        </w:tc>
        <w:tc>
          <w:tcPr>
            <w:tcW w:w="600" w:type="dxa"/>
            <w:vAlign w:val="bottom"/>
            <w:shd w:val="clear" w:color="auto" w:fill="E6E6E6"/>
          </w:tcPr>
          <w:p>
            <w:pPr>
              <w:spacing w:after="0"/>
              <w:rPr>
                <w:sz w:val="17"/>
                <w:szCs w:val="17"/>
                <w:color w:val="auto"/>
              </w:rPr>
            </w:pPr>
          </w:p>
        </w:tc>
        <w:tc>
          <w:tcPr>
            <w:tcW w:w="900" w:type="dxa"/>
            <w:vAlign w:val="bottom"/>
            <w:shd w:val="clear" w:color="auto" w:fill="E6E6E6"/>
          </w:tcPr>
          <w:p>
            <w:pPr>
              <w:jc w:val="right"/>
              <w:ind w:right="113"/>
              <w:spacing w:after="0" w:line="202" w:lineRule="exact"/>
              <w:rPr>
                <w:sz w:val="20"/>
                <w:szCs w:val="20"/>
                <w:color w:val="auto"/>
              </w:rPr>
            </w:pPr>
            <w:r>
              <w:rPr>
                <w:rFonts w:ascii="Arial" w:cs="Arial" w:eastAsia="Arial" w:hAnsi="Arial"/>
                <w:sz w:val="18"/>
                <w:szCs w:val="18"/>
                <w:color w:val="auto"/>
              </w:rPr>
              <w:t>92.2</w:t>
            </w:r>
          </w:p>
        </w:tc>
        <w:tc>
          <w:tcPr>
            <w:tcW w:w="360" w:type="dxa"/>
            <w:vAlign w:val="bottom"/>
            <w:shd w:val="clear" w:color="auto" w:fill="E6E6E6"/>
          </w:tcPr>
          <w:p>
            <w:pPr>
              <w:spacing w:after="0"/>
              <w:rPr>
                <w:sz w:val="17"/>
                <w:szCs w:val="17"/>
                <w:color w:val="auto"/>
              </w:rPr>
            </w:pPr>
          </w:p>
        </w:tc>
        <w:tc>
          <w:tcPr>
            <w:tcW w:w="820" w:type="dxa"/>
            <w:vAlign w:val="bottom"/>
            <w:shd w:val="clear" w:color="auto" w:fill="E6E6E6"/>
          </w:tcPr>
          <w:p>
            <w:pPr>
              <w:jc w:val="right"/>
              <w:ind w:right="33"/>
              <w:spacing w:after="0" w:line="202" w:lineRule="exact"/>
              <w:rPr>
                <w:sz w:val="20"/>
                <w:szCs w:val="20"/>
                <w:color w:val="auto"/>
              </w:rPr>
            </w:pPr>
            <w:r>
              <w:rPr>
                <w:rFonts w:ascii="Arial" w:cs="Arial" w:eastAsia="Arial" w:hAnsi="Arial"/>
                <w:sz w:val="18"/>
                <w:szCs w:val="18"/>
                <w:color w:val="auto"/>
              </w:rPr>
              <w:t>92.0</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20" w:type="dxa"/>
            <w:vAlign w:val="bottom"/>
          </w:tcPr>
          <w:p>
            <w:pPr>
              <w:ind w:left="140"/>
              <w:spacing w:after="0" w:line="202" w:lineRule="exact"/>
              <w:rPr>
                <w:sz w:val="20"/>
                <w:szCs w:val="20"/>
                <w:color w:val="auto"/>
              </w:rPr>
            </w:pPr>
            <w:r>
              <w:rPr>
                <w:rFonts w:ascii="Arial" w:cs="Arial" w:eastAsia="Arial" w:hAnsi="Arial"/>
                <w:sz w:val="18"/>
                <w:szCs w:val="18"/>
                <w:color w:val="auto"/>
              </w:rPr>
              <w:t>Capitalized software</w:t>
            </w:r>
          </w:p>
        </w:tc>
        <w:tc>
          <w:tcPr>
            <w:tcW w:w="600" w:type="dxa"/>
            <w:vAlign w:val="bottom"/>
          </w:tcPr>
          <w:p>
            <w:pPr>
              <w:spacing w:after="0"/>
              <w:rPr>
                <w:sz w:val="17"/>
                <w:szCs w:val="17"/>
                <w:color w:val="auto"/>
              </w:rPr>
            </w:pPr>
          </w:p>
        </w:tc>
        <w:tc>
          <w:tcPr>
            <w:tcW w:w="900" w:type="dxa"/>
            <w:vAlign w:val="bottom"/>
          </w:tcPr>
          <w:p>
            <w:pPr>
              <w:jc w:val="right"/>
              <w:ind w:right="113"/>
              <w:spacing w:after="0" w:line="202" w:lineRule="exact"/>
              <w:rPr>
                <w:sz w:val="20"/>
                <w:szCs w:val="20"/>
                <w:color w:val="auto"/>
              </w:rPr>
            </w:pPr>
            <w:r>
              <w:rPr>
                <w:rFonts w:ascii="Arial" w:cs="Arial" w:eastAsia="Arial" w:hAnsi="Arial"/>
                <w:sz w:val="18"/>
                <w:szCs w:val="18"/>
                <w:color w:val="auto"/>
              </w:rPr>
              <w:t>213.8</w:t>
            </w:r>
          </w:p>
        </w:tc>
        <w:tc>
          <w:tcPr>
            <w:tcW w:w="360" w:type="dxa"/>
            <w:vAlign w:val="bottom"/>
          </w:tcPr>
          <w:p>
            <w:pPr>
              <w:spacing w:after="0"/>
              <w:rPr>
                <w:sz w:val="17"/>
                <w:szCs w:val="17"/>
                <w:color w:val="auto"/>
              </w:rPr>
            </w:pPr>
          </w:p>
        </w:tc>
        <w:tc>
          <w:tcPr>
            <w:tcW w:w="820" w:type="dxa"/>
            <w:vAlign w:val="bottom"/>
          </w:tcPr>
          <w:p>
            <w:pPr>
              <w:jc w:val="right"/>
              <w:ind w:right="33"/>
              <w:spacing w:after="0" w:line="202" w:lineRule="exact"/>
              <w:rPr>
                <w:sz w:val="20"/>
                <w:szCs w:val="20"/>
                <w:color w:val="auto"/>
              </w:rPr>
            </w:pPr>
            <w:r>
              <w:rPr>
                <w:rFonts w:ascii="Arial" w:cs="Arial" w:eastAsia="Arial" w:hAnsi="Arial"/>
                <w:sz w:val="18"/>
                <w:szCs w:val="18"/>
                <w:color w:val="auto"/>
              </w:rPr>
              <w:t>199.1</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20" w:type="dxa"/>
            <w:vAlign w:val="bottom"/>
            <w:shd w:val="clear" w:color="auto" w:fill="E6E6E6"/>
          </w:tcPr>
          <w:p>
            <w:pPr>
              <w:ind w:left="140"/>
              <w:spacing w:after="0" w:line="202" w:lineRule="exact"/>
              <w:rPr>
                <w:sz w:val="20"/>
                <w:szCs w:val="20"/>
                <w:color w:val="auto"/>
              </w:rPr>
            </w:pPr>
            <w:r>
              <w:rPr>
                <w:rFonts w:ascii="Arial" w:cs="Arial" w:eastAsia="Arial" w:hAnsi="Arial"/>
                <w:sz w:val="18"/>
                <w:szCs w:val="18"/>
                <w:color w:val="auto"/>
              </w:rPr>
              <w:t>Furniture, fixtures and equipment</w:t>
            </w:r>
          </w:p>
        </w:tc>
        <w:tc>
          <w:tcPr>
            <w:tcW w:w="600" w:type="dxa"/>
            <w:vAlign w:val="bottom"/>
            <w:shd w:val="clear" w:color="auto" w:fill="E6E6E6"/>
          </w:tcPr>
          <w:p>
            <w:pPr>
              <w:spacing w:after="0"/>
              <w:rPr>
                <w:sz w:val="17"/>
                <w:szCs w:val="17"/>
                <w:color w:val="auto"/>
              </w:rPr>
            </w:pPr>
          </w:p>
        </w:tc>
        <w:tc>
          <w:tcPr>
            <w:tcW w:w="900" w:type="dxa"/>
            <w:vAlign w:val="bottom"/>
            <w:shd w:val="clear" w:color="auto" w:fill="E6E6E6"/>
          </w:tcPr>
          <w:p>
            <w:pPr>
              <w:jc w:val="right"/>
              <w:ind w:right="113"/>
              <w:spacing w:after="0" w:line="202" w:lineRule="exact"/>
              <w:rPr>
                <w:sz w:val="20"/>
                <w:szCs w:val="20"/>
                <w:color w:val="auto"/>
              </w:rPr>
            </w:pPr>
            <w:r>
              <w:rPr>
                <w:rFonts w:ascii="Arial" w:cs="Arial" w:eastAsia="Arial" w:hAnsi="Arial"/>
                <w:sz w:val="18"/>
                <w:szCs w:val="18"/>
                <w:color w:val="auto"/>
              </w:rPr>
              <w:t>227.1</w:t>
            </w:r>
          </w:p>
        </w:tc>
        <w:tc>
          <w:tcPr>
            <w:tcW w:w="360" w:type="dxa"/>
            <w:vAlign w:val="bottom"/>
            <w:shd w:val="clear" w:color="auto" w:fill="E6E6E6"/>
          </w:tcPr>
          <w:p>
            <w:pPr>
              <w:spacing w:after="0"/>
              <w:rPr>
                <w:sz w:val="17"/>
                <w:szCs w:val="17"/>
                <w:color w:val="auto"/>
              </w:rPr>
            </w:pPr>
          </w:p>
        </w:tc>
        <w:tc>
          <w:tcPr>
            <w:tcW w:w="820" w:type="dxa"/>
            <w:vAlign w:val="bottom"/>
            <w:shd w:val="clear" w:color="auto" w:fill="E6E6E6"/>
          </w:tcPr>
          <w:p>
            <w:pPr>
              <w:jc w:val="right"/>
              <w:ind w:right="33"/>
              <w:spacing w:after="0" w:line="202" w:lineRule="exact"/>
              <w:rPr>
                <w:sz w:val="20"/>
                <w:szCs w:val="20"/>
                <w:color w:val="auto"/>
              </w:rPr>
            </w:pPr>
            <w:r>
              <w:rPr>
                <w:rFonts w:ascii="Arial" w:cs="Arial" w:eastAsia="Arial" w:hAnsi="Arial"/>
                <w:sz w:val="18"/>
                <w:szCs w:val="18"/>
                <w:color w:val="auto"/>
              </w:rPr>
              <w:t>249.7</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720" w:type="dxa"/>
            <w:vAlign w:val="bottom"/>
          </w:tcPr>
          <w:p>
            <w:pPr>
              <w:ind w:left="140"/>
              <w:spacing w:after="0"/>
              <w:rPr>
                <w:sz w:val="20"/>
                <w:szCs w:val="20"/>
                <w:color w:val="auto"/>
              </w:rPr>
            </w:pPr>
            <w:r>
              <w:rPr>
                <w:rFonts w:ascii="Arial" w:cs="Arial" w:eastAsia="Arial" w:hAnsi="Arial"/>
                <w:sz w:val="18"/>
                <w:szCs w:val="18"/>
                <w:color w:val="auto"/>
              </w:rPr>
              <w:t>Leasehold improvements</w:t>
            </w:r>
          </w:p>
        </w:tc>
        <w:tc>
          <w:tcPr>
            <w:tcW w:w="600" w:type="dxa"/>
            <w:vAlign w:val="bottom"/>
          </w:tcPr>
          <w:p>
            <w:pPr>
              <w:spacing w:after="0"/>
              <w:rPr>
                <w:sz w:val="18"/>
                <w:szCs w:val="18"/>
                <w:color w:val="auto"/>
              </w:rPr>
            </w:pPr>
          </w:p>
        </w:tc>
        <w:tc>
          <w:tcPr>
            <w:tcW w:w="900" w:type="dxa"/>
            <w:vAlign w:val="bottom"/>
          </w:tcPr>
          <w:p>
            <w:pPr>
              <w:jc w:val="right"/>
              <w:ind w:right="113"/>
              <w:spacing w:after="0"/>
              <w:rPr>
                <w:sz w:val="20"/>
                <w:szCs w:val="20"/>
                <w:color w:val="auto"/>
              </w:rPr>
            </w:pPr>
            <w:r>
              <w:rPr>
                <w:rFonts w:ascii="Arial" w:cs="Arial" w:eastAsia="Arial" w:hAnsi="Arial"/>
                <w:sz w:val="18"/>
                <w:szCs w:val="18"/>
                <w:color w:val="auto"/>
              </w:rPr>
              <w:t>177.6</w:t>
            </w:r>
          </w:p>
        </w:tc>
        <w:tc>
          <w:tcPr>
            <w:tcW w:w="360" w:type="dxa"/>
            <w:vAlign w:val="bottom"/>
          </w:tcPr>
          <w:p>
            <w:pPr>
              <w:spacing w:after="0"/>
              <w:rPr>
                <w:sz w:val="18"/>
                <w:szCs w:val="18"/>
                <w:color w:val="auto"/>
              </w:rPr>
            </w:pPr>
          </w:p>
        </w:tc>
        <w:tc>
          <w:tcPr>
            <w:tcW w:w="820" w:type="dxa"/>
            <w:vAlign w:val="bottom"/>
          </w:tcPr>
          <w:p>
            <w:pPr>
              <w:jc w:val="right"/>
              <w:ind w:right="33"/>
              <w:spacing w:after="0"/>
              <w:rPr>
                <w:sz w:val="20"/>
                <w:szCs w:val="20"/>
                <w:color w:val="auto"/>
              </w:rPr>
            </w:pPr>
            <w:r>
              <w:rPr>
                <w:rFonts w:ascii="Arial" w:cs="Arial" w:eastAsia="Arial" w:hAnsi="Arial"/>
                <w:sz w:val="18"/>
                <w:szCs w:val="18"/>
                <w:color w:val="auto"/>
              </w:rPr>
              <w:t>179.6</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872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720" w:type="dxa"/>
            <w:vAlign w:val="bottom"/>
          </w:tcPr>
          <w:p>
            <w:pPr>
              <w:spacing w:after="0"/>
              <w:rPr>
                <w:sz w:val="8"/>
                <w:szCs w:val="8"/>
                <w:color w:val="auto"/>
              </w:rPr>
            </w:pPr>
          </w:p>
        </w:tc>
        <w:tc>
          <w:tcPr>
            <w:tcW w:w="600" w:type="dxa"/>
            <w:vAlign w:val="bottom"/>
          </w:tcPr>
          <w:p>
            <w:pPr>
              <w:spacing w:after="0"/>
              <w:rPr>
                <w:sz w:val="8"/>
                <w:szCs w:val="8"/>
                <w:color w:val="auto"/>
              </w:rPr>
            </w:pPr>
          </w:p>
        </w:tc>
        <w:tc>
          <w:tcPr>
            <w:tcW w:w="900" w:type="dxa"/>
            <w:vAlign w:val="bottom"/>
          </w:tcPr>
          <w:p>
            <w:pPr>
              <w:spacing w:after="0"/>
              <w:rPr>
                <w:sz w:val="8"/>
                <w:szCs w:val="8"/>
                <w:color w:val="auto"/>
              </w:rPr>
            </w:pPr>
          </w:p>
        </w:tc>
        <w:tc>
          <w:tcPr>
            <w:tcW w:w="36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20" w:type="dxa"/>
            <w:vAlign w:val="bottom"/>
            <w:shd w:val="clear" w:color="auto" w:fill="E6E6E6"/>
          </w:tcPr>
          <w:p>
            <w:pPr>
              <w:spacing w:after="0"/>
              <w:rPr>
                <w:sz w:val="17"/>
                <w:szCs w:val="17"/>
                <w:color w:val="auto"/>
              </w:rPr>
            </w:pPr>
          </w:p>
        </w:tc>
        <w:tc>
          <w:tcPr>
            <w:tcW w:w="600" w:type="dxa"/>
            <w:vAlign w:val="bottom"/>
            <w:shd w:val="clear" w:color="auto" w:fill="E6E6E6"/>
          </w:tcPr>
          <w:p>
            <w:pPr>
              <w:spacing w:after="0"/>
              <w:rPr>
                <w:sz w:val="17"/>
                <w:szCs w:val="17"/>
                <w:color w:val="auto"/>
              </w:rPr>
            </w:pPr>
          </w:p>
        </w:tc>
        <w:tc>
          <w:tcPr>
            <w:tcW w:w="900" w:type="dxa"/>
            <w:vAlign w:val="bottom"/>
            <w:shd w:val="clear" w:color="auto" w:fill="E6E6E6"/>
          </w:tcPr>
          <w:p>
            <w:pPr>
              <w:jc w:val="right"/>
              <w:ind w:right="113"/>
              <w:spacing w:after="0" w:line="202" w:lineRule="exact"/>
              <w:rPr>
                <w:sz w:val="20"/>
                <w:szCs w:val="20"/>
                <w:color w:val="auto"/>
              </w:rPr>
            </w:pPr>
            <w:r>
              <w:rPr>
                <w:rFonts w:ascii="Arial" w:cs="Arial" w:eastAsia="Arial" w:hAnsi="Arial"/>
                <w:sz w:val="18"/>
                <w:szCs w:val="18"/>
                <w:color w:val="auto"/>
              </w:rPr>
              <w:t>721.7</w:t>
            </w:r>
          </w:p>
        </w:tc>
        <w:tc>
          <w:tcPr>
            <w:tcW w:w="360" w:type="dxa"/>
            <w:vAlign w:val="bottom"/>
            <w:shd w:val="clear" w:color="auto" w:fill="E6E6E6"/>
          </w:tcPr>
          <w:p>
            <w:pPr>
              <w:spacing w:after="0"/>
              <w:rPr>
                <w:sz w:val="17"/>
                <w:szCs w:val="17"/>
                <w:color w:val="auto"/>
              </w:rPr>
            </w:pPr>
          </w:p>
        </w:tc>
        <w:tc>
          <w:tcPr>
            <w:tcW w:w="820" w:type="dxa"/>
            <w:vAlign w:val="bottom"/>
            <w:shd w:val="clear" w:color="auto" w:fill="E6E6E6"/>
          </w:tcPr>
          <w:p>
            <w:pPr>
              <w:jc w:val="right"/>
              <w:ind w:right="33"/>
              <w:spacing w:after="0" w:line="202" w:lineRule="exact"/>
              <w:rPr>
                <w:sz w:val="20"/>
                <w:szCs w:val="20"/>
                <w:color w:val="auto"/>
              </w:rPr>
            </w:pPr>
            <w:r>
              <w:rPr>
                <w:rFonts w:ascii="Arial" w:cs="Arial" w:eastAsia="Arial" w:hAnsi="Arial"/>
                <w:sz w:val="18"/>
                <w:szCs w:val="18"/>
                <w:color w:val="auto"/>
              </w:rPr>
              <w:t>731.0</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72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8720" w:type="dxa"/>
            <w:vAlign w:val="bottom"/>
          </w:tcPr>
          <w:p>
            <w:pPr>
              <w:ind w:left="140"/>
              <w:spacing w:after="0"/>
              <w:rPr>
                <w:sz w:val="20"/>
                <w:szCs w:val="20"/>
                <w:color w:val="auto"/>
              </w:rPr>
            </w:pPr>
            <w:r>
              <w:rPr>
                <w:rFonts w:ascii="Arial" w:cs="Arial" w:eastAsia="Arial" w:hAnsi="Arial"/>
                <w:sz w:val="18"/>
                <w:szCs w:val="18"/>
                <w:color w:val="auto"/>
              </w:rPr>
              <w:t>Less accumulated depreciation and amortization</w:t>
            </w:r>
          </w:p>
        </w:tc>
        <w:tc>
          <w:tcPr>
            <w:tcW w:w="600" w:type="dxa"/>
            <w:vAlign w:val="bottom"/>
          </w:tcPr>
          <w:p>
            <w:pPr>
              <w:spacing w:after="0"/>
              <w:rPr>
                <w:sz w:val="24"/>
                <w:szCs w:val="24"/>
                <w:color w:val="auto"/>
              </w:rPr>
            </w:pPr>
          </w:p>
        </w:tc>
        <w:tc>
          <w:tcPr>
            <w:tcW w:w="900" w:type="dxa"/>
            <w:vAlign w:val="bottom"/>
          </w:tcPr>
          <w:p>
            <w:pPr>
              <w:jc w:val="right"/>
              <w:ind w:right="53"/>
              <w:spacing w:after="0"/>
              <w:rPr>
                <w:sz w:val="20"/>
                <w:szCs w:val="20"/>
                <w:color w:val="auto"/>
              </w:rPr>
            </w:pPr>
            <w:r>
              <w:rPr>
                <w:rFonts w:ascii="Arial" w:cs="Arial" w:eastAsia="Arial" w:hAnsi="Arial"/>
                <w:sz w:val="18"/>
                <w:szCs w:val="18"/>
                <w:color w:val="auto"/>
              </w:rPr>
              <w:t>(412.6)</w:t>
            </w:r>
          </w:p>
        </w:tc>
        <w:tc>
          <w:tcPr>
            <w:tcW w:w="3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(415.6)</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872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720" w:type="dxa"/>
            <w:vAlign w:val="bottom"/>
          </w:tcPr>
          <w:p>
            <w:pPr>
              <w:spacing w:after="0"/>
              <w:rPr>
                <w:sz w:val="8"/>
                <w:szCs w:val="8"/>
                <w:color w:val="auto"/>
              </w:rPr>
            </w:pPr>
          </w:p>
        </w:tc>
        <w:tc>
          <w:tcPr>
            <w:tcW w:w="600" w:type="dxa"/>
            <w:vAlign w:val="bottom"/>
          </w:tcPr>
          <w:p>
            <w:pPr>
              <w:spacing w:after="0"/>
              <w:rPr>
                <w:sz w:val="8"/>
                <w:szCs w:val="8"/>
                <w:color w:val="auto"/>
              </w:rPr>
            </w:pPr>
          </w:p>
        </w:tc>
        <w:tc>
          <w:tcPr>
            <w:tcW w:w="900" w:type="dxa"/>
            <w:vAlign w:val="bottom"/>
          </w:tcPr>
          <w:p>
            <w:pPr>
              <w:spacing w:after="0"/>
              <w:rPr>
                <w:sz w:val="8"/>
                <w:szCs w:val="8"/>
                <w:color w:val="auto"/>
              </w:rPr>
            </w:pPr>
          </w:p>
        </w:tc>
        <w:tc>
          <w:tcPr>
            <w:tcW w:w="36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20" w:type="dxa"/>
            <w:vAlign w:val="bottom"/>
            <w:shd w:val="clear" w:color="auto" w:fill="E6E6E6"/>
          </w:tcPr>
          <w:p>
            <w:pPr>
              <w:ind w:left="300"/>
              <w:spacing w:after="0" w:line="202" w:lineRule="exact"/>
              <w:rPr>
                <w:sz w:val="20"/>
                <w:szCs w:val="20"/>
                <w:color w:val="auto"/>
              </w:rPr>
            </w:pPr>
            <w:r>
              <w:rPr>
                <w:rFonts w:ascii="Arial" w:cs="Arial" w:eastAsia="Arial" w:hAnsi="Arial"/>
                <w:sz w:val="18"/>
                <w:szCs w:val="18"/>
                <w:b w:val="1"/>
                <w:bCs w:val="1"/>
                <w:color w:val="auto"/>
              </w:rPr>
              <w:t>Net property, plant and equipment</w:t>
            </w:r>
          </w:p>
        </w:tc>
        <w:tc>
          <w:tcPr>
            <w:tcW w:w="600" w:type="dxa"/>
            <w:vAlign w:val="bottom"/>
            <w:shd w:val="clear" w:color="auto" w:fill="E6E6E6"/>
          </w:tcPr>
          <w:p>
            <w:pPr>
              <w:spacing w:after="0"/>
              <w:rPr>
                <w:sz w:val="17"/>
                <w:szCs w:val="17"/>
                <w:color w:val="auto"/>
              </w:rPr>
            </w:pPr>
          </w:p>
        </w:tc>
        <w:tc>
          <w:tcPr>
            <w:tcW w:w="900" w:type="dxa"/>
            <w:vAlign w:val="bottom"/>
            <w:shd w:val="clear" w:color="auto" w:fill="E6E6E6"/>
          </w:tcPr>
          <w:p>
            <w:pPr>
              <w:jc w:val="right"/>
              <w:ind w:right="113"/>
              <w:spacing w:after="0" w:line="202" w:lineRule="exact"/>
              <w:rPr>
                <w:sz w:val="20"/>
                <w:szCs w:val="20"/>
                <w:color w:val="auto"/>
              </w:rPr>
            </w:pPr>
            <w:r>
              <w:rPr>
                <w:rFonts w:ascii="Arial" w:cs="Arial" w:eastAsia="Arial" w:hAnsi="Arial"/>
                <w:sz w:val="18"/>
                <w:szCs w:val="18"/>
                <w:b w:val="1"/>
                <w:bCs w:val="1"/>
                <w:color w:val="auto"/>
              </w:rPr>
              <w:t>309.1</w:t>
            </w:r>
          </w:p>
        </w:tc>
        <w:tc>
          <w:tcPr>
            <w:tcW w:w="360" w:type="dxa"/>
            <w:vAlign w:val="bottom"/>
            <w:shd w:val="clear" w:color="auto" w:fill="E6E6E6"/>
          </w:tcPr>
          <w:p>
            <w:pPr>
              <w:spacing w:after="0"/>
              <w:rPr>
                <w:sz w:val="17"/>
                <w:szCs w:val="17"/>
                <w:color w:val="auto"/>
              </w:rPr>
            </w:pPr>
          </w:p>
        </w:tc>
        <w:tc>
          <w:tcPr>
            <w:tcW w:w="820" w:type="dxa"/>
            <w:vAlign w:val="bottom"/>
            <w:shd w:val="clear" w:color="auto" w:fill="E6E6E6"/>
          </w:tcPr>
          <w:p>
            <w:pPr>
              <w:jc w:val="right"/>
              <w:ind w:right="33"/>
              <w:spacing w:after="0" w:line="202" w:lineRule="exact"/>
              <w:rPr>
                <w:sz w:val="20"/>
                <w:szCs w:val="20"/>
                <w:color w:val="auto"/>
              </w:rPr>
            </w:pPr>
            <w:r>
              <w:rPr>
                <w:rFonts w:ascii="Arial" w:cs="Arial" w:eastAsia="Arial" w:hAnsi="Arial"/>
                <w:sz w:val="18"/>
                <w:szCs w:val="18"/>
                <w:b w:val="1"/>
                <w:bCs w:val="1"/>
                <w:color w:val="auto"/>
              </w:rPr>
              <w:t>315.4</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72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53"/>
        </w:trPr>
        <w:tc>
          <w:tcPr>
            <w:tcW w:w="8740" w:type="dxa"/>
            <w:vAlign w:val="bottom"/>
            <w:gridSpan w:val="2"/>
          </w:tcPr>
          <w:p>
            <w:pPr>
              <w:spacing w:after="0"/>
              <w:rPr>
                <w:sz w:val="20"/>
                <w:szCs w:val="20"/>
                <w:color w:val="auto"/>
              </w:rPr>
            </w:pPr>
            <w:r>
              <w:rPr>
                <w:rFonts w:ascii="Arial" w:cs="Arial" w:eastAsia="Arial" w:hAnsi="Arial"/>
                <w:sz w:val="18"/>
                <w:szCs w:val="18"/>
                <w:b w:val="1"/>
                <w:bCs w:val="1"/>
                <w:color w:val="auto"/>
              </w:rPr>
              <w:t>Other Assets and Deferred Charges:</w:t>
            </w:r>
          </w:p>
        </w:tc>
        <w:tc>
          <w:tcPr>
            <w:tcW w:w="6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20" w:type="dxa"/>
            <w:vAlign w:val="bottom"/>
            <w:shd w:val="clear" w:color="auto" w:fill="E6E6E6"/>
          </w:tcPr>
          <w:p>
            <w:pPr>
              <w:ind w:left="140"/>
              <w:spacing w:after="0" w:line="202" w:lineRule="exact"/>
              <w:rPr>
                <w:sz w:val="20"/>
                <w:szCs w:val="20"/>
                <w:color w:val="auto"/>
              </w:rPr>
            </w:pPr>
            <w:r>
              <w:rPr>
                <w:rFonts w:ascii="Arial" w:cs="Arial" w:eastAsia="Arial" w:hAnsi="Arial"/>
                <w:sz w:val="18"/>
                <w:szCs w:val="18"/>
                <w:color w:val="auto"/>
              </w:rPr>
              <w:t>Prepublication costs</w:t>
            </w:r>
          </w:p>
        </w:tc>
        <w:tc>
          <w:tcPr>
            <w:tcW w:w="600" w:type="dxa"/>
            <w:vAlign w:val="bottom"/>
            <w:shd w:val="clear" w:color="auto" w:fill="E6E6E6"/>
          </w:tcPr>
          <w:p>
            <w:pPr>
              <w:spacing w:after="0"/>
              <w:rPr>
                <w:sz w:val="17"/>
                <w:szCs w:val="17"/>
                <w:color w:val="auto"/>
              </w:rPr>
            </w:pPr>
          </w:p>
        </w:tc>
        <w:tc>
          <w:tcPr>
            <w:tcW w:w="900" w:type="dxa"/>
            <w:vAlign w:val="bottom"/>
            <w:shd w:val="clear" w:color="auto" w:fill="E6E6E6"/>
          </w:tcPr>
          <w:p>
            <w:pPr>
              <w:jc w:val="right"/>
              <w:ind w:right="113"/>
              <w:spacing w:after="0" w:line="202" w:lineRule="exact"/>
              <w:rPr>
                <w:sz w:val="20"/>
                <w:szCs w:val="20"/>
                <w:color w:val="auto"/>
              </w:rPr>
            </w:pPr>
            <w:r>
              <w:rPr>
                <w:rFonts w:ascii="Arial" w:cs="Arial" w:eastAsia="Arial" w:hAnsi="Arial"/>
                <w:sz w:val="18"/>
                <w:szCs w:val="18"/>
                <w:color w:val="auto"/>
              </w:rPr>
              <w:t>110.7</w:t>
            </w:r>
          </w:p>
        </w:tc>
        <w:tc>
          <w:tcPr>
            <w:tcW w:w="360" w:type="dxa"/>
            <w:vAlign w:val="bottom"/>
            <w:shd w:val="clear" w:color="auto" w:fill="E6E6E6"/>
          </w:tcPr>
          <w:p>
            <w:pPr>
              <w:spacing w:after="0"/>
              <w:rPr>
                <w:sz w:val="17"/>
                <w:szCs w:val="17"/>
                <w:color w:val="auto"/>
              </w:rPr>
            </w:pPr>
          </w:p>
        </w:tc>
        <w:tc>
          <w:tcPr>
            <w:tcW w:w="820" w:type="dxa"/>
            <w:vAlign w:val="bottom"/>
            <w:shd w:val="clear" w:color="auto" w:fill="E6E6E6"/>
          </w:tcPr>
          <w:p>
            <w:pPr>
              <w:jc w:val="right"/>
              <w:ind w:right="33"/>
              <w:spacing w:after="0" w:line="202" w:lineRule="exact"/>
              <w:rPr>
                <w:sz w:val="20"/>
                <w:szCs w:val="20"/>
                <w:color w:val="auto"/>
              </w:rPr>
            </w:pPr>
            <w:r>
              <w:rPr>
                <w:rFonts w:ascii="Arial" w:cs="Arial" w:eastAsia="Arial" w:hAnsi="Arial"/>
                <w:sz w:val="18"/>
                <w:szCs w:val="18"/>
                <w:color w:val="auto"/>
              </w:rPr>
              <w:t>121.5</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20" w:type="dxa"/>
            <w:vAlign w:val="bottom"/>
          </w:tcPr>
          <w:p>
            <w:pPr>
              <w:ind w:left="140"/>
              <w:spacing w:after="0" w:line="202" w:lineRule="exact"/>
              <w:rPr>
                <w:sz w:val="20"/>
                <w:szCs w:val="20"/>
                <w:color w:val="auto"/>
              </w:rPr>
            </w:pPr>
            <w:r>
              <w:rPr>
                <w:rFonts w:ascii="Arial" w:cs="Arial" w:eastAsia="Arial" w:hAnsi="Arial"/>
                <w:sz w:val="18"/>
                <w:szCs w:val="18"/>
                <w:color w:val="auto"/>
              </w:rPr>
              <w:t>Royalty advances (less allowance for reserves of $68.9 at May 31, 2010 and $72.6 at May 31, 2009)</w:t>
            </w:r>
          </w:p>
        </w:tc>
        <w:tc>
          <w:tcPr>
            <w:tcW w:w="600" w:type="dxa"/>
            <w:vAlign w:val="bottom"/>
          </w:tcPr>
          <w:p>
            <w:pPr>
              <w:spacing w:after="0"/>
              <w:rPr>
                <w:sz w:val="17"/>
                <w:szCs w:val="17"/>
                <w:color w:val="auto"/>
              </w:rPr>
            </w:pPr>
          </w:p>
        </w:tc>
        <w:tc>
          <w:tcPr>
            <w:tcW w:w="900" w:type="dxa"/>
            <w:vAlign w:val="bottom"/>
          </w:tcPr>
          <w:p>
            <w:pPr>
              <w:jc w:val="right"/>
              <w:ind w:right="113"/>
              <w:spacing w:after="0" w:line="202" w:lineRule="exact"/>
              <w:rPr>
                <w:sz w:val="20"/>
                <w:szCs w:val="20"/>
                <w:color w:val="auto"/>
              </w:rPr>
            </w:pPr>
            <w:r>
              <w:rPr>
                <w:rFonts w:ascii="Arial" w:cs="Arial" w:eastAsia="Arial" w:hAnsi="Arial"/>
                <w:sz w:val="18"/>
                <w:szCs w:val="18"/>
                <w:color w:val="auto"/>
              </w:rPr>
              <w:t>38.0</w:t>
            </w:r>
          </w:p>
        </w:tc>
        <w:tc>
          <w:tcPr>
            <w:tcW w:w="360" w:type="dxa"/>
            <w:vAlign w:val="bottom"/>
          </w:tcPr>
          <w:p>
            <w:pPr>
              <w:spacing w:after="0"/>
              <w:rPr>
                <w:sz w:val="17"/>
                <w:szCs w:val="17"/>
                <w:color w:val="auto"/>
              </w:rPr>
            </w:pPr>
          </w:p>
        </w:tc>
        <w:tc>
          <w:tcPr>
            <w:tcW w:w="820" w:type="dxa"/>
            <w:vAlign w:val="bottom"/>
          </w:tcPr>
          <w:p>
            <w:pPr>
              <w:jc w:val="right"/>
              <w:ind w:right="33"/>
              <w:spacing w:after="0" w:line="202" w:lineRule="exact"/>
              <w:rPr>
                <w:sz w:val="20"/>
                <w:szCs w:val="20"/>
                <w:color w:val="auto"/>
              </w:rPr>
            </w:pPr>
            <w:r>
              <w:rPr>
                <w:rFonts w:ascii="Arial" w:cs="Arial" w:eastAsia="Arial" w:hAnsi="Arial"/>
                <w:sz w:val="18"/>
                <w:szCs w:val="18"/>
                <w:color w:val="auto"/>
              </w:rPr>
              <w:t>41.5</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20" w:type="dxa"/>
            <w:vAlign w:val="bottom"/>
            <w:shd w:val="clear" w:color="auto" w:fill="E6E6E6"/>
          </w:tcPr>
          <w:p>
            <w:pPr>
              <w:ind w:left="140"/>
              <w:spacing w:after="0" w:line="202" w:lineRule="exact"/>
              <w:rPr>
                <w:sz w:val="20"/>
                <w:szCs w:val="20"/>
                <w:color w:val="auto"/>
              </w:rPr>
            </w:pPr>
            <w:r>
              <w:rPr>
                <w:rFonts w:ascii="Arial" w:cs="Arial" w:eastAsia="Arial" w:hAnsi="Arial"/>
                <w:sz w:val="18"/>
                <w:szCs w:val="18"/>
                <w:color w:val="auto"/>
              </w:rPr>
              <w:t>Production costs</w:t>
            </w:r>
          </w:p>
        </w:tc>
        <w:tc>
          <w:tcPr>
            <w:tcW w:w="600" w:type="dxa"/>
            <w:vAlign w:val="bottom"/>
            <w:shd w:val="clear" w:color="auto" w:fill="E6E6E6"/>
          </w:tcPr>
          <w:p>
            <w:pPr>
              <w:spacing w:after="0"/>
              <w:rPr>
                <w:sz w:val="17"/>
                <w:szCs w:val="17"/>
                <w:color w:val="auto"/>
              </w:rPr>
            </w:pPr>
          </w:p>
        </w:tc>
        <w:tc>
          <w:tcPr>
            <w:tcW w:w="900" w:type="dxa"/>
            <w:vAlign w:val="bottom"/>
            <w:shd w:val="clear" w:color="auto" w:fill="E6E6E6"/>
          </w:tcPr>
          <w:p>
            <w:pPr>
              <w:jc w:val="right"/>
              <w:ind w:right="113"/>
              <w:spacing w:after="0" w:line="202" w:lineRule="exact"/>
              <w:rPr>
                <w:sz w:val="20"/>
                <w:szCs w:val="20"/>
                <w:color w:val="auto"/>
              </w:rPr>
            </w:pPr>
            <w:r>
              <w:rPr>
                <w:rFonts w:ascii="Arial" w:cs="Arial" w:eastAsia="Arial" w:hAnsi="Arial"/>
                <w:sz w:val="18"/>
                <w:szCs w:val="18"/>
                <w:color w:val="auto"/>
              </w:rPr>
              <w:t>7.1</w:t>
            </w:r>
          </w:p>
        </w:tc>
        <w:tc>
          <w:tcPr>
            <w:tcW w:w="360" w:type="dxa"/>
            <w:vAlign w:val="bottom"/>
            <w:shd w:val="clear" w:color="auto" w:fill="E6E6E6"/>
          </w:tcPr>
          <w:p>
            <w:pPr>
              <w:spacing w:after="0"/>
              <w:rPr>
                <w:sz w:val="17"/>
                <w:szCs w:val="17"/>
                <w:color w:val="auto"/>
              </w:rPr>
            </w:pPr>
          </w:p>
        </w:tc>
        <w:tc>
          <w:tcPr>
            <w:tcW w:w="820" w:type="dxa"/>
            <w:vAlign w:val="bottom"/>
            <w:shd w:val="clear" w:color="auto" w:fill="E6E6E6"/>
          </w:tcPr>
          <w:p>
            <w:pPr>
              <w:jc w:val="right"/>
              <w:ind w:right="33"/>
              <w:spacing w:after="0" w:line="202" w:lineRule="exact"/>
              <w:rPr>
                <w:sz w:val="20"/>
                <w:szCs w:val="20"/>
                <w:color w:val="auto"/>
              </w:rPr>
            </w:pPr>
            <w:r>
              <w:rPr>
                <w:rFonts w:ascii="Arial" w:cs="Arial" w:eastAsia="Arial" w:hAnsi="Arial"/>
                <w:sz w:val="18"/>
                <w:szCs w:val="18"/>
                <w:color w:val="auto"/>
              </w:rPr>
              <w:t>6.0</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20" w:type="dxa"/>
            <w:vAlign w:val="bottom"/>
          </w:tcPr>
          <w:p>
            <w:pPr>
              <w:ind w:left="140"/>
              <w:spacing w:after="0" w:line="202" w:lineRule="exact"/>
              <w:rPr>
                <w:sz w:val="20"/>
                <w:szCs w:val="20"/>
                <w:color w:val="auto"/>
              </w:rPr>
            </w:pPr>
            <w:r>
              <w:rPr>
                <w:rFonts w:ascii="Arial" w:cs="Arial" w:eastAsia="Arial" w:hAnsi="Arial"/>
                <w:sz w:val="18"/>
                <w:szCs w:val="18"/>
                <w:color w:val="auto"/>
              </w:rPr>
              <w:t>Goodwill</w:t>
            </w:r>
          </w:p>
        </w:tc>
        <w:tc>
          <w:tcPr>
            <w:tcW w:w="600" w:type="dxa"/>
            <w:vAlign w:val="bottom"/>
          </w:tcPr>
          <w:p>
            <w:pPr>
              <w:spacing w:after="0"/>
              <w:rPr>
                <w:sz w:val="17"/>
                <w:szCs w:val="17"/>
                <w:color w:val="auto"/>
              </w:rPr>
            </w:pPr>
          </w:p>
        </w:tc>
        <w:tc>
          <w:tcPr>
            <w:tcW w:w="900" w:type="dxa"/>
            <w:vAlign w:val="bottom"/>
          </w:tcPr>
          <w:p>
            <w:pPr>
              <w:jc w:val="right"/>
              <w:ind w:right="113"/>
              <w:spacing w:after="0" w:line="202" w:lineRule="exact"/>
              <w:rPr>
                <w:sz w:val="20"/>
                <w:szCs w:val="20"/>
                <w:color w:val="auto"/>
              </w:rPr>
            </w:pPr>
            <w:r>
              <w:rPr>
                <w:rFonts w:ascii="Arial" w:cs="Arial" w:eastAsia="Arial" w:hAnsi="Arial"/>
                <w:sz w:val="18"/>
                <w:szCs w:val="18"/>
                <w:color w:val="auto"/>
              </w:rPr>
              <w:t>156.6</w:t>
            </w:r>
          </w:p>
        </w:tc>
        <w:tc>
          <w:tcPr>
            <w:tcW w:w="360" w:type="dxa"/>
            <w:vAlign w:val="bottom"/>
          </w:tcPr>
          <w:p>
            <w:pPr>
              <w:spacing w:after="0"/>
              <w:rPr>
                <w:sz w:val="17"/>
                <w:szCs w:val="17"/>
                <w:color w:val="auto"/>
              </w:rPr>
            </w:pPr>
          </w:p>
        </w:tc>
        <w:tc>
          <w:tcPr>
            <w:tcW w:w="820" w:type="dxa"/>
            <w:vAlign w:val="bottom"/>
          </w:tcPr>
          <w:p>
            <w:pPr>
              <w:jc w:val="right"/>
              <w:ind w:right="33"/>
              <w:spacing w:after="0" w:line="202" w:lineRule="exact"/>
              <w:rPr>
                <w:sz w:val="20"/>
                <w:szCs w:val="20"/>
                <w:color w:val="auto"/>
              </w:rPr>
            </w:pPr>
            <w:r>
              <w:rPr>
                <w:rFonts w:ascii="Arial" w:cs="Arial" w:eastAsia="Arial" w:hAnsi="Arial"/>
                <w:sz w:val="18"/>
                <w:szCs w:val="18"/>
                <w:color w:val="auto"/>
              </w:rPr>
              <w:t>157.0</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20" w:type="dxa"/>
            <w:vAlign w:val="bottom"/>
            <w:shd w:val="clear" w:color="auto" w:fill="E6E6E6"/>
          </w:tcPr>
          <w:p>
            <w:pPr>
              <w:ind w:left="140"/>
              <w:spacing w:after="0" w:line="202" w:lineRule="exact"/>
              <w:rPr>
                <w:sz w:val="20"/>
                <w:szCs w:val="20"/>
                <w:color w:val="auto"/>
              </w:rPr>
            </w:pPr>
            <w:r>
              <w:rPr>
                <w:rFonts w:ascii="Arial" w:cs="Arial" w:eastAsia="Arial" w:hAnsi="Arial"/>
                <w:sz w:val="18"/>
                <w:szCs w:val="18"/>
                <w:color w:val="auto"/>
              </w:rPr>
              <w:t>Other intangibles</w:t>
            </w:r>
          </w:p>
        </w:tc>
        <w:tc>
          <w:tcPr>
            <w:tcW w:w="600" w:type="dxa"/>
            <w:vAlign w:val="bottom"/>
            <w:shd w:val="clear" w:color="auto" w:fill="E6E6E6"/>
          </w:tcPr>
          <w:p>
            <w:pPr>
              <w:spacing w:after="0"/>
              <w:rPr>
                <w:sz w:val="17"/>
                <w:szCs w:val="17"/>
                <w:color w:val="auto"/>
              </w:rPr>
            </w:pPr>
          </w:p>
        </w:tc>
        <w:tc>
          <w:tcPr>
            <w:tcW w:w="900" w:type="dxa"/>
            <w:vAlign w:val="bottom"/>
            <w:shd w:val="clear" w:color="auto" w:fill="E6E6E6"/>
          </w:tcPr>
          <w:p>
            <w:pPr>
              <w:jc w:val="right"/>
              <w:ind w:right="113"/>
              <w:spacing w:after="0" w:line="202" w:lineRule="exact"/>
              <w:rPr>
                <w:sz w:val="20"/>
                <w:szCs w:val="20"/>
                <w:color w:val="auto"/>
              </w:rPr>
            </w:pPr>
            <w:r>
              <w:rPr>
                <w:rFonts w:ascii="Arial" w:cs="Arial" w:eastAsia="Arial" w:hAnsi="Arial"/>
                <w:sz w:val="18"/>
                <w:szCs w:val="18"/>
                <w:color w:val="auto"/>
              </w:rPr>
              <w:t>15.5</w:t>
            </w:r>
          </w:p>
        </w:tc>
        <w:tc>
          <w:tcPr>
            <w:tcW w:w="360" w:type="dxa"/>
            <w:vAlign w:val="bottom"/>
            <w:shd w:val="clear" w:color="auto" w:fill="E6E6E6"/>
          </w:tcPr>
          <w:p>
            <w:pPr>
              <w:spacing w:after="0"/>
              <w:rPr>
                <w:sz w:val="17"/>
                <w:szCs w:val="17"/>
                <w:color w:val="auto"/>
              </w:rPr>
            </w:pPr>
          </w:p>
        </w:tc>
        <w:tc>
          <w:tcPr>
            <w:tcW w:w="820" w:type="dxa"/>
            <w:vAlign w:val="bottom"/>
            <w:shd w:val="clear" w:color="auto" w:fill="E6E6E6"/>
          </w:tcPr>
          <w:p>
            <w:pPr>
              <w:jc w:val="right"/>
              <w:ind w:right="33"/>
              <w:spacing w:after="0" w:line="202" w:lineRule="exact"/>
              <w:rPr>
                <w:sz w:val="20"/>
                <w:szCs w:val="20"/>
                <w:color w:val="auto"/>
              </w:rPr>
            </w:pPr>
            <w:r>
              <w:rPr>
                <w:rFonts w:ascii="Arial" w:cs="Arial" w:eastAsia="Arial" w:hAnsi="Arial"/>
                <w:sz w:val="18"/>
                <w:szCs w:val="18"/>
                <w:color w:val="auto"/>
              </w:rPr>
              <w:t>46.8</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720" w:type="dxa"/>
            <w:vAlign w:val="bottom"/>
          </w:tcPr>
          <w:p>
            <w:pPr>
              <w:ind w:left="140"/>
              <w:spacing w:after="0"/>
              <w:rPr>
                <w:sz w:val="20"/>
                <w:szCs w:val="20"/>
                <w:color w:val="auto"/>
              </w:rPr>
            </w:pPr>
            <w:r>
              <w:rPr>
                <w:rFonts w:ascii="Arial" w:cs="Arial" w:eastAsia="Arial" w:hAnsi="Arial"/>
                <w:sz w:val="18"/>
                <w:szCs w:val="18"/>
                <w:color w:val="auto"/>
              </w:rPr>
              <w:t>Other assets and deferred charges</w:t>
            </w:r>
          </w:p>
        </w:tc>
        <w:tc>
          <w:tcPr>
            <w:tcW w:w="600" w:type="dxa"/>
            <w:vAlign w:val="bottom"/>
          </w:tcPr>
          <w:p>
            <w:pPr>
              <w:spacing w:after="0"/>
              <w:rPr>
                <w:sz w:val="18"/>
                <w:szCs w:val="18"/>
                <w:color w:val="auto"/>
              </w:rPr>
            </w:pPr>
          </w:p>
        </w:tc>
        <w:tc>
          <w:tcPr>
            <w:tcW w:w="900" w:type="dxa"/>
            <w:vAlign w:val="bottom"/>
          </w:tcPr>
          <w:p>
            <w:pPr>
              <w:jc w:val="right"/>
              <w:ind w:right="113"/>
              <w:spacing w:after="0"/>
              <w:rPr>
                <w:sz w:val="20"/>
                <w:szCs w:val="20"/>
                <w:color w:val="auto"/>
              </w:rPr>
            </w:pPr>
            <w:r>
              <w:rPr>
                <w:rFonts w:ascii="Arial" w:cs="Arial" w:eastAsia="Arial" w:hAnsi="Arial"/>
                <w:sz w:val="18"/>
                <w:szCs w:val="18"/>
                <w:color w:val="auto"/>
              </w:rPr>
              <w:t>68.9</w:t>
            </w:r>
          </w:p>
        </w:tc>
        <w:tc>
          <w:tcPr>
            <w:tcW w:w="360" w:type="dxa"/>
            <w:vAlign w:val="bottom"/>
          </w:tcPr>
          <w:p>
            <w:pPr>
              <w:spacing w:after="0"/>
              <w:rPr>
                <w:sz w:val="18"/>
                <w:szCs w:val="18"/>
                <w:color w:val="auto"/>
              </w:rPr>
            </w:pPr>
          </w:p>
        </w:tc>
        <w:tc>
          <w:tcPr>
            <w:tcW w:w="820" w:type="dxa"/>
            <w:vAlign w:val="bottom"/>
          </w:tcPr>
          <w:p>
            <w:pPr>
              <w:jc w:val="right"/>
              <w:ind w:right="33"/>
              <w:spacing w:after="0"/>
              <w:rPr>
                <w:sz w:val="20"/>
                <w:szCs w:val="20"/>
                <w:color w:val="auto"/>
              </w:rPr>
            </w:pPr>
            <w:r>
              <w:rPr>
                <w:rFonts w:ascii="Arial" w:cs="Arial" w:eastAsia="Arial" w:hAnsi="Arial"/>
                <w:sz w:val="18"/>
                <w:szCs w:val="18"/>
                <w:color w:val="auto"/>
              </w:rPr>
              <w:t>100.8</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872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720" w:type="dxa"/>
            <w:vAlign w:val="bottom"/>
          </w:tcPr>
          <w:p>
            <w:pPr>
              <w:spacing w:after="0"/>
              <w:rPr>
                <w:sz w:val="8"/>
                <w:szCs w:val="8"/>
                <w:color w:val="auto"/>
              </w:rPr>
            </w:pPr>
          </w:p>
        </w:tc>
        <w:tc>
          <w:tcPr>
            <w:tcW w:w="600" w:type="dxa"/>
            <w:vAlign w:val="bottom"/>
          </w:tcPr>
          <w:p>
            <w:pPr>
              <w:spacing w:after="0"/>
              <w:rPr>
                <w:sz w:val="8"/>
                <w:szCs w:val="8"/>
                <w:color w:val="auto"/>
              </w:rPr>
            </w:pPr>
          </w:p>
        </w:tc>
        <w:tc>
          <w:tcPr>
            <w:tcW w:w="900" w:type="dxa"/>
            <w:vAlign w:val="bottom"/>
          </w:tcPr>
          <w:p>
            <w:pPr>
              <w:spacing w:after="0"/>
              <w:rPr>
                <w:sz w:val="8"/>
                <w:szCs w:val="8"/>
                <w:color w:val="auto"/>
              </w:rPr>
            </w:pPr>
          </w:p>
        </w:tc>
        <w:tc>
          <w:tcPr>
            <w:tcW w:w="36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20" w:type="dxa"/>
            <w:vAlign w:val="bottom"/>
            <w:shd w:val="clear" w:color="auto" w:fill="E6E6E6"/>
          </w:tcPr>
          <w:p>
            <w:pPr>
              <w:ind w:left="300"/>
              <w:spacing w:after="0" w:line="202" w:lineRule="exact"/>
              <w:rPr>
                <w:sz w:val="20"/>
                <w:szCs w:val="20"/>
                <w:color w:val="auto"/>
              </w:rPr>
            </w:pPr>
            <w:r>
              <w:rPr>
                <w:rFonts w:ascii="Arial" w:cs="Arial" w:eastAsia="Arial" w:hAnsi="Arial"/>
                <w:sz w:val="18"/>
                <w:szCs w:val="18"/>
                <w:b w:val="1"/>
                <w:bCs w:val="1"/>
                <w:color w:val="auto"/>
              </w:rPr>
              <w:t>Total other assets and deferred charges</w:t>
            </w:r>
          </w:p>
        </w:tc>
        <w:tc>
          <w:tcPr>
            <w:tcW w:w="600" w:type="dxa"/>
            <w:vAlign w:val="bottom"/>
            <w:shd w:val="clear" w:color="auto" w:fill="E6E6E6"/>
          </w:tcPr>
          <w:p>
            <w:pPr>
              <w:spacing w:after="0"/>
              <w:rPr>
                <w:sz w:val="17"/>
                <w:szCs w:val="17"/>
                <w:color w:val="auto"/>
              </w:rPr>
            </w:pPr>
          </w:p>
        </w:tc>
        <w:tc>
          <w:tcPr>
            <w:tcW w:w="900" w:type="dxa"/>
            <w:vAlign w:val="bottom"/>
            <w:shd w:val="clear" w:color="auto" w:fill="E6E6E6"/>
          </w:tcPr>
          <w:p>
            <w:pPr>
              <w:jc w:val="right"/>
              <w:ind w:right="113"/>
              <w:spacing w:after="0" w:line="202" w:lineRule="exact"/>
              <w:rPr>
                <w:sz w:val="20"/>
                <w:szCs w:val="20"/>
                <w:color w:val="auto"/>
              </w:rPr>
            </w:pPr>
            <w:r>
              <w:rPr>
                <w:rFonts w:ascii="Arial" w:cs="Arial" w:eastAsia="Arial" w:hAnsi="Arial"/>
                <w:sz w:val="18"/>
                <w:szCs w:val="18"/>
                <w:b w:val="1"/>
                <w:bCs w:val="1"/>
                <w:color w:val="auto"/>
              </w:rPr>
              <w:t>396.8</w:t>
            </w:r>
          </w:p>
        </w:tc>
        <w:tc>
          <w:tcPr>
            <w:tcW w:w="360" w:type="dxa"/>
            <w:vAlign w:val="bottom"/>
            <w:shd w:val="clear" w:color="auto" w:fill="E6E6E6"/>
          </w:tcPr>
          <w:p>
            <w:pPr>
              <w:spacing w:after="0"/>
              <w:rPr>
                <w:sz w:val="17"/>
                <w:szCs w:val="17"/>
                <w:color w:val="auto"/>
              </w:rPr>
            </w:pPr>
          </w:p>
        </w:tc>
        <w:tc>
          <w:tcPr>
            <w:tcW w:w="820" w:type="dxa"/>
            <w:vAlign w:val="bottom"/>
            <w:shd w:val="clear" w:color="auto" w:fill="E6E6E6"/>
          </w:tcPr>
          <w:p>
            <w:pPr>
              <w:jc w:val="right"/>
              <w:ind w:right="33"/>
              <w:spacing w:after="0" w:line="202" w:lineRule="exact"/>
              <w:rPr>
                <w:sz w:val="20"/>
                <w:szCs w:val="20"/>
                <w:color w:val="auto"/>
              </w:rPr>
            </w:pPr>
            <w:r>
              <w:rPr>
                <w:rFonts w:ascii="Arial" w:cs="Arial" w:eastAsia="Arial" w:hAnsi="Arial"/>
                <w:sz w:val="18"/>
                <w:szCs w:val="18"/>
                <w:b w:val="1"/>
                <w:bCs w:val="1"/>
                <w:color w:val="auto"/>
              </w:rPr>
              <w:t>473.6</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72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8740" w:type="dxa"/>
            <w:vAlign w:val="bottom"/>
            <w:gridSpan w:val="2"/>
          </w:tcPr>
          <w:p>
            <w:pPr>
              <w:spacing w:after="0"/>
              <w:rPr>
                <w:sz w:val="20"/>
                <w:szCs w:val="20"/>
                <w:color w:val="auto"/>
              </w:rPr>
            </w:pPr>
            <w:r>
              <w:rPr>
                <w:rFonts w:ascii="Arial" w:cs="Arial" w:eastAsia="Arial" w:hAnsi="Arial"/>
                <w:sz w:val="18"/>
                <w:szCs w:val="18"/>
                <w:b w:val="1"/>
                <w:bCs w:val="1"/>
                <w:color w:val="auto"/>
              </w:rPr>
              <w:t>Total assets</w:t>
            </w:r>
          </w:p>
        </w:tc>
        <w:tc>
          <w:tcPr>
            <w:tcW w:w="600" w:type="dxa"/>
            <w:vAlign w:val="bottom"/>
          </w:tcPr>
          <w:p>
            <w:pPr>
              <w:jc w:val="right"/>
              <w:ind w:right="32"/>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ind w:right="113"/>
              <w:spacing w:after="0"/>
              <w:rPr>
                <w:sz w:val="20"/>
                <w:szCs w:val="20"/>
                <w:color w:val="auto"/>
              </w:rPr>
            </w:pPr>
            <w:r>
              <w:rPr>
                <w:rFonts w:ascii="Arial" w:cs="Arial" w:eastAsia="Arial" w:hAnsi="Arial"/>
                <w:sz w:val="18"/>
                <w:szCs w:val="18"/>
                <w:b w:val="1"/>
                <w:bCs w:val="1"/>
                <w:color w:val="auto"/>
              </w:rPr>
              <w:t>1,600.4</w:t>
            </w:r>
          </w:p>
        </w:tc>
        <w:tc>
          <w:tcPr>
            <w:tcW w:w="360" w:type="dxa"/>
            <w:vAlign w:val="bottom"/>
          </w:tcPr>
          <w:p>
            <w:pPr>
              <w:jc w:val="right"/>
              <w:ind w:right="32"/>
              <w:spacing w:after="0"/>
              <w:rPr>
                <w:sz w:val="20"/>
                <w:szCs w:val="20"/>
                <w:color w:val="auto"/>
              </w:rPr>
            </w:pPr>
            <w:r>
              <w:rPr>
                <w:rFonts w:ascii="Arial" w:cs="Arial" w:eastAsia="Arial" w:hAnsi="Arial"/>
                <w:sz w:val="18"/>
                <w:szCs w:val="18"/>
                <w:b w:val="1"/>
                <w:bCs w:val="1"/>
                <w:color w:val="auto"/>
              </w:rPr>
              <w:t>$</w:t>
            </w:r>
          </w:p>
        </w:tc>
        <w:tc>
          <w:tcPr>
            <w:tcW w:w="820" w:type="dxa"/>
            <w:vAlign w:val="bottom"/>
          </w:tcPr>
          <w:p>
            <w:pPr>
              <w:jc w:val="right"/>
              <w:ind w:right="33"/>
              <w:spacing w:after="0"/>
              <w:rPr>
                <w:sz w:val="20"/>
                <w:szCs w:val="20"/>
                <w:color w:val="auto"/>
              </w:rPr>
            </w:pPr>
            <w:r>
              <w:rPr>
                <w:rFonts w:ascii="Arial" w:cs="Arial" w:eastAsia="Arial" w:hAnsi="Arial"/>
                <w:sz w:val="18"/>
                <w:szCs w:val="18"/>
                <w:b w:val="1"/>
                <w:bCs w:val="1"/>
                <w:color w:val="auto"/>
              </w:rPr>
              <w:t>1,608.8</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Borders>
              <w:bottom w:val="single" w:sz="8" w:color="808080"/>
            </w:tcBorders>
          </w:tcPr>
          <w:p>
            <w:pPr>
              <w:spacing w:after="0"/>
              <w:rPr>
                <w:sz w:val="10"/>
                <w:szCs w:val="10"/>
                <w:color w:val="auto"/>
              </w:rPr>
            </w:pPr>
          </w:p>
        </w:tc>
        <w:tc>
          <w:tcPr>
            <w:tcW w:w="872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-29210</wp:posOffset>
            </wp:positionV>
            <wp:extent cx="12700" cy="298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-29210</wp:posOffset>
            </wp:positionV>
            <wp:extent cx="12700" cy="298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-29210</wp:posOffset>
            </wp:positionV>
            <wp:extent cx="12700" cy="298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-29210</wp:posOffset>
            </wp:positionV>
            <wp:extent cx="12700" cy="298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6589395</wp:posOffset>
            </wp:positionH>
            <wp:positionV relativeFrom="paragraph">
              <wp:posOffset>-29210</wp:posOffset>
            </wp:positionV>
            <wp:extent cx="12700" cy="298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-29210</wp:posOffset>
            </wp:positionV>
            <wp:extent cx="12700" cy="298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-29210</wp:posOffset>
            </wp:positionV>
            <wp:extent cx="12700" cy="298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00"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2663825</wp:posOffset>
            </wp:positionH>
            <wp:positionV relativeFrom="paragraph">
              <wp:posOffset>129540</wp:posOffset>
            </wp:positionV>
            <wp:extent cx="1929765" cy="23177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1929765"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3873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60"/>
          </w:cols>
          <w:pgMar w:left="240" w:top="755" w:right="199" w:bottom="1440" w:gutter="0" w:footer="0" w:header="0"/>
        </w:sectPr>
      </w:pPr>
    </w:p>
    <w:bookmarkStart w:id="39" w:name="page40"/>
    <w:bookmarkEnd w:id="39"/>
    <w:p>
      <w:pPr>
        <w:jc w:val="right"/>
        <w:ind w:right="160"/>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63765" cy="8890"/>
                    </a:xfrm>
                    <a:prstGeom prst="rect">
                      <a:avLst/>
                    </a:prstGeom>
                    <a:noFill/>
                  </pic:spPr>
                </pic:pic>
              </a:graphicData>
            </a:graphic>
          </wp:anchor>
        </w:drawing>
        <w:t>(Amounts in millions, except share data)</w:t>
      </w:r>
    </w:p>
    <w:p>
      <w:pPr>
        <w:jc w:val="right"/>
        <w:ind w:right="160"/>
        <w:spacing w:after="0"/>
        <w:rPr>
          <w:sz w:val="20"/>
          <w:szCs w:val="20"/>
          <w:color w:val="auto"/>
        </w:rPr>
      </w:pPr>
      <w:r>
        <w:rPr>
          <w:rFonts w:ascii="Arial" w:cs="Arial" w:eastAsia="Arial" w:hAnsi="Arial"/>
          <w:sz w:val="14"/>
          <w:szCs w:val="14"/>
          <w:color w:val="auto"/>
        </w:rPr>
        <w:t>Balances at May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7263765"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8500" w:type="dxa"/>
            <w:vAlign w:val="bottom"/>
            <w:gridSpan w:val="2"/>
          </w:tcPr>
          <w:p>
            <w:pPr>
              <w:spacing w:after="0"/>
              <w:rPr>
                <w:sz w:val="20"/>
                <w:szCs w:val="20"/>
                <w:color w:val="auto"/>
              </w:rPr>
            </w:pPr>
            <w:r>
              <w:rPr>
                <w:rFonts w:ascii="Arial" w:cs="Arial" w:eastAsia="Arial" w:hAnsi="Arial"/>
                <w:sz w:val="14"/>
                <w:szCs w:val="14"/>
                <w:b w:val="1"/>
                <w:bCs w:val="1"/>
                <w:color w:val="auto"/>
              </w:rPr>
              <w:t>LIABILITIES AND STOCKHOLDERS’ EQUITY</w:t>
            </w:r>
          </w:p>
        </w:tc>
        <w:tc>
          <w:tcPr>
            <w:tcW w:w="740" w:type="dxa"/>
            <w:vAlign w:val="bottom"/>
          </w:tcPr>
          <w:p>
            <w:pPr>
              <w:spacing w:after="0"/>
              <w:rPr>
                <w:sz w:val="15"/>
                <w:szCs w:val="15"/>
                <w:color w:val="auto"/>
              </w:rPr>
            </w:pPr>
          </w:p>
        </w:tc>
        <w:tc>
          <w:tcPr>
            <w:tcW w:w="1000" w:type="dxa"/>
            <w:vAlign w:val="bottom"/>
          </w:tcPr>
          <w:p>
            <w:pPr>
              <w:jc w:val="right"/>
              <w:ind w:right="113"/>
              <w:spacing w:after="0"/>
              <w:rPr>
                <w:sz w:val="20"/>
                <w:szCs w:val="20"/>
                <w:color w:val="auto"/>
              </w:rPr>
            </w:pPr>
            <w:r>
              <w:rPr>
                <w:rFonts w:ascii="Arial" w:cs="Arial" w:eastAsia="Arial" w:hAnsi="Arial"/>
                <w:sz w:val="14"/>
                <w:szCs w:val="14"/>
                <w:b w:val="1"/>
                <w:bCs w:val="1"/>
                <w:color w:val="auto"/>
              </w:rPr>
              <w:t>2010</w:t>
            </w:r>
          </w:p>
        </w:tc>
        <w:tc>
          <w:tcPr>
            <w:tcW w:w="360" w:type="dxa"/>
            <w:vAlign w:val="bottom"/>
          </w:tcPr>
          <w:p>
            <w:pPr>
              <w:spacing w:after="0"/>
              <w:rPr>
                <w:sz w:val="15"/>
                <w:szCs w:val="15"/>
                <w:color w:val="auto"/>
              </w:rPr>
            </w:pPr>
          </w:p>
        </w:tc>
        <w:tc>
          <w:tcPr>
            <w:tcW w:w="820" w:type="dxa"/>
            <w:vAlign w:val="bottom"/>
          </w:tcPr>
          <w:p>
            <w:pPr>
              <w:jc w:val="right"/>
              <w:ind w:right="33"/>
              <w:spacing w:after="0"/>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Borders>
              <w:bottom w:val="single" w:sz="8" w:color="auto"/>
            </w:tcBorders>
          </w:tcPr>
          <w:p>
            <w:pPr>
              <w:spacing w:after="0"/>
              <w:rPr>
                <w:sz w:val="8"/>
                <w:szCs w:val="8"/>
                <w:color w:val="auto"/>
              </w:rPr>
            </w:pPr>
          </w:p>
        </w:tc>
        <w:tc>
          <w:tcPr>
            <w:tcW w:w="848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4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36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8480" w:type="dxa"/>
            <w:vAlign w:val="bottom"/>
            <w:shd w:val="clear" w:color="auto" w:fill="E6E6E6"/>
          </w:tcPr>
          <w:p>
            <w:pPr>
              <w:spacing w:after="0" w:line="202" w:lineRule="exact"/>
              <w:rPr>
                <w:sz w:val="20"/>
                <w:szCs w:val="20"/>
                <w:color w:val="auto"/>
              </w:rPr>
            </w:pPr>
            <w:r>
              <w:rPr>
                <w:rFonts w:ascii="Arial" w:cs="Arial" w:eastAsia="Arial" w:hAnsi="Arial"/>
                <w:sz w:val="18"/>
                <w:szCs w:val="18"/>
                <w:b w:val="1"/>
                <w:bCs w:val="1"/>
                <w:color w:val="auto"/>
              </w:rPr>
              <w:t>Current Liabilities:</w:t>
            </w:r>
          </w:p>
        </w:tc>
        <w:tc>
          <w:tcPr>
            <w:tcW w:w="740" w:type="dxa"/>
            <w:vAlign w:val="bottom"/>
            <w:shd w:val="clear" w:color="auto" w:fill="E6E6E6"/>
          </w:tcPr>
          <w:p>
            <w:pPr>
              <w:spacing w:after="0"/>
              <w:rPr>
                <w:sz w:val="17"/>
                <w:szCs w:val="17"/>
                <w:color w:val="auto"/>
              </w:rPr>
            </w:pPr>
          </w:p>
        </w:tc>
        <w:tc>
          <w:tcPr>
            <w:tcW w:w="1000" w:type="dxa"/>
            <w:vAlign w:val="bottom"/>
            <w:shd w:val="clear" w:color="auto" w:fill="E6E6E6"/>
          </w:tcPr>
          <w:p>
            <w:pPr>
              <w:spacing w:after="0"/>
              <w:rPr>
                <w:sz w:val="17"/>
                <w:szCs w:val="17"/>
                <w:color w:val="auto"/>
              </w:rPr>
            </w:pPr>
          </w:p>
        </w:tc>
        <w:tc>
          <w:tcPr>
            <w:tcW w:w="360" w:type="dxa"/>
            <w:vAlign w:val="bottom"/>
            <w:shd w:val="clear" w:color="auto" w:fill="E6E6E6"/>
          </w:tcPr>
          <w:p>
            <w:pPr>
              <w:spacing w:after="0"/>
              <w:rPr>
                <w:sz w:val="17"/>
                <w:szCs w:val="17"/>
                <w:color w:val="auto"/>
              </w:rPr>
            </w:pPr>
          </w:p>
        </w:tc>
        <w:tc>
          <w:tcPr>
            <w:tcW w:w="820" w:type="dxa"/>
            <w:vAlign w:val="bottom"/>
            <w:shd w:val="clear" w:color="auto" w:fill="E6E6E6"/>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480" w:type="dxa"/>
            <w:vAlign w:val="bottom"/>
          </w:tcPr>
          <w:p>
            <w:pPr>
              <w:ind w:left="140"/>
              <w:spacing w:after="0" w:line="202" w:lineRule="exact"/>
              <w:rPr>
                <w:sz w:val="20"/>
                <w:szCs w:val="20"/>
                <w:color w:val="auto"/>
              </w:rPr>
            </w:pPr>
            <w:r>
              <w:rPr>
                <w:rFonts w:ascii="Arial" w:cs="Arial" w:eastAsia="Arial" w:hAnsi="Arial"/>
                <w:sz w:val="18"/>
                <w:szCs w:val="18"/>
                <w:color w:val="auto"/>
              </w:rPr>
              <w:t>Lines of credit and current portion of long-term debt</w:t>
            </w: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113"/>
              <w:spacing w:after="0" w:line="202" w:lineRule="exact"/>
              <w:rPr>
                <w:sz w:val="20"/>
                <w:szCs w:val="20"/>
                <w:color w:val="auto"/>
              </w:rPr>
            </w:pPr>
            <w:r>
              <w:rPr>
                <w:rFonts w:ascii="Arial" w:cs="Arial" w:eastAsia="Arial" w:hAnsi="Arial"/>
                <w:sz w:val="18"/>
                <w:szCs w:val="18"/>
                <w:color w:val="auto"/>
              </w:rPr>
              <w:t>50.3</w:t>
            </w:r>
          </w:p>
        </w:tc>
        <w:tc>
          <w:tcPr>
            <w:tcW w:w="36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820" w:type="dxa"/>
            <w:vAlign w:val="bottom"/>
          </w:tcPr>
          <w:p>
            <w:pPr>
              <w:jc w:val="right"/>
              <w:ind w:right="33"/>
              <w:spacing w:after="0" w:line="202" w:lineRule="exact"/>
              <w:rPr>
                <w:sz w:val="20"/>
                <w:szCs w:val="20"/>
                <w:color w:val="auto"/>
              </w:rPr>
            </w:pPr>
            <w:r>
              <w:rPr>
                <w:rFonts w:ascii="Arial" w:cs="Arial" w:eastAsia="Arial" w:hAnsi="Arial"/>
                <w:sz w:val="18"/>
                <w:szCs w:val="18"/>
                <w:color w:val="auto"/>
              </w:rPr>
              <w:t>53.7</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480" w:type="dxa"/>
            <w:vAlign w:val="bottom"/>
            <w:shd w:val="clear" w:color="auto" w:fill="E6E6E6"/>
          </w:tcPr>
          <w:p>
            <w:pPr>
              <w:ind w:left="140"/>
              <w:spacing w:after="0" w:line="202" w:lineRule="exact"/>
              <w:rPr>
                <w:sz w:val="20"/>
                <w:szCs w:val="20"/>
                <w:color w:val="auto"/>
              </w:rPr>
            </w:pPr>
            <w:r>
              <w:rPr>
                <w:rFonts w:ascii="Arial" w:cs="Arial" w:eastAsia="Arial" w:hAnsi="Arial"/>
                <w:sz w:val="18"/>
                <w:szCs w:val="18"/>
                <w:color w:val="auto"/>
              </w:rPr>
              <w:t>Capital lease obligations</w:t>
            </w:r>
          </w:p>
        </w:tc>
        <w:tc>
          <w:tcPr>
            <w:tcW w:w="740" w:type="dxa"/>
            <w:vAlign w:val="bottom"/>
            <w:shd w:val="clear" w:color="auto" w:fill="E6E6E6"/>
          </w:tcPr>
          <w:p>
            <w:pPr>
              <w:spacing w:after="0"/>
              <w:rPr>
                <w:sz w:val="17"/>
                <w:szCs w:val="17"/>
                <w:color w:val="auto"/>
              </w:rPr>
            </w:pPr>
          </w:p>
        </w:tc>
        <w:tc>
          <w:tcPr>
            <w:tcW w:w="1000" w:type="dxa"/>
            <w:vAlign w:val="bottom"/>
            <w:shd w:val="clear" w:color="auto" w:fill="E6E6E6"/>
          </w:tcPr>
          <w:p>
            <w:pPr>
              <w:jc w:val="right"/>
              <w:ind w:right="113"/>
              <w:spacing w:after="0" w:line="202" w:lineRule="exact"/>
              <w:rPr>
                <w:sz w:val="20"/>
                <w:szCs w:val="20"/>
                <w:color w:val="auto"/>
              </w:rPr>
            </w:pPr>
            <w:r>
              <w:rPr>
                <w:rFonts w:ascii="Arial" w:cs="Arial" w:eastAsia="Arial" w:hAnsi="Arial"/>
                <w:sz w:val="18"/>
                <w:szCs w:val="18"/>
                <w:color w:val="auto"/>
              </w:rPr>
              <w:t>0.9</w:t>
            </w:r>
          </w:p>
        </w:tc>
        <w:tc>
          <w:tcPr>
            <w:tcW w:w="360" w:type="dxa"/>
            <w:vAlign w:val="bottom"/>
            <w:shd w:val="clear" w:color="auto" w:fill="E6E6E6"/>
          </w:tcPr>
          <w:p>
            <w:pPr>
              <w:spacing w:after="0"/>
              <w:rPr>
                <w:sz w:val="17"/>
                <w:szCs w:val="17"/>
                <w:color w:val="auto"/>
              </w:rPr>
            </w:pPr>
          </w:p>
        </w:tc>
        <w:tc>
          <w:tcPr>
            <w:tcW w:w="820" w:type="dxa"/>
            <w:vAlign w:val="bottom"/>
            <w:shd w:val="clear" w:color="auto" w:fill="E6E6E6"/>
          </w:tcPr>
          <w:p>
            <w:pPr>
              <w:jc w:val="right"/>
              <w:ind w:right="33"/>
              <w:spacing w:after="0" w:line="202" w:lineRule="exact"/>
              <w:rPr>
                <w:sz w:val="20"/>
                <w:szCs w:val="20"/>
                <w:color w:val="auto"/>
              </w:rPr>
            </w:pPr>
            <w:r>
              <w:rPr>
                <w:rFonts w:ascii="Arial" w:cs="Arial" w:eastAsia="Arial" w:hAnsi="Arial"/>
                <w:sz w:val="18"/>
                <w:szCs w:val="18"/>
                <w:color w:val="auto"/>
              </w:rPr>
              <w:t>3.4</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480" w:type="dxa"/>
            <w:vAlign w:val="bottom"/>
          </w:tcPr>
          <w:p>
            <w:pPr>
              <w:ind w:left="140"/>
              <w:spacing w:after="0" w:line="202" w:lineRule="exact"/>
              <w:rPr>
                <w:sz w:val="20"/>
                <w:szCs w:val="20"/>
                <w:color w:val="auto"/>
              </w:rPr>
            </w:pPr>
            <w:r>
              <w:rPr>
                <w:rFonts w:ascii="Arial" w:cs="Arial" w:eastAsia="Arial" w:hAnsi="Arial"/>
                <w:sz w:val="18"/>
                <w:szCs w:val="18"/>
                <w:color w:val="auto"/>
              </w:rPr>
              <w:t>Accounts payable</w:t>
            </w:r>
          </w:p>
        </w:tc>
        <w:tc>
          <w:tcPr>
            <w:tcW w:w="740" w:type="dxa"/>
            <w:vAlign w:val="bottom"/>
          </w:tcPr>
          <w:p>
            <w:pPr>
              <w:spacing w:after="0"/>
              <w:rPr>
                <w:sz w:val="17"/>
                <w:szCs w:val="17"/>
                <w:color w:val="auto"/>
              </w:rPr>
            </w:pPr>
          </w:p>
        </w:tc>
        <w:tc>
          <w:tcPr>
            <w:tcW w:w="1000" w:type="dxa"/>
            <w:vAlign w:val="bottom"/>
          </w:tcPr>
          <w:p>
            <w:pPr>
              <w:jc w:val="right"/>
              <w:ind w:right="113"/>
              <w:spacing w:after="0" w:line="202" w:lineRule="exact"/>
              <w:rPr>
                <w:sz w:val="20"/>
                <w:szCs w:val="20"/>
                <w:color w:val="auto"/>
              </w:rPr>
            </w:pPr>
            <w:r>
              <w:rPr>
                <w:rFonts w:ascii="Arial" w:cs="Arial" w:eastAsia="Arial" w:hAnsi="Arial"/>
                <w:sz w:val="18"/>
                <w:szCs w:val="18"/>
                <w:color w:val="auto"/>
              </w:rPr>
              <w:t>101.0</w:t>
            </w:r>
          </w:p>
        </w:tc>
        <w:tc>
          <w:tcPr>
            <w:tcW w:w="360" w:type="dxa"/>
            <w:vAlign w:val="bottom"/>
          </w:tcPr>
          <w:p>
            <w:pPr>
              <w:spacing w:after="0"/>
              <w:rPr>
                <w:sz w:val="17"/>
                <w:szCs w:val="17"/>
                <w:color w:val="auto"/>
              </w:rPr>
            </w:pPr>
          </w:p>
        </w:tc>
        <w:tc>
          <w:tcPr>
            <w:tcW w:w="820" w:type="dxa"/>
            <w:vAlign w:val="bottom"/>
          </w:tcPr>
          <w:p>
            <w:pPr>
              <w:jc w:val="right"/>
              <w:ind w:right="33"/>
              <w:spacing w:after="0" w:line="202" w:lineRule="exact"/>
              <w:rPr>
                <w:sz w:val="20"/>
                <w:szCs w:val="20"/>
                <w:color w:val="auto"/>
              </w:rPr>
            </w:pPr>
            <w:r>
              <w:rPr>
                <w:rFonts w:ascii="Arial" w:cs="Arial" w:eastAsia="Arial" w:hAnsi="Arial"/>
                <w:sz w:val="18"/>
                <w:szCs w:val="18"/>
                <w:color w:val="auto"/>
              </w:rPr>
              <w:t>128.2</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480" w:type="dxa"/>
            <w:vAlign w:val="bottom"/>
            <w:shd w:val="clear" w:color="auto" w:fill="E6E6E6"/>
          </w:tcPr>
          <w:p>
            <w:pPr>
              <w:ind w:left="140"/>
              <w:spacing w:after="0" w:line="202" w:lineRule="exact"/>
              <w:rPr>
                <w:sz w:val="20"/>
                <w:szCs w:val="20"/>
                <w:color w:val="auto"/>
              </w:rPr>
            </w:pPr>
            <w:r>
              <w:rPr>
                <w:rFonts w:ascii="Arial" w:cs="Arial" w:eastAsia="Arial" w:hAnsi="Arial"/>
                <w:sz w:val="18"/>
                <w:szCs w:val="18"/>
                <w:color w:val="auto"/>
              </w:rPr>
              <w:t>Accrued royalties</w:t>
            </w:r>
          </w:p>
        </w:tc>
        <w:tc>
          <w:tcPr>
            <w:tcW w:w="740" w:type="dxa"/>
            <w:vAlign w:val="bottom"/>
            <w:shd w:val="clear" w:color="auto" w:fill="E6E6E6"/>
          </w:tcPr>
          <w:p>
            <w:pPr>
              <w:spacing w:after="0"/>
              <w:rPr>
                <w:sz w:val="17"/>
                <w:szCs w:val="17"/>
                <w:color w:val="auto"/>
              </w:rPr>
            </w:pPr>
          </w:p>
        </w:tc>
        <w:tc>
          <w:tcPr>
            <w:tcW w:w="1000" w:type="dxa"/>
            <w:vAlign w:val="bottom"/>
            <w:shd w:val="clear" w:color="auto" w:fill="E6E6E6"/>
          </w:tcPr>
          <w:p>
            <w:pPr>
              <w:jc w:val="right"/>
              <w:ind w:right="113"/>
              <w:spacing w:after="0" w:line="202" w:lineRule="exact"/>
              <w:rPr>
                <w:sz w:val="20"/>
                <w:szCs w:val="20"/>
                <w:color w:val="auto"/>
              </w:rPr>
            </w:pPr>
            <w:r>
              <w:rPr>
                <w:rFonts w:ascii="Arial" w:cs="Arial" w:eastAsia="Arial" w:hAnsi="Arial"/>
                <w:sz w:val="18"/>
                <w:szCs w:val="18"/>
                <w:color w:val="auto"/>
              </w:rPr>
              <w:t>42.3</w:t>
            </w:r>
          </w:p>
        </w:tc>
        <w:tc>
          <w:tcPr>
            <w:tcW w:w="360" w:type="dxa"/>
            <w:vAlign w:val="bottom"/>
            <w:shd w:val="clear" w:color="auto" w:fill="E6E6E6"/>
          </w:tcPr>
          <w:p>
            <w:pPr>
              <w:spacing w:after="0"/>
              <w:rPr>
                <w:sz w:val="17"/>
                <w:szCs w:val="17"/>
                <w:color w:val="auto"/>
              </w:rPr>
            </w:pPr>
          </w:p>
        </w:tc>
        <w:tc>
          <w:tcPr>
            <w:tcW w:w="820" w:type="dxa"/>
            <w:vAlign w:val="bottom"/>
            <w:shd w:val="clear" w:color="auto" w:fill="E6E6E6"/>
          </w:tcPr>
          <w:p>
            <w:pPr>
              <w:jc w:val="right"/>
              <w:ind w:right="33"/>
              <w:spacing w:after="0" w:line="202" w:lineRule="exact"/>
              <w:rPr>
                <w:sz w:val="20"/>
                <w:szCs w:val="20"/>
                <w:color w:val="auto"/>
              </w:rPr>
            </w:pPr>
            <w:r>
              <w:rPr>
                <w:rFonts w:ascii="Arial" w:cs="Arial" w:eastAsia="Arial" w:hAnsi="Arial"/>
                <w:sz w:val="18"/>
                <w:szCs w:val="18"/>
                <w:color w:val="auto"/>
              </w:rPr>
              <w:t>41.7</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480" w:type="dxa"/>
            <w:vAlign w:val="bottom"/>
          </w:tcPr>
          <w:p>
            <w:pPr>
              <w:ind w:left="140"/>
              <w:spacing w:after="0" w:line="202" w:lineRule="exact"/>
              <w:rPr>
                <w:sz w:val="20"/>
                <w:szCs w:val="20"/>
                <w:color w:val="auto"/>
              </w:rPr>
            </w:pPr>
            <w:r>
              <w:rPr>
                <w:rFonts w:ascii="Arial" w:cs="Arial" w:eastAsia="Arial" w:hAnsi="Arial"/>
                <w:sz w:val="18"/>
                <w:szCs w:val="18"/>
                <w:color w:val="auto"/>
              </w:rPr>
              <w:t>Deferred revenue</w:t>
            </w:r>
          </w:p>
        </w:tc>
        <w:tc>
          <w:tcPr>
            <w:tcW w:w="740" w:type="dxa"/>
            <w:vAlign w:val="bottom"/>
          </w:tcPr>
          <w:p>
            <w:pPr>
              <w:spacing w:after="0"/>
              <w:rPr>
                <w:sz w:val="17"/>
                <w:szCs w:val="17"/>
                <w:color w:val="auto"/>
              </w:rPr>
            </w:pPr>
          </w:p>
        </w:tc>
        <w:tc>
          <w:tcPr>
            <w:tcW w:w="1000" w:type="dxa"/>
            <w:vAlign w:val="bottom"/>
          </w:tcPr>
          <w:p>
            <w:pPr>
              <w:jc w:val="right"/>
              <w:ind w:right="113"/>
              <w:spacing w:after="0" w:line="202" w:lineRule="exact"/>
              <w:rPr>
                <w:sz w:val="20"/>
                <w:szCs w:val="20"/>
                <w:color w:val="auto"/>
              </w:rPr>
            </w:pPr>
            <w:r>
              <w:rPr>
                <w:rFonts w:ascii="Arial" w:cs="Arial" w:eastAsia="Arial" w:hAnsi="Arial"/>
                <w:sz w:val="18"/>
                <w:szCs w:val="18"/>
                <w:color w:val="auto"/>
              </w:rPr>
              <w:t>39.8</w:t>
            </w:r>
          </w:p>
        </w:tc>
        <w:tc>
          <w:tcPr>
            <w:tcW w:w="360" w:type="dxa"/>
            <w:vAlign w:val="bottom"/>
          </w:tcPr>
          <w:p>
            <w:pPr>
              <w:spacing w:after="0"/>
              <w:rPr>
                <w:sz w:val="17"/>
                <w:szCs w:val="17"/>
                <w:color w:val="auto"/>
              </w:rPr>
            </w:pPr>
          </w:p>
        </w:tc>
        <w:tc>
          <w:tcPr>
            <w:tcW w:w="820" w:type="dxa"/>
            <w:vAlign w:val="bottom"/>
          </w:tcPr>
          <w:p>
            <w:pPr>
              <w:jc w:val="right"/>
              <w:ind w:right="33"/>
              <w:spacing w:after="0" w:line="202" w:lineRule="exact"/>
              <w:rPr>
                <w:sz w:val="20"/>
                <w:szCs w:val="20"/>
                <w:color w:val="auto"/>
              </w:rPr>
            </w:pPr>
            <w:r>
              <w:rPr>
                <w:rFonts w:ascii="Arial" w:cs="Arial" w:eastAsia="Arial" w:hAnsi="Arial"/>
                <w:sz w:val="18"/>
                <w:szCs w:val="18"/>
                <w:color w:val="auto"/>
              </w:rPr>
              <w:t>34.2</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480" w:type="dxa"/>
            <w:vAlign w:val="bottom"/>
            <w:shd w:val="clear" w:color="auto" w:fill="E6E6E6"/>
          </w:tcPr>
          <w:p>
            <w:pPr>
              <w:ind w:left="140"/>
              <w:spacing w:after="0" w:line="202" w:lineRule="exact"/>
              <w:rPr>
                <w:sz w:val="20"/>
                <w:szCs w:val="20"/>
                <w:color w:val="auto"/>
              </w:rPr>
            </w:pPr>
            <w:r>
              <w:rPr>
                <w:rFonts w:ascii="Arial" w:cs="Arial" w:eastAsia="Arial" w:hAnsi="Arial"/>
                <w:sz w:val="18"/>
                <w:szCs w:val="18"/>
                <w:color w:val="auto"/>
              </w:rPr>
              <w:t>Other accrued expenses</w:t>
            </w:r>
          </w:p>
        </w:tc>
        <w:tc>
          <w:tcPr>
            <w:tcW w:w="740" w:type="dxa"/>
            <w:vAlign w:val="bottom"/>
            <w:shd w:val="clear" w:color="auto" w:fill="E6E6E6"/>
          </w:tcPr>
          <w:p>
            <w:pPr>
              <w:spacing w:after="0"/>
              <w:rPr>
                <w:sz w:val="17"/>
                <w:szCs w:val="17"/>
                <w:color w:val="auto"/>
              </w:rPr>
            </w:pPr>
          </w:p>
        </w:tc>
        <w:tc>
          <w:tcPr>
            <w:tcW w:w="1000" w:type="dxa"/>
            <w:vAlign w:val="bottom"/>
            <w:shd w:val="clear" w:color="auto" w:fill="E6E6E6"/>
          </w:tcPr>
          <w:p>
            <w:pPr>
              <w:jc w:val="right"/>
              <w:ind w:right="113"/>
              <w:spacing w:after="0" w:line="202" w:lineRule="exact"/>
              <w:rPr>
                <w:sz w:val="20"/>
                <w:szCs w:val="20"/>
                <w:color w:val="auto"/>
              </w:rPr>
            </w:pPr>
            <w:r>
              <w:rPr>
                <w:rFonts w:ascii="Arial" w:cs="Arial" w:eastAsia="Arial" w:hAnsi="Arial"/>
                <w:sz w:val="18"/>
                <w:szCs w:val="18"/>
                <w:color w:val="auto"/>
              </w:rPr>
              <w:t>155.2</w:t>
            </w:r>
          </w:p>
        </w:tc>
        <w:tc>
          <w:tcPr>
            <w:tcW w:w="360" w:type="dxa"/>
            <w:vAlign w:val="bottom"/>
            <w:shd w:val="clear" w:color="auto" w:fill="E6E6E6"/>
          </w:tcPr>
          <w:p>
            <w:pPr>
              <w:spacing w:after="0"/>
              <w:rPr>
                <w:sz w:val="17"/>
                <w:szCs w:val="17"/>
                <w:color w:val="auto"/>
              </w:rPr>
            </w:pPr>
          </w:p>
        </w:tc>
        <w:tc>
          <w:tcPr>
            <w:tcW w:w="820" w:type="dxa"/>
            <w:vAlign w:val="bottom"/>
            <w:shd w:val="clear" w:color="auto" w:fill="E6E6E6"/>
          </w:tcPr>
          <w:p>
            <w:pPr>
              <w:jc w:val="right"/>
              <w:ind w:right="33"/>
              <w:spacing w:after="0" w:line="202" w:lineRule="exact"/>
              <w:rPr>
                <w:sz w:val="20"/>
                <w:szCs w:val="20"/>
                <w:color w:val="auto"/>
              </w:rPr>
            </w:pPr>
            <w:r>
              <w:rPr>
                <w:rFonts w:ascii="Arial" w:cs="Arial" w:eastAsia="Arial" w:hAnsi="Arial"/>
                <w:sz w:val="18"/>
                <w:szCs w:val="18"/>
                <w:color w:val="auto"/>
              </w:rPr>
              <w:t>138.9</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480" w:type="dxa"/>
            <w:vAlign w:val="bottom"/>
          </w:tcPr>
          <w:p>
            <w:pPr>
              <w:ind w:left="140"/>
              <w:spacing w:after="0"/>
              <w:rPr>
                <w:sz w:val="20"/>
                <w:szCs w:val="20"/>
                <w:color w:val="auto"/>
              </w:rPr>
            </w:pPr>
            <w:r>
              <w:rPr>
                <w:rFonts w:ascii="Arial" w:cs="Arial" w:eastAsia="Arial" w:hAnsi="Arial"/>
                <w:sz w:val="18"/>
                <w:szCs w:val="18"/>
                <w:color w:val="auto"/>
              </w:rPr>
              <w:t>Current liabilities of discontinued operations</w:t>
            </w:r>
          </w:p>
        </w:tc>
        <w:tc>
          <w:tcPr>
            <w:tcW w:w="740" w:type="dxa"/>
            <w:vAlign w:val="bottom"/>
          </w:tcPr>
          <w:p>
            <w:pPr>
              <w:spacing w:after="0"/>
              <w:rPr>
                <w:sz w:val="18"/>
                <w:szCs w:val="18"/>
                <w:color w:val="auto"/>
              </w:rPr>
            </w:pPr>
          </w:p>
        </w:tc>
        <w:tc>
          <w:tcPr>
            <w:tcW w:w="1000" w:type="dxa"/>
            <w:vAlign w:val="bottom"/>
          </w:tcPr>
          <w:p>
            <w:pPr>
              <w:jc w:val="right"/>
              <w:ind w:right="113"/>
              <w:spacing w:after="0"/>
              <w:rPr>
                <w:sz w:val="20"/>
                <w:szCs w:val="20"/>
                <w:color w:val="auto"/>
              </w:rPr>
            </w:pPr>
            <w:r>
              <w:rPr>
                <w:rFonts w:ascii="Arial" w:cs="Arial" w:eastAsia="Arial" w:hAnsi="Arial"/>
                <w:sz w:val="18"/>
                <w:szCs w:val="18"/>
                <w:color w:val="auto"/>
              </w:rPr>
              <w:t>3.9</w:t>
            </w:r>
          </w:p>
        </w:tc>
        <w:tc>
          <w:tcPr>
            <w:tcW w:w="360" w:type="dxa"/>
            <w:vAlign w:val="bottom"/>
          </w:tcPr>
          <w:p>
            <w:pPr>
              <w:spacing w:after="0"/>
              <w:rPr>
                <w:sz w:val="18"/>
                <w:szCs w:val="18"/>
                <w:color w:val="auto"/>
              </w:rPr>
            </w:pPr>
          </w:p>
        </w:tc>
        <w:tc>
          <w:tcPr>
            <w:tcW w:w="820" w:type="dxa"/>
            <w:vAlign w:val="bottom"/>
          </w:tcPr>
          <w:p>
            <w:pPr>
              <w:jc w:val="right"/>
              <w:ind w:right="33"/>
              <w:spacing w:after="0"/>
              <w:rPr>
                <w:sz w:val="20"/>
                <w:szCs w:val="20"/>
                <w:color w:val="auto"/>
              </w:rPr>
            </w:pPr>
            <w:r>
              <w:rPr>
                <w:rFonts w:ascii="Arial" w:cs="Arial" w:eastAsia="Arial" w:hAnsi="Arial"/>
                <w:sz w:val="18"/>
                <w:szCs w:val="18"/>
                <w:color w:val="auto"/>
              </w:rPr>
              <w:t>7.3</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848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4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36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480" w:type="dxa"/>
            <w:vAlign w:val="bottom"/>
            <w:shd w:val="clear" w:color="auto" w:fill="E6E6E6"/>
          </w:tcPr>
          <w:p>
            <w:pPr>
              <w:ind w:left="300"/>
              <w:spacing w:after="0" w:line="202" w:lineRule="exact"/>
              <w:rPr>
                <w:sz w:val="20"/>
                <w:szCs w:val="20"/>
                <w:color w:val="auto"/>
              </w:rPr>
            </w:pPr>
            <w:r>
              <w:rPr>
                <w:rFonts w:ascii="Arial" w:cs="Arial" w:eastAsia="Arial" w:hAnsi="Arial"/>
                <w:sz w:val="18"/>
                <w:szCs w:val="18"/>
                <w:b w:val="1"/>
                <w:bCs w:val="1"/>
                <w:color w:val="auto"/>
              </w:rPr>
              <w:t>Total current liabilities</w:t>
            </w:r>
          </w:p>
        </w:tc>
        <w:tc>
          <w:tcPr>
            <w:tcW w:w="740" w:type="dxa"/>
            <w:vAlign w:val="bottom"/>
            <w:shd w:val="clear" w:color="auto" w:fill="E6E6E6"/>
          </w:tcPr>
          <w:p>
            <w:pPr>
              <w:spacing w:after="0"/>
              <w:rPr>
                <w:sz w:val="17"/>
                <w:szCs w:val="17"/>
                <w:color w:val="auto"/>
              </w:rPr>
            </w:pPr>
          </w:p>
        </w:tc>
        <w:tc>
          <w:tcPr>
            <w:tcW w:w="1000" w:type="dxa"/>
            <w:vAlign w:val="bottom"/>
            <w:shd w:val="clear" w:color="auto" w:fill="E6E6E6"/>
          </w:tcPr>
          <w:p>
            <w:pPr>
              <w:jc w:val="right"/>
              <w:ind w:right="113"/>
              <w:spacing w:after="0" w:line="202" w:lineRule="exact"/>
              <w:rPr>
                <w:sz w:val="20"/>
                <w:szCs w:val="20"/>
                <w:color w:val="auto"/>
              </w:rPr>
            </w:pPr>
            <w:r>
              <w:rPr>
                <w:rFonts w:ascii="Arial" w:cs="Arial" w:eastAsia="Arial" w:hAnsi="Arial"/>
                <w:sz w:val="18"/>
                <w:szCs w:val="18"/>
                <w:b w:val="1"/>
                <w:bCs w:val="1"/>
                <w:color w:val="auto"/>
              </w:rPr>
              <w:t>393.4</w:t>
            </w:r>
          </w:p>
        </w:tc>
        <w:tc>
          <w:tcPr>
            <w:tcW w:w="360" w:type="dxa"/>
            <w:vAlign w:val="bottom"/>
            <w:shd w:val="clear" w:color="auto" w:fill="E6E6E6"/>
          </w:tcPr>
          <w:p>
            <w:pPr>
              <w:spacing w:after="0"/>
              <w:rPr>
                <w:sz w:val="17"/>
                <w:szCs w:val="17"/>
                <w:color w:val="auto"/>
              </w:rPr>
            </w:pPr>
          </w:p>
        </w:tc>
        <w:tc>
          <w:tcPr>
            <w:tcW w:w="820" w:type="dxa"/>
            <w:vAlign w:val="bottom"/>
            <w:shd w:val="clear" w:color="auto" w:fill="E6E6E6"/>
          </w:tcPr>
          <w:p>
            <w:pPr>
              <w:jc w:val="right"/>
              <w:ind w:right="33"/>
              <w:spacing w:after="0" w:line="202" w:lineRule="exact"/>
              <w:rPr>
                <w:sz w:val="20"/>
                <w:szCs w:val="20"/>
                <w:color w:val="auto"/>
              </w:rPr>
            </w:pPr>
            <w:r>
              <w:rPr>
                <w:rFonts w:ascii="Arial" w:cs="Arial" w:eastAsia="Arial" w:hAnsi="Arial"/>
                <w:sz w:val="18"/>
                <w:szCs w:val="18"/>
                <w:b w:val="1"/>
                <w:bCs w:val="1"/>
                <w:color w:val="auto"/>
              </w:rPr>
              <w:t>407.4</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48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4"/>
        </w:trPr>
        <w:tc>
          <w:tcPr>
            <w:tcW w:w="8500" w:type="dxa"/>
            <w:vAlign w:val="bottom"/>
            <w:gridSpan w:val="2"/>
          </w:tcPr>
          <w:p>
            <w:pPr>
              <w:spacing w:after="0"/>
              <w:rPr>
                <w:sz w:val="20"/>
                <w:szCs w:val="20"/>
                <w:color w:val="auto"/>
              </w:rPr>
            </w:pPr>
            <w:r>
              <w:rPr>
                <w:rFonts w:ascii="Arial" w:cs="Arial" w:eastAsia="Arial" w:hAnsi="Arial"/>
                <w:sz w:val="18"/>
                <w:szCs w:val="18"/>
                <w:b w:val="1"/>
                <w:bCs w:val="1"/>
                <w:color w:val="auto"/>
              </w:rPr>
              <w:t>Noncurrent Liabilities:</w:t>
            </w:r>
          </w:p>
        </w:tc>
        <w:tc>
          <w:tcPr>
            <w:tcW w:w="7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480" w:type="dxa"/>
            <w:vAlign w:val="bottom"/>
            <w:shd w:val="clear" w:color="auto" w:fill="E6E6E6"/>
          </w:tcPr>
          <w:p>
            <w:pPr>
              <w:ind w:left="140"/>
              <w:spacing w:after="0" w:line="202" w:lineRule="exact"/>
              <w:rPr>
                <w:sz w:val="20"/>
                <w:szCs w:val="20"/>
                <w:color w:val="auto"/>
              </w:rPr>
            </w:pPr>
            <w:r>
              <w:rPr>
                <w:rFonts w:ascii="Arial" w:cs="Arial" w:eastAsia="Arial" w:hAnsi="Arial"/>
                <w:sz w:val="18"/>
                <w:szCs w:val="18"/>
                <w:color w:val="auto"/>
              </w:rPr>
              <w:t>Long-term debt</w:t>
            </w:r>
          </w:p>
        </w:tc>
        <w:tc>
          <w:tcPr>
            <w:tcW w:w="740" w:type="dxa"/>
            <w:vAlign w:val="bottom"/>
            <w:shd w:val="clear" w:color="auto" w:fill="E6E6E6"/>
          </w:tcPr>
          <w:p>
            <w:pPr>
              <w:spacing w:after="0"/>
              <w:rPr>
                <w:sz w:val="17"/>
                <w:szCs w:val="17"/>
                <w:color w:val="auto"/>
              </w:rPr>
            </w:pPr>
          </w:p>
        </w:tc>
        <w:tc>
          <w:tcPr>
            <w:tcW w:w="1000" w:type="dxa"/>
            <w:vAlign w:val="bottom"/>
            <w:shd w:val="clear" w:color="auto" w:fill="E6E6E6"/>
          </w:tcPr>
          <w:p>
            <w:pPr>
              <w:jc w:val="right"/>
              <w:ind w:right="113"/>
              <w:spacing w:after="0" w:line="202" w:lineRule="exact"/>
              <w:rPr>
                <w:sz w:val="20"/>
                <w:szCs w:val="20"/>
                <w:color w:val="auto"/>
              </w:rPr>
            </w:pPr>
            <w:r>
              <w:rPr>
                <w:rFonts w:ascii="Arial" w:cs="Arial" w:eastAsia="Arial" w:hAnsi="Arial"/>
                <w:sz w:val="18"/>
                <w:szCs w:val="18"/>
                <w:color w:val="auto"/>
              </w:rPr>
              <w:t>202.5</w:t>
            </w:r>
          </w:p>
        </w:tc>
        <w:tc>
          <w:tcPr>
            <w:tcW w:w="360" w:type="dxa"/>
            <w:vAlign w:val="bottom"/>
            <w:shd w:val="clear" w:color="auto" w:fill="E6E6E6"/>
          </w:tcPr>
          <w:p>
            <w:pPr>
              <w:spacing w:after="0"/>
              <w:rPr>
                <w:sz w:val="17"/>
                <w:szCs w:val="17"/>
                <w:color w:val="auto"/>
              </w:rPr>
            </w:pPr>
          </w:p>
        </w:tc>
        <w:tc>
          <w:tcPr>
            <w:tcW w:w="820" w:type="dxa"/>
            <w:vAlign w:val="bottom"/>
            <w:shd w:val="clear" w:color="auto" w:fill="E6E6E6"/>
          </w:tcPr>
          <w:p>
            <w:pPr>
              <w:jc w:val="right"/>
              <w:ind w:right="33"/>
              <w:spacing w:after="0" w:line="202" w:lineRule="exact"/>
              <w:rPr>
                <w:sz w:val="20"/>
                <w:szCs w:val="20"/>
                <w:color w:val="auto"/>
              </w:rPr>
            </w:pPr>
            <w:r>
              <w:rPr>
                <w:rFonts w:ascii="Arial" w:cs="Arial" w:eastAsia="Arial" w:hAnsi="Arial"/>
                <w:sz w:val="18"/>
                <w:szCs w:val="18"/>
                <w:color w:val="auto"/>
              </w:rPr>
              <w:t>250.0</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480" w:type="dxa"/>
            <w:vAlign w:val="bottom"/>
          </w:tcPr>
          <w:p>
            <w:pPr>
              <w:ind w:left="140"/>
              <w:spacing w:after="0" w:line="202" w:lineRule="exact"/>
              <w:rPr>
                <w:sz w:val="20"/>
                <w:szCs w:val="20"/>
                <w:color w:val="auto"/>
              </w:rPr>
            </w:pPr>
            <w:r>
              <w:rPr>
                <w:rFonts w:ascii="Arial" w:cs="Arial" w:eastAsia="Arial" w:hAnsi="Arial"/>
                <w:sz w:val="18"/>
                <w:szCs w:val="18"/>
                <w:color w:val="auto"/>
              </w:rPr>
              <w:t>Capital lease obligations</w:t>
            </w:r>
          </w:p>
        </w:tc>
        <w:tc>
          <w:tcPr>
            <w:tcW w:w="740" w:type="dxa"/>
            <w:vAlign w:val="bottom"/>
          </w:tcPr>
          <w:p>
            <w:pPr>
              <w:spacing w:after="0"/>
              <w:rPr>
                <w:sz w:val="17"/>
                <w:szCs w:val="17"/>
                <w:color w:val="auto"/>
              </w:rPr>
            </w:pPr>
          </w:p>
        </w:tc>
        <w:tc>
          <w:tcPr>
            <w:tcW w:w="1000" w:type="dxa"/>
            <w:vAlign w:val="bottom"/>
          </w:tcPr>
          <w:p>
            <w:pPr>
              <w:jc w:val="right"/>
              <w:ind w:right="113"/>
              <w:spacing w:after="0" w:line="202" w:lineRule="exact"/>
              <w:rPr>
                <w:sz w:val="20"/>
                <w:szCs w:val="20"/>
                <w:color w:val="auto"/>
              </w:rPr>
            </w:pPr>
            <w:r>
              <w:rPr>
                <w:rFonts w:ascii="Arial" w:cs="Arial" w:eastAsia="Arial" w:hAnsi="Arial"/>
                <w:sz w:val="18"/>
                <w:szCs w:val="18"/>
                <w:color w:val="auto"/>
              </w:rPr>
              <w:t>55.0</w:t>
            </w:r>
          </w:p>
        </w:tc>
        <w:tc>
          <w:tcPr>
            <w:tcW w:w="360" w:type="dxa"/>
            <w:vAlign w:val="bottom"/>
          </w:tcPr>
          <w:p>
            <w:pPr>
              <w:spacing w:after="0"/>
              <w:rPr>
                <w:sz w:val="17"/>
                <w:szCs w:val="17"/>
                <w:color w:val="auto"/>
              </w:rPr>
            </w:pPr>
          </w:p>
        </w:tc>
        <w:tc>
          <w:tcPr>
            <w:tcW w:w="820" w:type="dxa"/>
            <w:vAlign w:val="bottom"/>
          </w:tcPr>
          <w:p>
            <w:pPr>
              <w:jc w:val="right"/>
              <w:ind w:right="33"/>
              <w:spacing w:after="0" w:line="202" w:lineRule="exact"/>
              <w:rPr>
                <w:sz w:val="20"/>
                <w:szCs w:val="20"/>
                <w:color w:val="auto"/>
              </w:rPr>
            </w:pPr>
            <w:r>
              <w:rPr>
                <w:rFonts w:ascii="Arial" w:cs="Arial" w:eastAsia="Arial" w:hAnsi="Arial"/>
                <w:sz w:val="18"/>
                <w:szCs w:val="18"/>
                <w:color w:val="auto"/>
              </w:rPr>
              <w:t>54.5</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480" w:type="dxa"/>
            <w:vAlign w:val="bottom"/>
            <w:shd w:val="clear" w:color="auto" w:fill="E6E6E6"/>
          </w:tcPr>
          <w:p>
            <w:pPr>
              <w:ind w:left="140"/>
              <w:spacing w:after="0" w:line="202" w:lineRule="exact"/>
              <w:rPr>
                <w:sz w:val="20"/>
                <w:szCs w:val="20"/>
                <w:color w:val="auto"/>
              </w:rPr>
            </w:pPr>
            <w:r>
              <w:rPr>
                <w:rFonts w:ascii="Arial" w:cs="Arial" w:eastAsia="Arial" w:hAnsi="Arial"/>
                <w:sz w:val="18"/>
                <w:szCs w:val="18"/>
                <w:color w:val="auto"/>
              </w:rPr>
              <w:t>Other noncurrent liabilities</w:t>
            </w:r>
          </w:p>
        </w:tc>
        <w:tc>
          <w:tcPr>
            <w:tcW w:w="740" w:type="dxa"/>
            <w:vAlign w:val="bottom"/>
            <w:shd w:val="clear" w:color="auto" w:fill="E6E6E6"/>
          </w:tcPr>
          <w:p>
            <w:pPr>
              <w:spacing w:after="0"/>
              <w:rPr>
                <w:sz w:val="17"/>
                <w:szCs w:val="17"/>
                <w:color w:val="auto"/>
              </w:rPr>
            </w:pPr>
          </w:p>
        </w:tc>
        <w:tc>
          <w:tcPr>
            <w:tcW w:w="1000" w:type="dxa"/>
            <w:vAlign w:val="bottom"/>
            <w:shd w:val="clear" w:color="auto" w:fill="E6E6E6"/>
          </w:tcPr>
          <w:p>
            <w:pPr>
              <w:jc w:val="right"/>
              <w:ind w:right="113"/>
              <w:spacing w:after="0" w:line="202" w:lineRule="exact"/>
              <w:rPr>
                <w:sz w:val="20"/>
                <w:szCs w:val="20"/>
                <w:color w:val="auto"/>
              </w:rPr>
            </w:pPr>
            <w:r>
              <w:rPr>
                <w:rFonts w:ascii="Arial" w:cs="Arial" w:eastAsia="Arial" w:hAnsi="Arial"/>
                <w:sz w:val="18"/>
                <w:szCs w:val="18"/>
                <w:color w:val="auto"/>
              </w:rPr>
              <w:t>119.1</w:t>
            </w:r>
          </w:p>
        </w:tc>
        <w:tc>
          <w:tcPr>
            <w:tcW w:w="360" w:type="dxa"/>
            <w:vAlign w:val="bottom"/>
            <w:shd w:val="clear" w:color="auto" w:fill="E6E6E6"/>
          </w:tcPr>
          <w:p>
            <w:pPr>
              <w:spacing w:after="0"/>
              <w:rPr>
                <w:sz w:val="17"/>
                <w:szCs w:val="17"/>
                <w:color w:val="auto"/>
              </w:rPr>
            </w:pPr>
          </w:p>
        </w:tc>
        <w:tc>
          <w:tcPr>
            <w:tcW w:w="820" w:type="dxa"/>
            <w:vAlign w:val="bottom"/>
            <w:shd w:val="clear" w:color="auto" w:fill="E6E6E6"/>
          </w:tcPr>
          <w:p>
            <w:pPr>
              <w:jc w:val="right"/>
              <w:ind w:right="33"/>
              <w:spacing w:after="0" w:line="202" w:lineRule="exact"/>
              <w:rPr>
                <w:sz w:val="20"/>
                <w:szCs w:val="20"/>
                <w:color w:val="auto"/>
              </w:rPr>
            </w:pPr>
            <w:r>
              <w:rPr>
                <w:rFonts w:ascii="Arial" w:cs="Arial" w:eastAsia="Arial" w:hAnsi="Arial"/>
                <w:sz w:val="18"/>
                <w:szCs w:val="18"/>
                <w:color w:val="auto"/>
              </w:rPr>
              <w:t>111.9</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48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8480" w:type="dxa"/>
            <w:vAlign w:val="bottom"/>
          </w:tcPr>
          <w:p>
            <w:pPr>
              <w:ind w:left="300"/>
              <w:spacing w:after="0"/>
              <w:rPr>
                <w:sz w:val="20"/>
                <w:szCs w:val="20"/>
                <w:color w:val="auto"/>
              </w:rPr>
            </w:pPr>
            <w:r>
              <w:rPr>
                <w:rFonts w:ascii="Arial" w:cs="Arial" w:eastAsia="Arial" w:hAnsi="Arial"/>
                <w:sz w:val="18"/>
                <w:szCs w:val="18"/>
                <w:b w:val="1"/>
                <w:bCs w:val="1"/>
                <w:color w:val="auto"/>
              </w:rPr>
              <w:t>Total noncurrent liabilities</w:t>
            </w:r>
          </w:p>
        </w:tc>
        <w:tc>
          <w:tcPr>
            <w:tcW w:w="740" w:type="dxa"/>
            <w:vAlign w:val="bottom"/>
          </w:tcPr>
          <w:p>
            <w:pPr>
              <w:spacing w:after="0"/>
              <w:rPr>
                <w:sz w:val="24"/>
                <w:szCs w:val="24"/>
                <w:color w:val="auto"/>
              </w:rPr>
            </w:pPr>
          </w:p>
        </w:tc>
        <w:tc>
          <w:tcPr>
            <w:tcW w:w="1000" w:type="dxa"/>
            <w:vAlign w:val="bottom"/>
          </w:tcPr>
          <w:p>
            <w:pPr>
              <w:jc w:val="right"/>
              <w:ind w:right="113"/>
              <w:spacing w:after="0"/>
              <w:rPr>
                <w:sz w:val="20"/>
                <w:szCs w:val="20"/>
                <w:color w:val="auto"/>
              </w:rPr>
            </w:pPr>
            <w:r>
              <w:rPr>
                <w:rFonts w:ascii="Arial" w:cs="Arial" w:eastAsia="Arial" w:hAnsi="Arial"/>
                <w:sz w:val="18"/>
                <w:szCs w:val="18"/>
                <w:b w:val="1"/>
                <w:bCs w:val="1"/>
                <w:color w:val="auto"/>
              </w:rPr>
              <w:t>376.6</w:t>
            </w:r>
          </w:p>
        </w:tc>
        <w:tc>
          <w:tcPr>
            <w:tcW w:w="360" w:type="dxa"/>
            <w:vAlign w:val="bottom"/>
          </w:tcPr>
          <w:p>
            <w:pPr>
              <w:spacing w:after="0"/>
              <w:rPr>
                <w:sz w:val="24"/>
                <w:szCs w:val="24"/>
                <w:color w:val="auto"/>
              </w:rPr>
            </w:pPr>
          </w:p>
        </w:tc>
        <w:tc>
          <w:tcPr>
            <w:tcW w:w="820" w:type="dxa"/>
            <w:vAlign w:val="bottom"/>
          </w:tcPr>
          <w:p>
            <w:pPr>
              <w:jc w:val="right"/>
              <w:ind w:right="33"/>
              <w:spacing w:after="0"/>
              <w:rPr>
                <w:sz w:val="20"/>
                <w:szCs w:val="20"/>
                <w:color w:val="auto"/>
              </w:rPr>
            </w:pPr>
            <w:r>
              <w:rPr>
                <w:rFonts w:ascii="Arial" w:cs="Arial" w:eastAsia="Arial" w:hAnsi="Arial"/>
                <w:sz w:val="18"/>
                <w:szCs w:val="18"/>
                <w:b w:val="1"/>
                <w:bCs w:val="1"/>
                <w:color w:val="auto"/>
              </w:rPr>
              <w:t>416.4</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8500" w:type="dxa"/>
            <w:vAlign w:val="bottom"/>
            <w:gridSpan w:val="2"/>
          </w:tcPr>
          <w:p>
            <w:pPr>
              <w:spacing w:after="0"/>
              <w:rPr>
                <w:sz w:val="8"/>
                <w:szCs w:val="8"/>
                <w:color w:val="auto"/>
              </w:rPr>
            </w:pPr>
          </w:p>
        </w:tc>
        <w:tc>
          <w:tcPr>
            <w:tcW w:w="7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360" w:type="dxa"/>
            <w:vAlign w:val="bottom"/>
          </w:tcPr>
          <w:p>
            <w:pPr>
              <w:spacing w:after="0"/>
              <w:rPr>
                <w:sz w:val="8"/>
                <w:szCs w:val="8"/>
                <w:color w:val="auto"/>
              </w:rPr>
            </w:pPr>
          </w:p>
        </w:tc>
        <w:tc>
          <w:tcPr>
            <w:tcW w:w="84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vMerge w:val="restart"/>
          </w:tcPr>
          <w:p>
            <w:pPr>
              <w:spacing w:after="0"/>
              <w:rPr>
                <w:sz w:val="21"/>
                <w:szCs w:val="21"/>
                <w:color w:val="auto"/>
              </w:rPr>
            </w:pPr>
          </w:p>
        </w:tc>
        <w:tc>
          <w:tcPr>
            <w:tcW w:w="8480" w:type="dxa"/>
            <w:vAlign w:val="bottom"/>
            <w:tcBorders>
              <w:top w:val="single" w:sz="8" w:color="808080"/>
            </w:tcBorders>
          </w:tcPr>
          <w:p>
            <w:pPr>
              <w:spacing w:after="0"/>
              <w:rPr>
                <w:sz w:val="21"/>
                <w:szCs w:val="21"/>
                <w:color w:val="auto"/>
              </w:rPr>
            </w:pPr>
          </w:p>
        </w:tc>
        <w:tc>
          <w:tcPr>
            <w:tcW w:w="740" w:type="dxa"/>
            <w:vAlign w:val="bottom"/>
            <w:tcBorders>
              <w:top w:val="single" w:sz="8" w:color="808080"/>
            </w:tcBorders>
          </w:tcPr>
          <w:p>
            <w:pPr>
              <w:spacing w:after="0"/>
              <w:rPr>
                <w:sz w:val="21"/>
                <w:szCs w:val="21"/>
                <w:color w:val="auto"/>
              </w:rPr>
            </w:pPr>
          </w:p>
        </w:tc>
        <w:tc>
          <w:tcPr>
            <w:tcW w:w="1000" w:type="dxa"/>
            <w:vAlign w:val="bottom"/>
            <w:tcBorders>
              <w:top w:val="single" w:sz="8" w:color="808080"/>
            </w:tcBorders>
          </w:tcPr>
          <w:p>
            <w:pPr>
              <w:spacing w:after="0"/>
              <w:rPr>
                <w:sz w:val="21"/>
                <w:szCs w:val="21"/>
                <w:color w:val="auto"/>
              </w:rPr>
            </w:pPr>
          </w:p>
        </w:tc>
        <w:tc>
          <w:tcPr>
            <w:tcW w:w="360" w:type="dxa"/>
            <w:vAlign w:val="bottom"/>
            <w:tcBorders>
              <w:top w:val="single" w:sz="8" w:color="808080"/>
            </w:tcBorders>
          </w:tcPr>
          <w:p>
            <w:pPr>
              <w:spacing w:after="0"/>
              <w:rPr>
                <w:sz w:val="21"/>
                <w:szCs w:val="21"/>
                <w:color w:val="auto"/>
              </w:rPr>
            </w:pPr>
          </w:p>
        </w:tc>
        <w:tc>
          <w:tcPr>
            <w:tcW w:w="820" w:type="dxa"/>
            <w:vAlign w:val="bottom"/>
            <w:tcBorders>
              <w:top w:val="single" w:sz="8" w:color="808080"/>
            </w:tcBorders>
          </w:tcPr>
          <w:p>
            <w:pPr>
              <w:spacing w:after="0"/>
              <w:rPr>
                <w:sz w:val="21"/>
                <w:szCs w:val="21"/>
                <w:color w:val="auto"/>
              </w:rPr>
            </w:pPr>
          </w:p>
        </w:tc>
        <w:tc>
          <w:tcPr>
            <w:tcW w:w="20" w:type="dxa"/>
            <w:vAlign w:val="bottom"/>
            <w:tcBorders>
              <w:top w:val="single" w:sz="8" w:color="808080"/>
            </w:tcBorders>
            <w:vMerge w:val="restart"/>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8480" w:type="dxa"/>
            <w:vAlign w:val="bottom"/>
            <w:shd w:val="clear" w:color="auto" w:fill="E6E6E6"/>
          </w:tcPr>
          <w:p>
            <w:pPr>
              <w:spacing w:after="0" w:line="202" w:lineRule="exact"/>
              <w:rPr>
                <w:sz w:val="20"/>
                <w:szCs w:val="20"/>
                <w:color w:val="auto"/>
              </w:rPr>
            </w:pPr>
            <w:r>
              <w:rPr>
                <w:rFonts w:ascii="Arial" w:cs="Arial" w:eastAsia="Arial" w:hAnsi="Arial"/>
                <w:sz w:val="18"/>
                <w:szCs w:val="18"/>
                <w:b w:val="1"/>
                <w:bCs w:val="1"/>
                <w:color w:val="auto"/>
              </w:rPr>
              <w:t>Commitments and Contingencies:</w:t>
            </w:r>
          </w:p>
        </w:tc>
        <w:tc>
          <w:tcPr>
            <w:tcW w:w="740" w:type="dxa"/>
            <w:vAlign w:val="bottom"/>
            <w:shd w:val="clear" w:color="auto" w:fill="E6E6E6"/>
          </w:tcPr>
          <w:p>
            <w:pPr>
              <w:spacing w:after="0"/>
              <w:rPr>
                <w:sz w:val="17"/>
                <w:szCs w:val="17"/>
                <w:color w:val="auto"/>
              </w:rPr>
            </w:pPr>
          </w:p>
        </w:tc>
        <w:tc>
          <w:tcPr>
            <w:tcW w:w="1000" w:type="dxa"/>
            <w:vAlign w:val="bottom"/>
            <w:shd w:val="clear" w:color="auto" w:fill="E6E6E6"/>
          </w:tcPr>
          <w:p>
            <w:pPr>
              <w:jc w:val="right"/>
              <w:ind w:right="113"/>
              <w:spacing w:after="0" w:line="202" w:lineRule="exact"/>
              <w:rPr>
                <w:sz w:val="20"/>
                <w:szCs w:val="20"/>
                <w:color w:val="auto"/>
              </w:rPr>
            </w:pPr>
            <w:r>
              <w:rPr>
                <w:rFonts w:ascii="Arial" w:cs="Arial" w:eastAsia="Arial" w:hAnsi="Arial"/>
                <w:sz w:val="18"/>
                <w:szCs w:val="18"/>
                <w:b w:val="1"/>
                <w:bCs w:val="1"/>
                <w:color w:val="auto"/>
              </w:rPr>
              <w:t>—</w:t>
            </w:r>
          </w:p>
        </w:tc>
        <w:tc>
          <w:tcPr>
            <w:tcW w:w="360" w:type="dxa"/>
            <w:vAlign w:val="bottom"/>
            <w:shd w:val="clear" w:color="auto" w:fill="E6E6E6"/>
          </w:tcPr>
          <w:p>
            <w:pPr>
              <w:spacing w:after="0"/>
              <w:rPr>
                <w:sz w:val="17"/>
                <w:szCs w:val="17"/>
                <w:color w:val="auto"/>
              </w:rPr>
            </w:pPr>
          </w:p>
        </w:tc>
        <w:tc>
          <w:tcPr>
            <w:tcW w:w="820" w:type="dxa"/>
            <w:vAlign w:val="bottom"/>
            <w:shd w:val="clear" w:color="auto" w:fill="E6E6E6"/>
          </w:tcPr>
          <w:p>
            <w:pPr>
              <w:jc w:val="right"/>
              <w:ind w:right="33"/>
              <w:spacing w:after="0" w:line="202" w:lineRule="exact"/>
              <w:rPr>
                <w:sz w:val="20"/>
                <w:szCs w:val="20"/>
                <w:color w:val="auto"/>
              </w:rPr>
            </w:pPr>
            <w:r>
              <w:rPr>
                <w:rFonts w:ascii="Arial" w:cs="Arial" w:eastAsia="Arial" w:hAnsi="Arial"/>
                <w:sz w:val="18"/>
                <w:szCs w:val="18"/>
                <w:b w:val="1"/>
                <w:bCs w:val="1"/>
                <w:color w:val="auto"/>
              </w:rPr>
              <w:t>—</w:t>
            </w:r>
          </w:p>
        </w:tc>
        <w:tc>
          <w:tcPr>
            <w:tcW w:w="2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1"/>
        </w:trPr>
        <w:tc>
          <w:tcPr>
            <w:tcW w:w="8500" w:type="dxa"/>
            <w:vAlign w:val="bottom"/>
            <w:gridSpan w:val="2"/>
          </w:tcPr>
          <w:p>
            <w:pPr>
              <w:spacing w:after="0"/>
              <w:rPr>
                <w:sz w:val="20"/>
                <w:szCs w:val="20"/>
                <w:color w:val="auto"/>
              </w:rPr>
            </w:pPr>
            <w:r>
              <w:rPr>
                <w:rFonts w:ascii="Arial" w:cs="Arial" w:eastAsia="Arial" w:hAnsi="Arial"/>
                <w:sz w:val="18"/>
                <w:szCs w:val="18"/>
                <w:b w:val="1"/>
                <w:bCs w:val="1"/>
                <w:color w:val="auto"/>
              </w:rPr>
              <w:t>Stockholders’ Equity:</w:t>
            </w:r>
          </w:p>
        </w:tc>
        <w:tc>
          <w:tcPr>
            <w:tcW w:w="7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480" w:type="dxa"/>
            <w:vAlign w:val="bottom"/>
            <w:shd w:val="clear" w:color="auto" w:fill="E6E6E6"/>
          </w:tcPr>
          <w:p>
            <w:pPr>
              <w:ind w:left="140"/>
              <w:spacing w:after="0" w:line="202" w:lineRule="exact"/>
              <w:rPr>
                <w:sz w:val="20"/>
                <w:szCs w:val="20"/>
                <w:color w:val="auto"/>
              </w:rPr>
            </w:pPr>
            <w:r>
              <w:rPr>
                <w:rFonts w:ascii="Arial" w:cs="Arial" w:eastAsia="Arial" w:hAnsi="Arial"/>
                <w:sz w:val="18"/>
                <w:szCs w:val="18"/>
                <w:color w:val="auto"/>
              </w:rPr>
              <w:t>Preferred Stock, $1.00 par value Authorized - 2,000,000; Issued - None</w:t>
            </w:r>
          </w:p>
        </w:tc>
        <w:tc>
          <w:tcPr>
            <w:tcW w:w="740" w:type="dxa"/>
            <w:vAlign w:val="bottom"/>
            <w:shd w:val="clear" w:color="auto" w:fill="E6E6E6"/>
          </w:tcPr>
          <w:p>
            <w:pPr>
              <w:spacing w:after="0"/>
              <w:rPr>
                <w:sz w:val="17"/>
                <w:szCs w:val="17"/>
                <w:color w:val="auto"/>
              </w:rPr>
            </w:pPr>
          </w:p>
        </w:tc>
        <w:tc>
          <w:tcPr>
            <w:tcW w:w="1000" w:type="dxa"/>
            <w:vAlign w:val="bottom"/>
            <w:shd w:val="clear" w:color="auto" w:fill="E6E6E6"/>
          </w:tcPr>
          <w:p>
            <w:pPr>
              <w:jc w:val="right"/>
              <w:ind w:right="113"/>
              <w:spacing w:after="0" w:line="202" w:lineRule="exact"/>
              <w:rPr>
                <w:sz w:val="20"/>
                <w:szCs w:val="20"/>
                <w:color w:val="auto"/>
              </w:rPr>
            </w:pPr>
            <w:r>
              <w:rPr>
                <w:rFonts w:ascii="Arial" w:cs="Arial" w:eastAsia="Arial" w:hAnsi="Arial"/>
                <w:sz w:val="18"/>
                <w:szCs w:val="18"/>
                <w:color w:val="auto"/>
              </w:rPr>
              <w:t>—</w:t>
            </w:r>
          </w:p>
        </w:tc>
        <w:tc>
          <w:tcPr>
            <w:tcW w:w="360" w:type="dxa"/>
            <w:vAlign w:val="bottom"/>
            <w:shd w:val="clear" w:color="auto" w:fill="E6E6E6"/>
          </w:tcPr>
          <w:p>
            <w:pPr>
              <w:spacing w:after="0"/>
              <w:rPr>
                <w:sz w:val="17"/>
                <w:szCs w:val="17"/>
                <w:color w:val="auto"/>
              </w:rPr>
            </w:pPr>
          </w:p>
        </w:tc>
        <w:tc>
          <w:tcPr>
            <w:tcW w:w="820" w:type="dxa"/>
            <w:vAlign w:val="bottom"/>
            <w:shd w:val="clear" w:color="auto" w:fill="E6E6E6"/>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480" w:type="dxa"/>
            <w:vAlign w:val="bottom"/>
          </w:tcPr>
          <w:p>
            <w:pPr>
              <w:ind w:left="140"/>
              <w:spacing w:after="0" w:line="202" w:lineRule="exact"/>
              <w:rPr>
                <w:sz w:val="20"/>
                <w:szCs w:val="20"/>
                <w:color w:val="auto"/>
              </w:rPr>
            </w:pPr>
            <w:r>
              <w:rPr>
                <w:rFonts w:ascii="Arial" w:cs="Arial" w:eastAsia="Arial" w:hAnsi="Arial"/>
                <w:sz w:val="18"/>
                <w:szCs w:val="18"/>
                <w:color w:val="auto"/>
              </w:rPr>
              <w:t>Class A Stock, $.01 par value Authorized - 4,000,000; Issued and Outstanding 1,656,200 shares</w:t>
            </w:r>
          </w:p>
        </w:tc>
        <w:tc>
          <w:tcPr>
            <w:tcW w:w="7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480" w:type="dxa"/>
            <w:vAlign w:val="bottom"/>
            <w:shd w:val="clear" w:color="auto" w:fill="E6E6E6"/>
          </w:tcPr>
          <w:p>
            <w:pPr>
              <w:ind w:left="140"/>
              <w:spacing w:after="0" w:line="206" w:lineRule="exact"/>
              <w:rPr>
                <w:sz w:val="20"/>
                <w:szCs w:val="20"/>
                <w:color w:val="auto"/>
              </w:rPr>
            </w:pPr>
            <w:r>
              <w:rPr>
                <w:rFonts w:ascii="Arial" w:cs="Arial" w:eastAsia="Arial" w:hAnsi="Arial"/>
                <w:sz w:val="18"/>
                <w:szCs w:val="18"/>
                <w:color w:val="auto"/>
              </w:rPr>
              <w:t>Common Stock, $.01 par value Authorized - 70,000,000 shares; Issued - 42,911,624; Outstanding -</w:t>
            </w:r>
          </w:p>
        </w:tc>
        <w:tc>
          <w:tcPr>
            <w:tcW w:w="740" w:type="dxa"/>
            <w:vAlign w:val="bottom"/>
            <w:shd w:val="clear" w:color="auto" w:fill="E6E6E6"/>
          </w:tcPr>
          <w:p>
            <w:pPr>
              <w:spacing w:after="0"/>
              <w:rPr>
                <w:sz w:val="17"/>
                <w:szCs w:val="17"/>
                <w:color w:val="auto"/>
              </w:rPr>
            </w:pPr>
          </w:p>
        </w:tc>
        <w:tc>
          <w:tcPr>
            <w:tcW w:w="1000" w:type="dxa"/>
            <w:vAlign w:val="bottom"/>
            <w:shd w:val="clear" w:color="auto" w:fill="E6E6E6"/>
          </w:tcPr>
          <w:p>
            <w:pPr>
              <w:spacing w:after="0"/>
              <w:rPr>
                <w:sz w:val="17"/>
                <w:szCs w:val="17"/>
                <w:color w:val="auto"/>
              </w:rPr>
            </w:pPr>
          </w:p>
        </w:tc>
        <w:tc>
          <w:tcPr>
            <w:tcW w:w="360" w:type="dxa"/>
            <w:vAlign w:val="bottom"/>
            <w:shd w:val="clear" w:color="auto" w:fill="E6E6E6"/>
          </w:tcPr>
          <w:p>
            <w:pPr>
              <w:spacing w:after="0"/>
              <w:rPr>
                <w:sz w:val="17"/>
                <w:szCs w:val="17"/>
                <w:color w:val="auto"/>
              </w:rPr>
            </w:pPr>
          </w:p>
        </w:tc>
        <w:tc>
          <w:tcPr>
            <w:tcW w:w="820" w:type="dxa"/>
            <w:vAlign w:val="bottom"/>
            <w:shd w:val="clear" w:color="auto" w:fill="E6E6E6"/>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8480" w:type="dxa"/>
            <w:vAlign w:val="bottom"/>
            <w:shd w:val="clear" w:color="auto" w:fill="E6E6E6"/>
          </w:tcPr>
          <w:p>
            <w:pPr>
              <w:ind w:left="300"/>
              <w:spacing w:after="0" w:line="200" w:lineRule="exact"/>
              <w:rPr>
                <w:sz w:val="20"/>
                <w:szCs w:val="20"/>
                <w:color w:val="auto"/>
              </w:rPr>
            </w:pPr>
            <w:r>
              <w:rPr>
                <w:rFonts w:ascii="Arial" w:cs="Arial" w:eastAsia="Arial" w:hAnsi="Arial"/>
                <w:sz w:val="18"/>
                <w:szCs w:val="18"/>
                <w:color w:val="auto"/>
              </w:rPr>
              <w:t>34,598,258 (42,911,624 shares issued and 34,740,275 outstanding at May 31, 2009)</w:t>
            </w:r>
          </w:p>
        </w:tc>
        <w:tc>
          <w:tcPr>
            <w:tcW w:w="740" w:type="dxa"/>
            <w:vAlign w:val="bottom"/>
            <w:shd w:val="clear" w:color="auto" w:fill="E6E6E6"/>
          </w:tcPr>
          <w:p>
            <w:pPr>
              <w:spacing w:after="0"/>
              <w:rPr>
                <w:sz w:val="17"/>
                <w:szCs w:val="17"/>
                <w:color w:val="auto"/>
              </w:rPr>
            </w:pPr>
          </w:p>
        </w:tc>
        <w:tc>
          <w:tcPr>
            <w:tcW w:w="1000" w:type="dxa"/>
            <w:vAlign w:val="bottom"/>
            <w:shd w:val="clear" w:color="auto" w:fill="E6E6E6"/>
          </w:tcPr>
          <w:p>
            <w:pPr>
              <w:jc w:val="right"/>
              <w:ind w:right="113"/>
              <w:spacing w:after="0" w:line="200" w:lineRule="exact"/>
              <w:rPr>
                <w:sz w:val="20"/>
                <w:szCs w:val="20"/>
                <w:color w:val="auto"/>
              </w:rPr>
            </w:pPr>
            <w:r>
              <w:rPr>
                <w:rFonts w:ascii="Arial" w:cs="Arial" w:eastAsia="Arial" w:hAnsi="Arial"/>
                <w:sz w:val="18"/>
                <w:szCs w:val="18"/>
                <w:color w:val="auto"/>
              </w:rPr>
              <w:t>0.4</w:t>
            </w:r>
          </w:p>
        </w:tc>
        <w:tc>
          <w:tcPr>
            <w:tcW w:w="360" w:type="dxa"/>
            <w:vAlign w:val="bottom"/>
            <w:shd w:val="clear" w:color="auto" w:fill="E6E6E6"/>
          </w:tcPr>
          <w:p>
            <w:pPr>
              <w:spacing w:after="0"/>
              <w:rPr>
                <w:sz w:val="17"/>
                <w:szCs w:val="17"/>
                <w:color w:val="auto"/>
              </w:rPr>
            </w:pPr>
          </w:p>
        </w:tc>
        <w:tc>
          <w:tcPr>
            <w:tcW w:w="820" w:type="dxa"/>
            <w:vAlign w:val="bottom"/>
            <w:shd w:val="clear" w:color="auto" w:fill="E6E6E6"/>
          </w:tcPr>
          <w:p>
            <w:pPr>
              <w:jc w:val="right"/>
              <w:ind w:right="33"/>
              <w:spacing w:after="0" w:line="200" w:lineRule="exact"/>
              <w:rPr>
                <w:sz w:val="20"/>
                <w:szCs w:val="20"/>
                <w:color w:val="auto"/>
              </w:rPr>
            </w:pPr>
            <w:r>
              <w:rPr>
                <w:rFonts w:ascii="Arial" w:cs="Arial" w:eastAsia="Arial" w:hAnsi="Arial"/>
                <w:sz w:val="18"/>
                <w:szCs w:val="18"/>
                <w:color w:val="auto"/>
              </w:rPr>
              <w:t>0.4</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480" w:type="dxa"/>
            <w:vAlign w:val="bottom"/>
          </w:tcPr>
          <w:p>
            <w:pPr>
              <w:ind w:left="140"/>
              <w:spacing w:after="0" w:line="202" w:lineRule="exact"/>
              <w:rPr>
                <w:sz w:val="20"/>
                <w:szCs w:val="20"/>
                <w:color w:val="auto"/>
              </w:rPr>
            </w:pPr>
            <w:r>
              <w:rPr>
                <w:rFonts w:ascii="Arial" w:cs="Arial" w:eastAsia="Arial" w:hAnsi="Arial"/>
                <w:sz w:val="18"/>
                <w:szCs w:val="18"/>
                <w:color w:val="auto"/>
              </w:rPr>
              <w:t>Additional paid-in capital</w:t>
            </w:r>
          </w:p>
        </w:tc>
        <w:tc>
          <w:tcPr>
            <w:tcW w:w="740" w:type="dxa"/>
            <w:vAlign w:val="bottom"/>
          </w:tcPr>
          <w:p>
            <w:pPr>
              <w:spacing w:after="0"/>
              <w:rPr>
                <w:sz w:val="17"/>
                <w:szCs w:val="17"/>
                <w:color w:val="auto"/>
              </w:rPr>
            </w:pPr>
          </w:p>
        </w:tc>
        <w:tc>
          <w:tcPr>
            <w:tcW w:w="1000" w:type="dxa"/>
            <w:vAlign w:val="bottom"/>
          </w:tcPr>
          <w:p>
            <w:pPr>
              <w:jc w:val="right"/>
              <w:ind w:right="113"/>
              <w:spacing w:after="0" w:line="202" w:lineRule="exact"/>
              <w:rPr>
                <w:sz w:val="20"/>
                <w:szCs w:val="20"/>
                <w:color w:val="auto"/>
              </w:rPr>
            </w:pPr>
            <w:r>
              <w:rPr>
                <w:rFonts w:ascii="Arial" w:cs="Arial" w:eastAsia="Arial" w:hAnsi="Arial"/>
                <w:sz w:val="18"/>
                <w:szCs w:val="18"/>
                <w:color w:val="auto"/>
              </w:rPr>
              <w:t>569.2</w:t>
            </w:r>
          </w:p>
        </w:tc>
        <w:tc>
          <w:tcPr>
            <w:tcW w:w="360" w:type="dxa"/>
            <w:vAlign w:val="bottom"/>
          </w:tcPr>
          <w:p>
            <w:pPr>
              <w:spacing w:after="0"/>
              <w:rPr>
                <w:sz w:val="17"/>
                <w:szCs w:val="17"/>
                <w:color w:val="auto"/>
              </w:rPr>
            </w:pPr>
          </w:p>
        </w:tc>
        <w:tc>
          <w:tcPr>
            <w:tcW w:w="820" w:type="dxa"/>
            <w:vAlign w:val="bottom"/>
          </w:tcPr>
          <w:p>
            <w:pPr>
              <w:jc w:val="right"/>
              <w:ind w:right="33"/>
              <w:spacing w:after="0" w:line="202" w:lineRule="exact"/>
              <w:rPr>
                <w:sz w:val="20"/>
                <w:szCs w:val="20"/>
                <w:color w:val="auto"/>
              </w:rPr>
            </w:pPr>
            <w:r>
              <w:rPr>
                <w:rFonts w:ascii="Arial" w:cs="Arial" w:eastAsia="Arial" w:hAnsi="Arial"/>
                <w:sz w:val="18"/>
                <w:szCs w:val="18"/>
                <w:color w:val="auto"/>
              </w:rPr>
              <w:t>552.9</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480" w:type="dxa"/>
            <w:vAlign w:val="bottom"/>
            <w:shd w:val="clear" w:color="auto" w:fill="E6E6E6"/>
          </w:tcPr>
          <w:p>
            <w:pPr>
              <w:ind w:left="140"/>
              <w:spacing w:after="0" w:line="202" w:lineRule="exact"/>
              <w:rPr>
                <w:sz w:val="20"/>
                <w:szCs w:val="20"/>
                <w:color w:val="auto"/>
              </w:rPr>
            </w:pPr>
            <w:r>
              <w:rPr>
                <w:rFonts w:ascii="Arial" w:cs="Arial" w:eastAsia="Arial" w:hAnsi="Arial"/>
                <w:sz w:val="18"/>
                <w:szCs w:val="18"/>
                <w:color w:val="auto"/>
              </w:rPr>
              <w:t>Accumulated other comprehensive loss</w:t>
            </w:r>
          </w:p>
        </w:tc>
        <w:tc>
          <w:tcPr>
            <w:tcW w:w="740" w:type="dxa"/>
            <w:vAlign w:val="bottom"/>
            <w:shd w:val="clear" w:color="auto" w:fill="E6E6E6"/>
          </w:tcPr>
          <w:p>
            <w:pPr>
              <w:spacing w:after="0"/>
              <w:rPr>
                <w:sz w:val="17"/>
                <w:szCs w:val="17"/>
                <w:color w:val="auto"/>
              </w:rPr>
            </w:pPr>
          </w:p>
        </w:tc>
        <w:tc>
          <w:tcPr>
            <w:tcW w:w="1000" w:type="dxa"/>
            <w:vAlign w:val="bottom"/>
            <w:shd w:val="clear" w:color="auto" w:fill="E6E6E6"/>
          </w:tcPr>
          <w:p>
            <w:pPr>
              <w:jc w:val="right"/>
              <w:ind w:right="53"/>
              <w:spacing w:after="0" w:line="202" w:lineRule="exact"/>
              <w:rPr>
                <w:sz w:val="20"/>
                <w:szCs w:val="20"/>
                <w:color w:val="auto"/>
              </w:rPr>
            </w:pPr>
            <w:r>
              <w:rPr>
                <w:rFonts w:ascii="Arial" w:cs="Arial" w:eastAsia="Arial" w:hAnsi="Arial"/>
                <w:sz w:val="18"/>
                <w:szCs w:val="18"/>
                <w:color w:val="auto"/>
              </w:rPr>
              <w:t>(85.4)</w:t>
            </w:r>
          </w:p>
        </w:tc>
        <w:tc>
          <w:tcPr>
            <w:tcW w:w="360" w:type="dxa"/>
            <w:vAlign w:val="bottom"/>
            <w:shd w:val="clear" w:color="auto" w:fill="E6E6E6"/>
          </w:tcPr>
          <w:p>
            <w:pPr>
              <w:spacing w:after="0"/>
              <w:rPr>
                <w:sz w:val="17"/>
                <w:szCs w:val="17"/>
                <w:color w:val="auto"/>
              </w:rPr>
            </w:pPr>
          </w:p>
        </w:tc>
        <w:tc>
          <w:tcPr>
            <w:tcW w:w="82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(77.1)</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480" w:type="dxa"/>
            <w:vAlign w:val="bottom"/>
          </w:tcPr>
          <w:p>
            <w:pPr>
              <w:ind w:left="140"/>
              <w:spacing w:after="0" w:line="202" w:lineRule="exact"/>
              <w:rPr>
                <w:sz w:val="20"/>
                <w:szCs w:val="20"/>
                <w:color w:val="auto"/>
              </w:rPr>
            </w:pPr>
            <w:r>
              <w:rPr>
                <w:rFonts w:ascii="Arial" w:cs="Arial" w:eastAsia="Arial" w:hAnsi="Arial"/>
                <w:sz w:val="18"/>
                <w:szCs w:val="18"/>
                <w:color w:val="auto"/>
              </w:rPr>
              <w:t>Retained earnings</w:t>
            </w:r>
          </w:p>
        </w:tc>
        <w:tc>
          <w:tcPr>
            <w:tcW w:w="740" w:type="dxa"/>
            <w:vAlign w:val="bottom"/>
          </w:tcPr>
          <w:p>
            <w:pPr>
              <w:spacing w:after="0"/>
              <w:rPr>
                <w:sz w:val="17"/>
                <w:szCs w:val="17"/>
                <w:color w:val="auto"/>
              </w:rPr>
            </w:pPr>
          </w:p>
        </w:tc>
        <w:tc>
          <w:tcPr>
            <w:tcW w:w="1000" w:type="dxa"/>
            <w:vAlign w:val="bottom"/>
          </w:tcPr>
          <w:p>
            <w:pPr>
              <w:jc w:val="right"/>
              <w:ind w:right="113"/>
              <w:spacing w:after="0" w:line="202" w:lineRule="exact"/>
              <w:rPr>
                <w:sz w:val="20"/>
                <w:szCs w:val="20"/>
                <w:color w:val="auto"/>
              </w:rPr>
            </w:pPr>
            <w:r>
              <w:rPr>
                <w:rFonts w:ascii="Arial" w:cs="Arial" w:eastAsia="Arial" w:hAnsi="Arial"/>
                <w:sz w:val="18"/>
                <w:szCs w:val="18"/>
                <w:color w:val="auto"/>
              </w:rPr>
              <w:t>607.8</w:t>
            </w:r>
          </w:p>
        </w:tc>
        <w:tc>
          <w:tcPr>
            <w:tcW w:w="360" w:type="dxa"/>
            <w:vAlign w:val="bottom"/>
          </w:tcPr>
          <w:p>
            <w:pPr>
              <w:spacing w:after="0"/>
              <w:rPr>
                <w:sz w:val="17"/>
                <w:szCs w:val="17"/>
                <w:color w:val="auto"/>
              </w:rPr>
            </w:pPr>
          </w:p>
        </w:tc>
        <w:tc>
          <w:tcPr>
            <w:tcW w:w="820" w:type="dxa"/>
            <w:vAlign w:val="bottom"/>
          </w:tcPr>
          <w:p>
            <w:pPr>
              <w:jc w:val="right"/>
              <w:ind w:right="33"/>
              <w:spacing w:after="0" w:line="202" w:lineRule="exact"/>
              <w:rPr>
                <w:sz w:val="20"/>
                <w:szCs w:val="20"/>
                <w:color w:val="auto"/>
              </w:rPr>
            </w:pPr>
            <w:r>
              <w:rPr>
                <w:rFonts w:ascii="Arial" w:cs="Arial" w:eastAsia="Arial" w:hAnsi="Arial"/>
                <w:sz w:val="18"/>
                <w:szCs w:val="18"/>
                <w:color w:val="auto"/>
              </w:rPr>
              <w:t>562.8</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480" w:type="dxa"/>
            <w:vAlign w:val="bottom"/>
            <w:shd w:val="clear" w:color="auto" w:fill="E6E6E6"/>
          </w:tcPr>
          <w:p>
            <w:pPr>
              <w:ind w:left="140"/>
              <w:spacing w:after="0" w:line="202" w:lineRule="exact"/>
              <w:rPr>
                <w:sz w:val="20"/>
                <w:szCs w:val="20"/>
                <w:color w:val="auto"/>
              </w:rPr>
            </w:pPr>
            <w:r>
              <w:rPr>
                <w:rFonts w:ascii="Arial" w:cs="Arial" w:eastAsia="Arial" w:hAnsi="Arial"/>
                <w:sz w:val="18"/>
                <w:szCs w:val="18"/>
                <w:color w:val="auto"/>
              </w:rPr>
              <w:t>Treasury stock at cost</w:t>
            </w:r>
          </w:p>
        </w:tc>
        <w:tc>
          <w:tcPr>
            <w:tcW w:w="740" w:type="dxa"/>
            <w:vAlign w:val="bottom"/>
            <w:shd w:val="clear" w:color="auto" w:fill="E6E6E6"/>
          </w:tcPr>
          <w:p>
            <w:pPr>
              <w:spacing w:after="0"/>
              <w:rPr>
                <w:sz w:val="17"/>
                <w:szCs w:val="17"/>
                <w:color w:val="auto"/>
              </w:rPr>
            </w:pPr>
          </w:p>
        </w:tc>
        <w:tc>
          <w:tcPr>
            <w:tcW w:w="1000" w:type="dxa"/>
            <w:vAlign w:val="bottom"/>
            <w:shd w:val="clear" w:color="auto" w:fill="E6E6E6"/>
          </w:tcPr>
          <w:p>
            <w:pPr>
              <w:jc w:val="right"/>
              <w:ind w:right="53"/>
              <w:spacing w:after="0" w:line="202" w:lineRule="exact"/>
              <w:rPr>
                <w:sz w:val="20"/>
                <w:szCs w:val="20"/>
                <w:color w:val="auto"/>
              </w:rPr>
            </w:pPr>
            <w:r>
              <w:rPr>
                <w:rFonts w:ascii="Arial" w:cs="Arial" w:eastAsia="Arial" w:hAnsi="Arial"/>
                <w:sz w:val="18"/>
                <w:szCs w:val="18"/>
                <w:color w:val="auto"/>
              </w:rPr>
              <w:t>(261.6)</w:t>
            </w:r>
          </w:p>
        </w:tc>
        <w:tc>
          <w:tcPr>
            <w:tcW w:w="360" w:type="dxa"/>
            <w:vAlign w:val="bottom"/>
            <w:shd w:val="clear" w:color="auto" w:fill="E6E6E6"/>
          </w:tcPr>
          <w:p>
            <w:pPr>
              <w:spacing w:after="0"/>
              <w:rPr>
                <w:sz w:val="17"/>
                <w:szCs w:val="17"/>
                <w:color w:val="auto"/>
              </w:rPr>
            </w:pPr>
          </w:p>
        </w:tc>
        <w:tc>
          <w:tcPr>
            <w:tcW w:w="82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(254.0)</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48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8480" w:type="dxa"/>
            <w:vAlign w:val="bottom"/>
          </w:tcPr>
          <w:p>
            <w:pPr>
              <w:ind w:left="300"/>
              <w:spacing w:after="0"/>
              <w:rPr>
                <w:sz w:val="20"/>
                <w:szCs w:val="20"/>
                <w:color w:val="auto"/>
              </w:rPr>
            </w:pPr>
            <w:r>
              <w:rPr>
                <w:rFonts w:ascii="Arial" w:cs="Arial" w:eastAsia="Arial" w:hAnsi="Arial"/>
                <w:sz w:val="18"/>
                <w:szCs w:val="18"/>
                <w:b w:val="1"/>
                <w:bCs w:val="1"/>
                <w:color w:val="auto"/>
              </w:rPr>
              <w:t>Total stockholders’ equity</w:t>
            </w:r>
          </w:p>
        </w:tc>
        <w:tc>
          <w:tcPr>
            <w:tcW w:w="740" w:type="dxa"/>
            <w:vAlign w:val="bottom"/>
          </w:tcPr>
          <w:p>
            <w:pPr>
              <w:spacing w:after="0"/>
              <w:rPr>
                <w:sz w:val="24"/>
                <w:szCs w:val="24"/>
                <w:color w:val="auto"/>
              </w:rPr>
            </w:pPr>
          </w:p>
        </w:tc>
        <w:tc>
          <w:tcPr>
            <w:tcW w:w="1000" w:type="dxa"/>
            <w:vAlign w:val="bottom"/>
          </w:tcPr>
          <w:p>
            <w:pPr>
              <w:jc w:val="right"/>
              <w:ind w:right="113"/>
              <w:spacing w:after="0"/>
              <w:rPr>
                <w:sz w:val="20"/>
                <w:szCs w:val="20"/>
                <w:color w:val="auto"/>
              </w:rPr>
            </w:pPr>
            <w:r>
              <w:rPr>
                <w:rFonts w:ascii="Arial" w:cs="Arial" w:eastAsia="Arial" w:hAnsi="Arial"/>
                <w:sz w:val="18"/>
                <w:szCs w:val="18"/>
                <w:b w:val="1"/>
                <w:bCs w:val="1"/>
                <w:color w:val="auto"/>
              </w:rPr>
              <w:t>830.4</w:t>
            </w:r>
          </w:p>
        </w:tc>
        <w:tc>
          <w:tcPr>
            <w:tcW w:w="360" w:type="dxa"/>
            <w:vAlign w:val="bottom"/>
          </w:tcPr>
          <w:p>
            <w:pPr>
              <w:spacing w:after="0"/>
              <w:rPr>
                <w:sz w:val="24"/>
                <w:szCs w:val="24"/>
                <w:color w:val="auto"/>
              </w:rPr>
            </w:pPr>
          </w:p>
        </w:tc>
        <w:tc>
          <w:tcPr>
            <w:tcW w:w="820" w:type="dxa"/>
            <w:vAlign w:val="bottom"/>
          </w:tcPr>
          <w:p>
            <w:pPr>
              <w:jc w:val="right"/>
              <w:ind w:right="33"/>
              <w:spacing w:after="0"/>
              <w:rPr>
                <w:sz w:val="20"/>
                <w:szCs w:val="20"/>
                <w:color w:val="auto"/>
              </w:rPr>
            </w:pPr>
            <w:r>
              <w:rPr>
                <w:rFonts w:ascii="Arial" w:cs="Arial" w:eastAsia="Arial" w:hAnsi="Arial"/>
                <w:sz w:val="18"/>
                <w:szCs w:val="18"/>
                <w:b w:val="1"/>
                <w:bCs w:val="1"/>
                <w:color w:val="auto"/>
              </w:rPr>
              <w:t>785.0</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8500" w:type="dxa"/>
            <w:vAlign w:val="bottom"/>
            <w:gridSpan w:val="2"/>
          </w:tcPr>
          <w:p>
            <w:pPr>
              <w:spacing w:after="0"/>
              <w:rPr>
                <w:sz w:val="8"/>
                <w:szCs w:val="8"/>
                <w:color w:val="auto"/>
              </w:rPr>
            </w:pPr>
          </w:p>
        </w:tc>
        <w:tc>
          <w:tcPr>
            <w:tcW w:w="7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36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480" w:type="dxa"/>
            <w:vAlign w:val="bottom"/>
            <w:tcBorders>
              <w:top w:val="single" w:sz="8" w:color="808080"/>
            </w:tcBorders>
          </w:tcPr>
          <w:p>
            <w:pPr>
              <w:spacing w:after="0"/>
              <w:rPr>
                <w:sz w:val="8"/>
                <w:szCs w:val="8"/>
                <w:color w:val="auto"/>
              </w:rPr>
            </w:pPr>
          </w:p>
        </w:tc>
        <w:tc>
          <w:tcPr>
            <w:tcW w:w="740" w:type="dxa"/>
            <w:vAlign w:val="bottom"/>
            <w:tcBorders>
              <w:top w:val="single" w:sz="8" w:color="808080"/>
            </w:tcBorders>
          </w:tcPr>
          <w:p>
            <w:pPr>
              <w:spacing w:after="0"/>
              <w:rPr>
                <w:sz w:val="8"/>
                <w:szCs w:val="8"/>
                <w:color w:val="auto"/>
              </w:rPr>
            </w:pPr>
          </w:p>
        </w:tc>
        <w:tc>
          <w:tcPr>
            <w:tcW w:w="1000" w:type="dxa"/>
            <w:vAlign w:val="bottom"/>
            <w:tcBorders>
              <w:top w:val="single" w:sz="8" w:color="808080"/>
            </w:tcBorders>
          </w:tcPr>
          <w:p>
            <w:pPr>
              <w:spacing w:after="0"/>
              <w:rPr>
                <w:sz w:val="8"/>
                <w:szCs w:val="8"/>
                <w:color w:val="auto"/>
              </w:rPr>
            </w:pPr>
          </w:p>
        </w:tc>
        <w:tc>
          <w:tcPr>
            <w:tcW w:w="360" w:type="dxa"/>
            <w:vAlign w:val="bottom"/>
            <w:tcBorders>
              <w:top w:val="single" w:sz="8" w:color="808080"/>
            </w:tcBorders>
          </w:tcPr>
          <w:p>
            <w:pPr>
              <w:spacing w:after="0"/>
              <w:rPr>
                <w:sz w:val="8"/>
                <w:szCs w:val="8"/>
                <w:color w:val="auto"/>
              </w:rPr>
            </w:pPr>
          </w:p>
        </w:tc>
        <w:tc>
          <w:tcPr>
            <w:tcW w:w="820" w:type="dxa"/>
            <w:vAlign w:val="bottom"/>
            <w:tcBorders>
              <w:top w:val="single" w:sz="8" w:color="808080"/>
            </w:tcBorders>
          </w:tcPr>
          <w:p>
            <w:pPr>
              <w:spacing w:after="0"/>
              <w:rPr>
                <w:sz w:val="8"/>
                <w:szCs w:val="8"/>
                <w:color w:val="auto"/>
              </w:rPr>
            </w:pPr>
          </w:p>
        </w:tc>
        <w:tc>
          <w:tcPr>
            <w:tcW w:w="20" w:type="dxa"/>
            <w:vAlign w:val="bottom"/>
            <w:tcBorders>
              <w:top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8480" w:type="dxa"/>
            <w:vAlign w:val="bottom"/>
            <w:shd w:val="clear" w:color="auto" w:fill="E6E6E6"/>
          </w:tcPr>
          <w:p>
            <w:pPr>
              <w:spacing w:after="0" w:line="202" w:lineRule="exact"/>
              <w:rPr>
                <w:sz w:val="20"/>
                <w:szCs w:val="20"/>
                <w:color w:val="auto"/>
              </w:rPr>
            </w:pPr>
            <w:r>
              <w:rPr>
                <w:rFonts w:ascii="Arial" w:cs="Arial" w:eastAsia="Arial" w:hAnsi="Arial"/>
                <w:sz w:val="18"/>
                <w:szCs w:val="18"/>
                <w:b w:val="1"/>
                <w:bCs w:val="1"/>
                <w:color w:val="auto"/>
              </w:rPr>
              <w:t>Total liabilities and stockholders’ equity</w:t>
            </w:r>
          </w:p>
        </w:tc>
        <w:tc>
          <w:tcPr>
            <w:tcW w:w="74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1000" w:type="dxa"/>
            <w:vAlign w:val="bottom"/>
            <w:shd w:val="clear" w:color="auto" w:fill="E6E6E6"/>
          </w:tcPr>
          <w:p>
            <w:pPr>
              <w:jc w:val="right"/>
              <w:ind w:right="113"/>
              <w:spacing w:after="0" w:line="202" w:lineRule="exact"/>
              <w:rPr>
                <w:sz w:val="20"/>
                <w:szCs w:val="20"/>
                <w:color w:val="auto"/>
              </w:rPr>
            </w:pPr>
            <w:r>
              <w:rPr>
                <w:rFonts w:ascii="Arial" w:cs="Arial" w:eastAsia="Arial" w:hAnsi="Arial"/>
                <w:sz w:val="18"/>
                <w:szCs w:val="18"/>
                <w:b w:val="1"/>
                <w:bCs w:val="1"/>
                <w:color w:val="auto"/>
              </w:rPr>
              <w:t>1,600.4</w:t>
            </w:r>
          </w:p>
        </w:tc>
        <w:tc>
          <w:tcPr>
            <w:tcW w:w="360" w:type="dxa"/>
            <w:vAlign w:val="bottom"/>
            <w:shd w:val="clear" w:color="auto" w:fill="E6E6E6"/>
          </w:tcPr>
          <w:p>
            <w:pPr>
              <w:jc w:val="right"/>
              <w:ind w:right="32"/>
              <w:spacing w:after="0" w:line="202" w:lineRule="exact"/>
              <w:rPr>
                <w:sz w:val="20"/>
                <w:szCs w:val="20"/>
                <w:color w:val="auto"/>
              </w:rPr>
            </w:pPr>
            <w:r>
              <w:rPr>
                <w:rFonts w:ascii="Arial" w:cs="Arial" w:eastAsia="Arial" w:hAnsi="Arial"/>
                <w:sz w:val="18"/>
                <w:szCs w:val="18"/>
                <w:b w:val="1"/>
                <w:bCs w:val="1"/>
                <w:color w:val="auto"/>
              </w:rPr>
              <w:t>$</w:t>
            </w:r>
          </w:p>
        </w:tc>
        <w:tc>
          <w:tcPr>
            <w:tcW w:w="820" w:type="dxa"/>
            <w:vAlign w:val="bottom"/>
            <w:shd w:val="clear" w:color="auto" w:fill="E6E6E6"/>
          </w:tcPr>
          <w:p>
            <w:pPr>
              <w:jc w:val="right"/>
              <w:ind w:right="33"/>
              <w:spacing w:after="0" w:line="202" w:lineRule="exact"/>
              <w:rPr>
                <w:sz w:val="20"/>
                <w:szCs w:val="20"/>
                <w:color w:val="auto"/>
              </w:rPr>
            </w:pPr>
            <w:r>
              <w:rPr>
                <w:rFonts w:ascii="Arial" w:cs="Arial" w:eastAsia="Arial" w:hAnsi="Arial"/>
                <w:sz w:val="18"/>
                <w:szCs w:val="18"/>
                <w:b w:val="1"/>
                <w:bCs w:val="1"/>
                <w:color w:val="auto"/>
              </w:rPr>
              <w:t>1,608.8</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8480" w:type="dxa"/>
            <w:vAlign w:val="bottom"/>
            <w:tcBorders>
              <w:bottom w:val="single" w:sz="8" w:color="808080"/>
            </w:tcBorders>
          </w:tcPr>
          <w:p>
            <w:pPr>
              <w:spacing w:after="0"/>
              <w:rPr>
                <w:sz w:val="11"/>
                <w:szCs w:val="11"/>
                <w:color w:val="auto"/>
              </w:rPr>
            </w:pPr>
          </w:p>
        </w:tc>
        <w:tc>
          <w:tcPr>
            <w:tcW w:w="740" w:type="dxa"/>
            <w:vAlign w:val="bottom"/>
            <w:tcBorders>
              <w:bottom w:val="single" w:sz="8" w:color="808080"/>
            </w:tcBorders>
          </w:tcPr>
          <w:p>
            <w:pPr>
              <w:spacing w:after="0"/>
              <w:rPr>
                <w:sz w:val="11"/>
                <w:szCs w:val="11"/>
                <w:color w:val="auto"/>
              </w:rPr>
            </w:pPr>
          </w:p>
        </w:tc>
        <w:tc>
          <w:tcPr>
            <w:tcW w:w="1000" w:type="dxa"/>
            <w:vAlign w:val="bottom"/>
            <w:tcBorders>
              <w:bottom w:val="single" w:sz="8" w:color="808080"/>
            </w:tcBorders>
          </w:tcPr>
          <w:p>
            <w:pPr>
              <w:spacing w:after="0"/>
              <w:rPr>
                <w:sz w:val="11"/>
                <w:szCs w:val="11"/>
                <w:color w:val="auto"/>
              </w:rPr>
            </w:pPr>
          </w:p>
        </w:tc>
        <w:tc>
          <w:tcPr>
            <w:tcW w:w="360" w:type="dxa"/>
            <w:vAlign w:val="bottom"/>
            <w:tcBorders>
              <w:bottom w:val="single" w:sz="8" w:color="808080"/>
            </w:tcBorders>
          </w:tcPr>
          <w:p>
            <w:pPr>
              <w:spacing w:after="0"/>
              <w:rPr>
                <w:sz w:val="11"/>
                <w:szCs w:val="11"/>
                <w:color w:val="auto"/>
              </w:rPr>
            </w:pPr>
          </w:p>
        </w:tc>
        <w:tc>
          <w:tcPr>
            <w:tcW w:w="8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-29210</wp:posOffset>
            </wp:positionV>
            <wp:extent cx="12700" cy="298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-29210</wp:posOffset>
            </wp:positionV>
            <wp:extent cx="12700" cy="298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-29210</wp:posOffset>
            </wp:positionV>
            <wp:extent cx="12700" cy="298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-29210</wp:posOffset>
            </wp:positionV>
            <wp:extent cx="12700" cy="298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6589395</wp:posOffset>
            </wp:positionH>
            <wp:positionV relativeFrom="paragraph">
              <wp:posOffset>-29210</wp:posOffset>
            </wp:positionV>
            <wp:extent cx="12700" cy="298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-29210</wp:posOffset>
            </wp:positionV>
            <wp:extent cx="12700" cy="298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-29210</wp:posOffset>
            </wp:positionV>
            <wp:extent cx="12700" cy="298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2663825</wp:posOffset>
            </wp:positionH>
            <wp:positionV relativeFrom="paragraph">
              <wp:posOffset>203835</wp:posOffset>
            </wp:positionV>
            <wp:extent cx="1929765" cy="23177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1929765"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3873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60"/>
          </w:cols>
          <w:pgMar w:left="240" w:top="761" w:right="19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63765" cy="8890"/>
                    </a:xfrm>
                    <a:prstGeom prst="rect">
                      <a:avLst/>
                    </a:prstGeom>
                    <a:noFill/>
                  </pic:spPr>
                </pic:pic>
              </a:graphicData>
            </a:graphic>
          </wp:anchor>
        </w:drawing>
        <w:t>Consolidated Statement of Changes in Stockholders’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and Comprehensive Income (Loss)</w:t>
      </w:r>
    </w:p>
    <w:p>
      <w:pPr>
        <w:spacing w:after="0" w:line="235" w:lineRule="exact"/>
        <w:rPr>
          <w:sz w:val="20"/>
          <w:szCs w:val="20"/>
          <w:color w:val="auto"/>
        </w:rPr>
      </w:pPr>
    </w:p>
    <w:p>
      <w:pPr>
        <w:ind w:left="9020"/>
        <w:spacing w:after="0"/>
        <w:rPr>
          <w:sz w:val="20"/>
          <w:szCs w:val="20"/>
          <w:color w:val="auto"/>
        </w:rPr>
      </w:pPr>
      <w:r>
        <w:rPr>
          <w:rFonts w:ascii="Arial" w:cs="Arial" w:eastAsia="Arial" w:hAnsi="Arial"/>
          <w:sz w:val="12"/>
          <w:szCs w:val="12"/>
          <w:color w:val="auto"/>
        </w:rPr>
        <w:t>(Amounts in millions,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84455</wp:posOffset>
            </wp:positionV>
            <wp:extent cx="7263765"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7"/>
              </w:rPr>
              <w:t>Additional</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60" w:type="dxa"/>
            <w:vAlign w:val="bottom"/>
          </w:tcPr>
          <w:p>
            <w:pPr>
              <w:spacing w:after="0"/>
              <w:rPr>
                <w:sz w:val="12"/>
                <w:szCs w:val="12"/>
                <w:color w:val="auto"/>
              </w:rPr>
            </w:pPr>
          </w:p>
        </w:tc>
        <w:tc>
          <w:tcPr>
            <w:tcW w:w="1800" w:type="dxa"/>
            <w:vAlign w:val="bottom"/>
            <w:gridSpan w:val="2"/>
          </w:tcPr>
          <w:p>
            <w:pPr>
              <w:jc w:val="right"/>
              <w:ind w:right="76"/>
              <w:spacing w:after="0" w:line="149" w:lineRule="exact"/>
              <w:rPr>
                <w:sz w:val="20"/>
                <w:szCs w:val="20"/>
                <w:color w:val="auto"/>
              </w:rPr>
            </w:pPr>
            <w:r>
              <w:rPr>
                <w:rFonts w:ascii="Arial" w:cs="Arial" w:eastAsia="Arial" w:hAnsi="Arial"/>
                <w:sz w:val="14"/>
                <w:szCs w:val="14"/>
                <w:b w:val="1"/>
                <w:bCs w:val="1"/>
                <w:color w:val="auto"/>
              </w:rPr>
              <w:t>Class A Stock</w:t>
            </w:r>
          </w:p>
        </w:tc>
        <w:tc>
          <w:tcPr>
            <w:tcW w:w="620" w:type="dxa"/>
            <w:vAlign w:val="bottom"/>
          </w:tcPr>
          <w:p>
            <w:pPr>
              <w:spacing w:after="0"/>
              <w:rPr>
                <w:sz w:val="12"/>
                <w:szCs w:val="12"/>
                <w:color w:val="auto"/>
              </w:rPr>
            </w:pPr>
          </w:p>
        </w:tc>
        <w:tc>
          <w:tcPr>
            <w:tcW w:w="1560" w:type="dxa"/>
            <w:vAlign w:val="bottom"/>
            <w:gridSpan w:val="2"/>
          </w:tcPr>
          <w:p>
            <w:pPr>
              <w:jc w:val="right"/>
              <w:ind w:right="96"/>
              <w:spacing w:after="0" w:line="149" w:lineRule="exact"/>
              <w:rPr>
                <w:sz w:val="20"/>
                <w:szCs w:val="20"/>
                <w:color w:val="auto"/>
              </w:rPr>
            </w:pPr>
            <w:r>
              <w:rPr>
                <w:rFonts w:ascii="Arial" w:cs="Arial" w:eastAsia="Arial" w:hAnsi="Arial"/>
                <w:sz w:val="14"/>
                <w:szCs w:val="14"/>
                <w:b w:val="1"/>
                <w:bCs w:val="1"/>
                <w:color w:val="auto"/>
              </w:rPr>
              <w:t>Common Stock</w:t>
            </w: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Paid-in</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760" w:type="dxa"/>
            <w:vAlign w:val="bottom"/>
          </w:tcPr>
          <w:p>
            <w:pPr>
              <w:spacing w:after="0"/>
              <w:rPr>
                <w:sz w:val="15"/>
                <w:szCs w:val="15"/>
                <w:color w:val="auto"/>
              </w:rPr>
            </w:pPr>
          </w:p>
        </w:tc>
        <w:tc>
          <w:tcPr>
            <w:tcW w:w="1480" w:type="dxa"/>
            <w:vAlign w:val="bottom"/>
          </w:tcPr>
          <w:p>
            <w:pPr>
              <w:jc w:val="right"/>
              <w:ind w:right="353"/>
              <w:spacing w:after="0"/>
              <w:rPr>
                <w:sz w:val="20"/>
                <w:szCs w:val="20"/>
                <w:color w:val="auto"/>
              </w:rPr>
            </w:pPr>
            <w:r>
              <w:rPr>
                <w:rFonts w:ascii="Arial" w:cs="Arial" w:eastAsia="Arial" w:hAnsi="Arial"/>
                <w:sz w:val="14"/>
                <w:szCs w:val="14"/>
                <w:b w:val="1"/>
                <w:bCs w:val="1"/>
                <w:color w:val="auto"/>
              </w:rPr>
              <w:t>Shares</w:t>
            </w:r>
          </w:p>
        </w:tc>
        <w:tc>
          <w:tcPr>
            <w:tcW w:w="940" w:type="dxa"/>
            <w:vAlign w:val="bottom"/>
            <w:gridSpan w:val="2"/>
          </w:tcPr>
          <w:p>
            <w:pPr>
              <w:jc w:val="right"/>
              <w:ind w:right="232"/>
              <w:spacing w:after="0"/>
              <w:rPr>
                <w:sz w:val="20"/>
                <w:szCs w:val="20"/>
                <w:color w:val="auto"/>
              </w:rPr>
            </w:pPr>
            <w:r>
              <w:rPr>
                <w:rFonts w:ascii="Arial" w:cs="Arial" w:eastAsia="Arial" w:hAnsi="Arial"/>
                <w:sz w:val="14"/>
                <w:szCs w:val="14"/>
                <w:b w:val="1"/>
                <w:bCs w:val="1"/>
                <w:color w:val="auto"/>
              </w:rPr>
              <w:t>Amount</w:t>
            </w:r>
          </w:p>
        </w:tc>
        <w:tc>
          <w:tcPr>
            <w:tcW w:w="1260" w:type="dxa"/>
            <w:vAlign w:val="bottom"/>
          </w:tcPr>
          <w:p>
            <w:pPr>
              <w:jc w:val="right"/>
              <w:ind w:right="433"/>
              <w:spacing w:after="0"/>
              <w:rPr>
                <w:sz w:val="20"/>
                <w:szCs w:val="20"/>
                <w:color w:val="auto"/>
              </w:rPr>
            </w:pPr>
            <w:r>
              <w:rPr>
                <w:rFonts w:ascii="Arial" w:cs="Arial" w:eastAsia="Arial" w:hAnsi="Arial"/>
                <w:sz w:val="14"/>
                <w:szCs w:val="14"/>
                <w:b w:val="1"/>
                <w:bCs w:val="1"/>
                <w:color w:val="auto"/>
              </w:rPr>
              <w:t>Shares</w:t>
            </w:r>
          </w:p>
        </w:tc>
        <w:tc>
          <w:tcPr>
            <w:tcW w:w="760" w:type="dxa"/>
            <w:vAlign w:val="bottom"/>
            <w:gridSpan w:val="2"/>
          </w:tcPr>
          <w:p>
            <w:pPr>
              <w:jc w:val="right"/>
              <w:ind w:right="72"/>
              <w:spacing w:after="0"/>
              <w:rPr>
                <w:sz w:val="20"/>
                <w:szCs w:val="20"/>
                <w:color w:val="auto"/>
              </w:rPr>
            </w:pPr>
            <w:r>
              <w:rPr>
                <w:rFonts w:ascii="Arial" w:cs="Arial" w:eastAsia="Arial" w:hAnsi="Arial"/>
                <w:sz w:val="14"/>
                <w:szCs w:val="14"/>
                <w:b w:val="1"/>
                <w:bCs w:val="1"/>
                <w:color w:val="auto"/>
              </w:rPr>
              <w:t>Amount</w:t>
            </w:r>
          </w:p>
        </w:tc>
        <w:tc>
          <w:tcPr>
            <w:tcW w:w="240" w:type="dxa"/>
            <w:vAlign w:val="bottom"/>
          </w:tcPr>
          <w:p>
            <w:pPr>
              <w:spacing w:after="0"/>
              <w:rPr>
                <w:sz w:val="15"/>
                <w:szCs w:val="15"/>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Capital</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5780" w:type="dxa"/>
            <w:vAlign w:val="bottom"/>
            <w:gridSpan w:val="2"/>
          </w:tcPr>
          <w:p>
            <w:pPr>
              <w:spacing w:after="0"/>
              <w:rPr>
                <w:sz w:val="8"/>
                <w:szCs w:val="8"/>
                <w:color w:val="auto"/>
              </w:rPr>
            </w:pPr>
          </w:p>
        </w:tc>
        <w:tc>
          <w:tcPr>
            <w:tcW w:w="1480" w:type="dxa"/>
            <w:vAlign w:val="bottom"/>
          </w:tcPr>
          <w:p>
            <w:pPr>
              <w:spacing w:after="0"/>
              <w:rPr>
                <w:sz w:val="8"/>
                <w:szCs w:val="8"/>
                <w:color w:val="auto"/>
              </w:rPr>
            </w:pPr>
          </w:p>
        </w:tc>
        <w:tc>
          <w:tcPr>
            <w:tcW w:w="3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9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760" w:type="dxa"/>
            <w:vAlign w:val="bottom"/>
            <w:tcBorders>
              <w:top w:val="single" w:sz="8" w:color="auto"/>
            </w:tcBorders>
          </w:tcPr>
          <w:p>
            <w:pPr>
              <w:spacing w:after="0"/>
              <w:rPr>
                <w:sz w:val="8"/>
                <w:szCs w:val="8"/>
                <w:color w:val="auto"/>
              </w:rPr>
            </w:pPr>
          </w:p>
        </w:tc>
        <w:tc>
          <w:tcPr>
            <w:tcW w:w="1480" w:type="dxa"/>
            <w:vAlign w:val="bottom"/>
            <w:tcBorders>
              <w:top w:val="single" w:sz="8" w:color="auto"/>
            </w:tcBorders>
          </w:tcPr>
          <w:p>
            <w:pPr>
              <w:spacing w:after="0"/>
              <w:rPr>
                <w:sz w:val="8"/>
                <w:szCs w:val="8"/>
                <w:color w:val="auto"/>
              </w:rPr>
            </w:pPr>
          </w:p>
        </w:tc>
        <w:tc>
          <w:tcPr>
            <w:tcW w:w="320" w:type="dxa"/>
            <w:vAlign w:val="bottom"/>
            <w:tcBorders>
              <w:top w:val="single" w:sz="8" w:color="auto"/>
            </w:tcBorders>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1260" w:type="dxa"/>
            <w:vAlign w:val="bottom"/>
            <w:tcBorders>
              <w:top w:val="single" w:sz="8" w:color="auto"/>
            </w:tcBorders>
          </w:tcPr>
          <w:p>
            <w:pPr>
              <w:spacing w:after="0"/>
              <w:rPr>
                <w:sz w:val="8"/>
                <w:szCs w:val="8"/>
                <w:color w:val="auto"/>
              </w:rPr>
            </w:pPr>
          </w:p>
        </w:tc>
        <w:tc>
          <w:tcPr>
            <w:tcW w:w="300" w:type="dxa"/>
            <w:vAlign w:val="bottom"/>
            <w:tcBorders>
              <w:top w:val="single" w:sz="8" w:color="auto"/>
            </w:tcBorders>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240" w:type="dxa"/>
            <w:vAlign w:val="bottom"/>
            <w:tcBorders>
              <w:top w:val="single" w:sz="8" w:color="auto"/>
            </w:tcBorders>
          </w:tcPr>
          <w:p>
            <w:pPr>
              <w:spacing w:after="0"/>
              <w:rPr>
                <w:sz w:val="8"/>
                <w:szCs w:val="8"/>
                <w:color w:val="auto"/>
              </w:rPr>
            </w:pPr>
          </w:p>
        </w:tc>
        <w:tc>
          <w:tcPr>
            <w:tcW w:w="96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760" w:type="dxa"/>
            <w:vAlign w:val="bottom"/>
            <w:shd w:val="clear" w:color="auto" w:fill="E6E6E6"/>
          </w:tcPr>
          <w:p>
            <w:pPr>
              <w:spacing w:after="0" w:line="202" w:lineRule="exact"/>
              <w:rPr>
                <w:sz w:val="20"/>
                <w:szCs w:val="20"/>
                <w:color w:val="auto"/>
              </w:rPr>
            </w:pPr>
            <w:r>
              <w:rPr>
                <w:rFonts w:ascii="Arial" w:cs="Arial" w:eastAsia="Arial" w:hAnsi="Arial"/>
                <w:sz w:val="18"/>
                <w:szCs w:val="18"/>
                <w:b w:val="1"/>
                <w:bCs w:val="1"/>
                <w:color w:val="auto"/>
              </w:rPr>
              <w:t>Balance at May 31, 2007</w:t>
            </w:r>
          </w:p>
        </w:tc>
        <w:tc>
          <w:tcPr>
            <w:tcW w:w="1480" w:type="dxa"/>
            <w:vAlign w:val="bottom"/>
            <w:shd w:val="clear" w:color="auto" w:fill="E6E6E6"/>
          </w:tcPr>
          <w:p>
            <w:pPr>
              <w:jc w:val="right"/>
              <w:ind w:right="13"/>
              <w:spacing w:after="0" w:line="202" w:lineRule="exact"/>
              <w:rPr>
                <w:sz w:val="20"/>
                <w:szCs w:val="20"/>
                <w:color w:val="auto"/>
              </w:rPr>
            </w:pPr>
            <w:r>
              <w:rPr>
                <w:rFonts w:ascii="Arial" w:cs="Arial" w:eastAsia="Arial" w:hAnsi="Arial"/>
                <w:sz w:val="18"/>
                <w:szCs w:val="18"/>
                <w:b w:val="1"/>
                <w:bCs w:val="1"/>
                <w:color w:val="auto"/>
              </w:rPr>
              <w:t>1,656,200</w:t>
            </w:r>
          </w:p>
        </w:tc>
        <w:tc>
          <w:tcPr>
            <w:tcW w:w="320" w:type="dxa"/>
            <w:vAlign w:val="bottom"/>
            <w:shd w:val="clear" w:color="auto" w:fill="E6E6E6"/>
          </w:tcPr>
          <w:p>
            <w:pPr>
              <w:jc w:val="right"/>
              <w:ind w:right="36"/>
              <w:spacing w:after="0" w:line="202" w:lineRule="exact"/>
              <w:rPr>
                <w:sz w:val="20"/>
                <w:szCs w:val="20"/>
                <w:color w:val="auto"/>
              </w:rPr>
            </w:pPr>
            <w:r>
              <w:rPr>
                <w:rFonts w:ascii="Arial" w:cs="Arial" w:eastAsia="Arial" w:hAnsi="Arial"/>
                <w:sz w:val="18"/>
                <w:szCs w:val="18"/>
                <w:b w:val="1"/>
                <w:bCs w:val="1"/>
                <w:color w:val="auto"/>
              </w:rPr>
              <w:t>$</w:t>
            </w:r>
          </w:p>
        </w:tc>
        <w:tc>
          <w:tcPr>
            <w:tcW w:w="620" w:type="dxa"/>
            <w:vAlign w:val="bottom"/>
            <w:shd w:val="clear" w:color="auto" w:fill="E6E6E6"/>
          </w:tcPr>
          <w:p>
            <w:pPr>
              <w:jc w:val="right"/>
              <w:ind w:right="172"/>
              <w:spacing w:after="0" w:line="202" w:lineRule="exact"/>
              <w:rPr>
                <w:sz w:val="20"/>
                <w:szCs w:val="20"/>
                <w:color w:val="auto"/>
              </w:rPr>
            </w:pPr>
            <w:r>
              <w:rPr>
                <w:rFonts w:ascii="Arial" w:cs="Arial" w:eastAsia="Arial" w:hAnsi="Arial"/>
                <w:sz w:val="18"/>
                <w:szCs w:val="18"/>
                <w:b w:val="1"/>
                <w:bCs w:val="1"/>
                <w:color w:val="auto"/>
              </w:rPr>
              <w:t>0.0</w:t>
            </w:r>
          </w:p>
        </w:tc>
        <w:tc>
          <w:tcPr>
            <w:tcW w:w="1260" w:type="dxa"/>
            <w:vAlign w:val="bottom"/>
            <w:shd w:val="clear" w:color="auto" w:fill="E6E6E6"/>
          </w:tcPr>
          <w:p>
            <w:pPr>
              <w:jc w:val="right"/>
              <w:ind w:right="53"/>
              <w:spacing w:after="0" w:line="202" w:lineRule="exact"/>
              <w:rPr>
                <w:sz w:val="20"/>
                <w:szCs w:val="20"/>
                <w:color w:val="auto"/>
              </w:rPr>
            </w:pPr>
            <w:r>
              <w:rPr>
                <w:rFonts w:ascii="Arial" w:cs="Arial" w:eastAsia="Arial" w:hAnsi="Arial"/>
                <w:sz w:val="18"/>
                <w:szCs w:val="18"/>
                <w:b w:val="1"/>
                <w:bCs w:val="1"/>
                <w:color w:val="auto"/>
              </w:rPr>
              <w:t>41,422,121</w:t>
            </w:r>
          </w:p>
        </w:tc>
        <w:tc>
          <w:tcPr>
            <w:tcW w:w="300" w:type="dxa"/>
            <w:vAlign w:val="bottom"/>
            <w:shd w:val="clear" w:color="auto" w:fill="E6E6E6"/>
          </w:tcPr>
          <w:p>
            <w:pPr>
              <w:jc w:val="right"/>
              <w:ind w:right="36"/>
              <w:spacing w:after="0" w:line="202" w:lineRule="exact"/>
              <w:rPr>
                <w:sz w:val="20"/>
                <w:szCs w:val="20"/>
                <w:color w:val="auto"/>
              </w:rPr>
            </w:pPr>
            <w:r>
              <w:rPr>
                <w:rFonts w:ascii="Arial" w:cs="Arial" w:eastAsia="Arial" w:hAnsi="Arial"/>
                <w:sz w:val="18"/>
                <w:szCs w:val="18"/>
                <w:b w:val="1"/>
                <w:bCs w:val="1"/>
                <w:color w:val="auto"/>
              </w:rPr>
              <w:t>$</w:t>
            </w:r>
          </w:p>
        </w:tc>
        <w:tc>
          <w:tcPr>
            <w:tcW w:w="460" w:type="dxa"/>
            <w:vAlign w:val="bottom"/>
            <w:shd w:val="clear" w:color="auto" w:fill="E6E6E6"/>
          </w:tcPr>
          <w:p>
            <w:pPr>
              <w:jc w:val="right"/>
              <w:ind w:right="12"/>
              <w:spacing w:after="0" w:line="202" w:lineRule="exact"/>
              <w:rPr>
                <w:sz w:val="20"/>
                <w:szCs w:val="20"/>
                <w:color w:val="auto"/>
              </w:rPr>
            </w:pPr>
            <w:r>
              <w:rPr>
                <w:rFonts w:ascii="Arial" w:cs="Arial" w:eastAsia="Arial" w:hAnsi="Arial"/>
                <w:sz w:val="18"/>
                <w:szCs w:val="18"/>
                <w:b w:val="1"/>
                <w:bCs w:val="1"/>
                <w:color w:val="auto"/>
              </w:rPr>
              <w:t>0.4</w:t>
            </w:r>
          </w:p>
        </w:tc>
        <w:tc>
          <w:tcPr>
            <w:tcW w:w="24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960" w:type="dxa"/>
            <w:vAlign w:val="bottom"/>
            <w:shd w:val="clear" w:color="auto" w:fill="E6E6E6"/>
          </w:tcPr>
          <w:p>
            <w:pPr>
              <w:jc w:val="right"/>
              <w:ind w:right="34"/>
              <w:spacing w:after="0" w:line="202" w:lineRule="exact"/>
              <w:rPr>
                <w:sz w:val="20"/>
                <w:szCs w:val="20"/>
                <w:color w:val="auto"/>
              </w:rPr>
            </w:pPr>
            <w:r>
              <w:rPr>
                <w:rFonts w:ascii="Arial" w:cs="Arial" w:eastAsia="Arial" w:hAnsi="Arial"/>
                <w:sz w:val="18"/>
                <w:szCs w:val="18"/>
                <w:b w:val="1"/>
                <w:bCs w:val="1"/>
                <w:color w:val="auto"/>
              </w:rPr>
              <w:t>490.3</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80" w:type="dxa"/>
            <w:vAlign w:val="bottom"/>
            <w:gridSpan w:val="2"/>
          </w:tcPr>
          <w:p>
            <w:pPr>
              <w:spacing w:after="0" w:line="202" w:lineRule="exact"/>
              <w:rPr>
                <w:sz w:val="20"/>
                <w:szCs w:val="20"/>
                <w:color w:val="auto"/>
              </w:rPr>
            </w:pPr>
            <w:r>
              <w:rPr>
                <w:rFonts w:ascii="Arial" w:cs="Arial" w:eastAsia="Arial" w:hAnsi="Arial"/>
                <w:sz w:val="18"/>
                <w:szCs w:val="18"/>
                <w:color w:val="auto"/>
              </w:rPr>
              <w:t>Comprehensive loss:</w:t>
            </w:r>
          </w:p>
        </w:tc>
        <w:tc>
          <w:tcPr>
            <w:tcW w:w="1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60" w:type="dxa"/>
            <w:vAlign w:val="bottom"/>
            <w:shd w:val="clear" w:color="auto" w:fill="E6E6E6"/>
          </w:tcPr>
          <w:p>
            <w:pPr>
              <w:ind w:left="140"/>
              <w:spacing w:after="0" w:line="202" w:lineRule="exact"/>
              <w:rPr>
                <w:sz w:val="20"/>
                <w:szCs w:val="20"/>
                <w:color w:val="auto"/>
              </w:rPr>
            </w:pPr>
            <w:r>
              <w:rPr>
                <w:rFonts w:ascii="Arial" w:cs="Arial" w:eastAsia="Arial" w:hAnsi="Arial"/>
                <w:sz w:val="18"/>
                <w:szCs w:val="18"/>
                <w:color w:val="auto"/>
              </w:rPr>
              <w:t>Net Loss</w:t>
            </w:r>
          </w:p>
        </w:tc>
        <w:tc>
          <w:tcPr>
            <w:tcW w:w="1480" w:type="dxa"/>
            <w:vAlign w:val="bottom"/>
            <w:shd w:val="clear" w:color="auto" w:fill="E6E6E6"/>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320" w:type="dxa"/>
            <w:vAlign w:val="bottom"/>
            <w:shd w:val="clear" w:color="auto" w:fill="E6E6E6"/>
          </w:tcPr>
          <w:p>
            <w:pPr>
              <w:spacing w:after="0"/>
              <w:rPr>
                <w:sz w:val="17"/>
                <w:szCs w:val="17"/>
                <w:color w:val="auto"/>
              </w:rPr>
            </w:pPr>
          </w:p>
        </w:tc>
        <w:tc>
          <w:tcPr>
            <w:tcW w:w="620" w:type="dxa"/>
            <w:vAlign w:val="bottom"/>
            <w:shd w:val="clear" w:color="auto" w:fill="E6E6E6"/>
          </w:tcPr>
          <w:p>
            <w:pPr>
              <w:jc w:val="right"/>
              <w:ind w:right="172"/>
              <w:spacing w:after="0" w:line="202" w:lineRule="exact"/>
              <w:rPr>
                <w:sz w:val="20"/>
                <w:szCs w:val="20"/>
                <w:color w:val="auto"/>
              </w:rPr>
            </w:pPr>
            <w:r>
              <w:rPr>
                <w:rFonts w:ascii="Arial" w:cs="Arial" w:eastAsia="Arial" w:hAnsi="Arial"/>
                <w:sz w:val="18"/>
                <w:szCs w:val="18"/>
                <w:color w:val="auto"/>
              </w:rPr>
              <w:t>—</w:t>
            </w:r>
          </w:p>
        </w:tc>
        <w:tc>
          <w:tcPr>
            <w:tcW w:w="1260" w:type="dxa"/>
            <w:vAlign w:val="bottom"/>
            <w:shd w:val="clear" w:color="auto" w:fill="E6E6E6"/>
          </w:tcPr>
          <w:p>
            <w:pPr>
              <w:jc w:val="right"/>
              <w:ind w:right="53"/>
              <w:spacing w:after="0" w:line="202" w:lineRule="exact"/>
              <w:rPr>
                <w:sz w:val="20"/>
                <w:szCs w:val="20"/>
                <w:color w:val="auto"/>
              </w:rPr>
            </w:pPr>
            <w:r>
              <w:rPr>
                <w:rFonts w:ascii="Arial" w:cs="Arial" w:eastAsia="Arial" w:hAnsi="Arial"/>
                <w:sz w:val="18"/>
                <w:szCs w:val="18"/>
                <w:color w:val="auto"/>
              </w:rPr>
              <w:t>—</w:t>
            </w:r>
          </w:p>
        </w:tc>
        <w:tc>
          <w:tcPr>
            <w:tcW w:w="300" w:type="dxa"/>
            <w:vAlign w:val="bottom"/>
            <w:shd w:val="clear" w:color="auto" w:fill="E6E6E6"/>
          </w:tcPr>
          <w:p>
            <w:pPr>
              <w:spacing w:after="0"/>
              <w:rPr>
                <w:sz w:val="17"/>
                <w:szCs w:val="17"/>
                <w:color w:val="auto"/>
              </w:rPr>
            </w:pPr>
          </w:p>
        </w:tc>
        <w:tc>
          <w:tcPr>
            <w:tcW w:w="460" w:type="dxa"/>
            <w:vAlign w:val="bottom"/>
            <w:shd w:val="clear" w:color="auto" w:fill="E6E6E6"/>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E6E6E6"/>
          </w:tcPr>
          <w:p>
            <w:pPr>
              <w:spacing w:after="0"/>
              <w:rPr>
                <w:sz w:val="17"/>
                <w:szCs w:val="17"/>
                <w:color w:val="auto"/>
              </w:rPr>
            </w:pPr>
          </w:p>
        </w:tc>
        <w:tc>
          <w:tcPr>
            <w:tcW w:w="960" w:type="dxa"/>
            <w:vAlign w:val="bottom"/>
            <w:shd w:val="clear" w:color="auto" w:fill="E6E6E6"/>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60" w:type="dxa"/>
            <w:vAlign w:val="bottom"/>
          </w:tcPr>
          <w:p>
            <w:pPr>
              <w:ind w:left="140"/>
              <w:spacing w:after="0" w:line="202" w:lineRule="exact"/>
              <w:rPr>
                <w:sz w:val="20"/>
                <w:szCs w:val="20"/>
                <w:color w:val="auto"/>
              </w:rPr>
            </w:pPr>
            <w:r>
              <w:rPr>
                <w:rFonts w:ascii="Arial" w:cs="Arial" w:eastAsia="Arial" w:hAnsi="Arial"/>
                <w:sz w:val="18"/>
                <w:szCs w:val="18"/>
                <w:color w:val="auto"/>
              </w:rPr>
              <w:t>Other comprehensive loss, net:</w:t>
            </w:r>
          </w:p>
        </w:tc>
        <w:tc>
          <w:tcPr>
            <w:tcW w:w="1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60" w:type="dxa"/>
            <w:vAlign w:val="bottom"/>
            <w:shd w:val="clear" w:color="auto" w:fill="E6E6E6"/>
          </w:tcPr>
          <w:p>
            <w:pPr>
              <w:ind w:left="300"/>
              <w:spacing w:after="0" w:line="202" w:lineRule="exact"/>
              <w:rPr>
                <w:sz w:val="20"/>
                <w:szCs w:val="20"/>
                <w:color w:val="auto"/>
              </w:rPr>
            </w:pPr>
            <w:r>
              <w:rPr>
                <w:rFonts w:ascii="Arial" w:cs="Arial" w:eastAsia="Arial" w:hAnsi="Arial"/>
                <w:sz w:val="18"/>
                <w:szCs w:val="18"/>
                <w:color w:val="auto"/>
              </w:rPr>
              <w:t>Foreign currency translation adjustment</w:t>
            </w:r>
          </w:p>
        </w:tc>
        <w:tc>
          <w:tcPr>
            <w:tcW w:w="1480" w:type="dxa"/>
            <w:vAlign w:val="bottom"/>
            <w:shd w:val="clear" w:color="auto" w:fill="E6E6E6"/>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320" w:type="dxa"/>
            <w:vAlign w:val="bottom"/>
            <w:shd w:val="clear" w:color="auto" w:fill="E6E6E6"/>
          </w:tcPr>
          <w:p>
            <w:pPr>
              <w:spacing w:after="0"/>
              <w:rPr>
                <w:sz w:val="17"/>
                <w:szCs w:val="17"/>
                <w:color w:val="auto"/>
              </w:rPr>
            </w:pPr>
          </w:p>
        </w:tc>
        <w:tc>
          <w:tcPr>
            <w:tcW w:w="620" w:type="dxa"/>
            <w:vAlign w:val="bottom"/>
            <w:shd w:val="clear" w:color="auto" w:fill="E6E6E6"/>
          </w:tcPr>
          <w:p>
            <w:pPr>
              <w:jc w:val="right"/>
              <w:ind w:right="172"/>
              <w:spacing w:after="0" w:line="202" w:lineRule="exact"/>
              <w:rPr>
                <w:sz w:val="20"/>
                <w:szCs w:val="20"/>
                <w:color w:val="auto"/>
              </w:rPr>
            </w:pPr>
            <w:r>
              <w:rPr>
                <w:rFonts w:ascii="Arial" w:cs="Arial" w:eastAsia="Arial" w:hAnsi="Arial"/>
                <w:sz w:val="18"/>
                <w:szCs w:val="18"/>
                <w:color w:val="auto"/>
              </w:rPr>
              <w:t>—</w:t>
            </w:r>
          </w:p>
        </w:tc>
        <w:tc>
          <w:tcPr>
            <w:tcW w:w="1260" w:type="dxa"/>
            <w:vAlign w:val="bottom"/>
            <w:shd w:val="clear" w:color="auto" w:fill="E6E6E6"/>
          </w:tcPr>
          <w:p>
            <w:pPr>
              <w:jc w:val="right"/>
              <w:ind w:right="53"/>
              <w:spacing w:after="0" w:line="202" w:lineRule="exact"/>
              <w:rPr>
                <w:sz w:val="20"/>
                <w:szCs w:val="20"/>
                <w:color w:val="auto"/>
              </w:rPr>
            </w:pPr>
            <w:r>
              <w:rPr>
                <w:rFonts w:ascii="Arial" w:cs="Arial" w:eastAsia="Arial" w:hAnsi="Arial"/>
                <w:sz w:val="18"/>
                <w:szCs w:val="18"/>
                <w:color w:val="auto"/>
              </w:rPr>
              <w:t>—</w:t>
            </w:r>
          </w:p>
        </w:tc>
        <w:tc>
          <w:tcPr>
            <w:tcW w:w="300" w:type="dxa"/>
            <w:vAlign w:val="bottom"/>
            <w:shd w:val="clear" w:color="auto" w:fill="E6E6E6"/>
          </w:tcPr>
          <w:p>
            <w:pPr>
              <w:spacing w:after="0"/>
              <w:rPr>
                <w:sz w:val="17"/>
                <w:szCs w:val="17"/>
                <w:color w:val="auto"/>
              </w:rPr>
            </w:pPr>
          </w:p>
        </w:tc>
        <w:tc>
          <w:tcPr>
            <w:tcW w:w="460" w:type="dxa"/>
            <w:vAlign w:val="bottom"/>
            <w:shd w:val="clear" w:color="auto" w:fill="E6E6E6"/>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E6E6E6"/>
          </w:tcPr>
          <w:p>
            <w:pPr>
              <w:spacing w:after="0"/>
              <w:rPr>
                <w:sz w:val="17"/>
                <w:szCs w:val="17"/>
                <w:color w:val="auto"/>
              </w:rPr>
            </w:pPr>
          </w:p>
        </w:tc>
        <w:tc>
          <w:tcPr>
            <w:tcW w:w="960" w:type="dxa"/>
            <w:vAlign w:val="bottom"/>
            <w:shd w:val="clear" w:color="auto" w:fill="E6E6E6"/>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60" w:type="dxa"/>
            <w:vAlign w:val="bottom"/>
          </w:tcPr>
          <w:p>
            <w:pPr>
              <w:ind w:left="300"/>
              <w:spacing w:after="0" w:line="202" w:lineRule="exact"/>
              <w:rPr>
                <w:sz w:val="20"/>
                <w:szCs w:val="20"/>
                <w:color w:val="auto"/>
              </w:rPr>
            </w:pPr>
            <w:r>
              <w:rPr>
                <w:rFonts w:ascii="Arial" w:cs="Arial" w:eastAsia="Arial" w:hAnsi="Arial"/>
                <w:sz w:val="18"/>
                <w:szCs w:val="18"/>
                <w:color w:val="auto"/>
              </w:rPr>
              <w:t>Pension and postretirement adjustments (net of tax of $(1.2))</w:t>
            </w:r>
          </w:p>
        </w:tc>
        <w:tc>
          <w:tcPr>
            <w:tcW w:w="14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620" w:type="dxa"/>
            <w:vAlign w:val="bottom"/>
          </w:tcPr>
          <w:p>
            <w:pPr>
              <w:jc w:val="right"/>
              <w:ind w:right="172"/>
              <w:spacing w:after="0" w:line="202" w:lineRule="exact"/>
              <w:rPr>
                <w:sz w:val="20"/>
                <w:szCs w:val="20"/>
                <w:color w:val="auto"/>
              </w:rPr>
            </w:pPr>
            <w:r>
              <w:rPr>
                <w:rFonts w:ascii="Arial" w:cs="Arial" w:eastAsia="Arial" w:hAnsi="Arial"/>
                <w:sz w:val="18"/>
                <w:szCs w:val="18"/>
                <w:color w:val="auto"/>
              </w:rPr>
              <w:t>—</w:t>
            </w:r>
          </w:p>
        </w:tc>
        <w:tc>
          <w:tcPr>
            <w:tcW w:w="1260" w:type="dxa"/>
            <w:vAlign w:val="bottom"/>
          </w:tcPr>
          <w:p>
            <w:pPr>
              <w:jc w:val="right"/>
              <w:ind w:right="53"/>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46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9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60" w:type="dxa"/>
            <w:vAlign w:val="bottom"/>
            <w:shd w:val="clear" w:color="auto" w:fill="E6E6E6"/>
          </w:tcPr>
          <w:p>
            <w:pPr>
              <w:ind w:left="140"/>
              <w:spacing w:after="0" w:line="202" w:lineRule="exact"/>
              <w:rPr>
                <w:sz w:val="20"/>
                <w:szCs w:val="20"/>
                <w:color w:val="auto"/>
              </w:rPr>
            </w:pPr>
            <w:r>
              <w:rPr>
                <w:rFonts w:ascii="Arial" w:cs="Arial" w:eastAsia="Arial" w:hAnsi="Arial"/>
                <w:sz w:val="18"/>
                <w:szCs w:val="18"/>
                <w:color w:val="auto"/>
              </w:rPr>
              <w:t>Total other comprehensive loss</w:t>
            </w:r>
          </w:p>
        </w:tc>
        <w:tc>
          <w:tcPr>
            <w:tcW w:w="1480" w:type="dxa"/>
            <w:vAlign w:val="bottom"/>
            <w:shd w:val="clear" w:color="auto" w:fill="E6E6E6"/>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320" w:type="dxa"/>
            <w:vAlign w:val="bottom"/>
            <w:shd w:val="clear" w:color="auto" w:fill="E6E6E6"/>
          </w:tcPr>
          <w:p>
            <w:pPr>
              <w:spacing w:after="0"/>
              <w:rPr>
                <w:sz w:val="17"/>
                <w:szCs w:val="17"/>
                <w:color w:val="auto"/>
              </w:rPr>
            </w:pPr>
          </w:p>
        </w:tc>
        <w:tc>
          <w:tcPr>
            <w:tcW w:w="620" w:type="dxa"/>
            <w:vAlign w:val="bottom"/>
            <w:shd w:val="clear" w:color="auto" w:fill="E6E6E6"/>
          </w:tcPr>
          <w:p>
            <w:pPr>
              <w:jc w:val="right"/>
              <w:ind w:right="172"/>
              <w:spacing w:after="0" w:line="202" w:lineRule="exact"/>
              <w:rPr>
                <w:sz w:val="20"/>
                <w:szCs w:val="20"/>
                <w:color w:val="auto"/>
              </w:rPr>
            </w:pPr>
            <w:r>
              <w:rPr>
                <w:rFonts w:ascii="Arial" w:cs="Arial" w:eastAsia="Arial" w:hAnsi="Arial"/>
                <w:sz w:val="18"/>
                <w:szCs w:val="18"/>
                <w:color w:val="auto"/>
              </w:rPr>
              <w:t>—</w:t>
            </w:r>
          </w:p>
        </w:tc>
        <w:tc>
          <w:tcPr>
            <w:tcW w:w="1260" w:type="dxa"/>
            <w:vAlign w:val="bottom"/>
            <w:shd w:val="clear" w:color="auto" w:fill="E6E6E6"/>
          </w:tcPr>
          <w:p>
            <w:pPr>
              <w:jc w:val="right"/>
              <w:ind w:right="53"/>
              <w:spacing w:after="0" w:line="202" w:lineRule="exact"/>
              <w:rPr>
                <w:sz w:val="20"/>
                <w:szCs w:val="20"/>
                <w:color w:val="auto"/>
              </w:rPr>
            </w:pPr>
            <w:r>
              <w:rPr>
                <w:rFonts w:ascii="Arial" w:cs="Arial" w:eastAsia="Arial" w:hAnsi="Arial"/>
                <w:sz w:val="18"/>
                <w:szCs w:val="18"/>
                <w:color w:val="auto"/>
              </w:rPr>
              <w:t>—</w:t>
            </w:r>
          </w:p>
        </w:tc>
        <w:tc>
          <w:tcPr>
            <w:tcW w:w="300" w:type="dxa"/>
            <w:vAlign w:val="bottom"/>
            <w:shd w:val="clear" w:color="auto" w:fill="E6E6E6"/>
          </w:tcPr>
          <w:p>
            <w:pPr>
              <w:spacing w:after="0"/>
              <w:rPr>
                <w:sz w:val="17"/>
                <w:szCs w:val="17"/>
                <w:color w:val="auto"/>
              </w:rPr>
            </w:pPr>
          </w:p>
        </w:tc>
        <w:tc>
          <w:tcPr>
            <w:tcW w:w="460" w:type="dxa"/>
            <w:vAlign w:val="bottom"/>
            <w:shd w:val="clear" w:color="auto" w:fill="E6E6E6"/>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E6E6E6"/>
          </w:tcPr>
          <w:p>
            <w:pPr>
              <w:spacing w:after="0"/>
              <w:rPr>
                <w:sz w:val="17"/>
                <w:szCs w:val="17"/>
                <w:color w:val="auto"/>
              </w:rPr>
            </w:pPr>
          </w:p>
        </w:tc>
        <w:tc>
          <w:tcPr>
            <w:tcW w:w="960" w:type="dxa"/>
            <w:vAlign w:val="bottom"/>
            <w:shd w:val="clear" w:color="auto" w:fill="E6E6E6"/>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80" w:type="dxa"/>
            <w:vAlign w:val="bottom"/>
            <w:gridSpan w:val="2"/>
          </w:tcPr>
          <w:p>
            <w:pPr>
              <w:spacing w:after="0" w:line="202" w:lineRule="exact"/>
              <w:rPr>
                <w:sz w:val="20"/>
                <w:szCs w:val="20"/>
                <w:color w:val="auto"/>
              </w:rPr>
            </w:pPr>
            <w:r>
              <w:rPr>
                <w:rFonts w:ascii="Arial" w:cs="Arial" w:eastAsia="Arial" w:hAnsi="Arial"/>
                <w:sz w:val="18"/>
                <w:szCs w:val="18"/>
                <w:color w:val="auto"/>
              </w:rPr>
              <w:t>Total comprehensive loss</w:t>
            </w:r>
          </w:p>
        </w:tc>
        <w:tc>
          <w:tcPr>
            <w:tcW w:w="14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620" w:type="dxa"/>
            <w:vAlign w:val="bottom"/>
          </w:tcPr>
          <w:p>
            <w:pPr>
              <w:jc w:val="right"/>
              <w:ind w:right="172"/>
              <w:spacing w:after="0" w:line="202" w:lineRule="exact"/>
              <w:rPr>
                <w:sz w:val="20"/>
                <w:szCs w:val="20"/>
                <w:color w:val="auto"/>
              </w:rPr>
            </w:pPr>
            <w:r>
              <w:rPr>
                <w:rFonts w:ascii="Arial" w:cs="Arial" w:eastAsia="Arial" w:hAnsi="Arial"/>
                <w:sz w:val="18"/>
                <w:szCs w:val="18"/>
                <w:color w:val="auto"/>
              </w:rPr>
              <w:t>—</w:t>
            </w:r>
          </w:p>
        </w:tc>
        <w:tc>
          <w:tcPr>
            <w:tcW w:w="1260" w:type="dxa"/>
            <w:vAlign w:val="bottom"/>
          </w:tcPr>
          <w:p>
            <w:pPr>
              <w:jc w:val="right"/>
              <w:ind w:right="53"/>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46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9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6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Stock-based compensation</w:t>
            </w:r>
          </w:p>
        </w:tc>
        <w:tc>
          <w:tcPr>
            <w:tcW w:w="1480" w:type="dxa"/>
            <w:vAlign w:val="bottom"/>
            <w:shd w:val="clear" w:color="auto" w:fill="E6E6E6"/>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320" w:type="dxa"/>
            <w:vAlign w:val="bottom"/>
            <w:shd w:val="clear" w:color="auto" w:fill="E6E6E6"/>
          </w:tcPr>
          <w:p>
            <w:pPr>
              <w:spacing w:after="0"/>
              <w:rPr>
                <w:sz w:val="17"/>
                <w:szCs w:val="17"/>
                <w:color w:val="auto"/>
              </w:rPr>
            </w:pPr>
          </w:p>
        </w:tc>
        <w:tc>
          <w:tcPr>
            <w:tcW w:w="620" w:type="dxa"/>
            <w:vAlign w:val="bottom"/>
            <w:shd w:val="clear" w:color="auto" w:fill="E6E6E6"/>
          </w:tcPr>
          <w:p>
            <w:pPr>
              <w:jc w:val="right"/>
              <w:ind w:right="172"/>
              <w:spacing w:after="0" w:line="202" w:lineRule="exact"/>
              <w:rPr>
                <w:sz w:val="20"/>
                <w:szCs w:val="20"/>
                <w:color w:val="auto"/>
              </w:rPr>
            </w:pPr>
            <w:r>
              <w:rPr>
                <w:rFonts w:ascii="Arial" w:cs="Arial" w:eastAsia="Arial" w:hAnsi="Arial"/>
                <w:sz w:val="18"/>
                <w:szCs w:val="18"/>
                <w:color w:val="auto"/>
              </w:rPr>
              <w:t>—</w:t>
            </w:r>
          </w:p>
        </w:tc>
        <w:tc>
          <w:tcPr>
            <w:tcW w:w="1260" w:type="dxa"/>
            <w:vAlign w:val="bottom"/>
            <w:shd w:val="clear" w:color="auto" w:fill="E6E6E6"/>
          </w:tcPr>
          <w:p>
            <w:pPr>
              <w:jc w:val="right"/>
              <w:ind w:right="53"/>
              <w:spacing w:after="0" w:line="202" w:lineRule="exact"/>
              <w:rPr>
                <w:sz w:val="20"/>
                <w:szCs w:val="20"/>
                <w:color w:val="auto"/>
              </w:rPr>
            </w:pPr>
            <w:r>
              <w:rPr>
                <w:rFonts w:ascii="Arial" w:cs="Arial" w:eastAsia="Arial" w:hAnsi="Arial"/>
                <w:sz w:val="18"/>
                <w:szCs w:val="18"/>
                <w:color w:val="auto"/>
              </w:rPr>
              <w:t>—</w:t>
            </w:r>
          </w:p>
        </w:tc>
        <w:tc>
          <w:tcPr>
            <w:tcW w:w="300" w:type="dxa"/>
            <w:vAlign w:val="bottom"/>
            <w:shd w:val="clear" w:color="auto" w:fill="E6E6E6"/>
          </w:tcPr>
          <w:p>
            <w:pPr>
              <w:spacing w:after="0"/>
              <w:rPr>
                <w:sz w:val="17"/>
                <w:szCs w:val="17"/>
                <w:color w:val="auto"/>
              </w:rPr>
            </w:pPr>
          </w:p>
        </w:tc>
        <w:tc>
          <w:tcPr>
            <w:tcW w:w="460" w:type="dxa"/>
            <w:vAlign w:val="bottom"/>
            <w:shd w:val="clear" w:color="auto" w:fill="E6E6E6"/>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E6E6E6"/>
          </w:tcPr>
          <w:p>
            <w:pPr>
              <w:spacing w:after="0"/>
              <w:rPr>
                <w:sz w:val="17"/>
                <w:szCs w:val="17"/>
                <w:color w:val="auto"/>
              </w:rPr>
            </w:pPr>
          </w:p>
        </w:tc>
        <w:tc>
          <w:tcPr>
            <w:tcW w:w="960" w:type="dxa"/>
            <w:vAlign w:val="bottom"/>
            <w:shd w:val="clear" w:color="auto" w:fill="E6E6E6"/>
          </w:tcPr>
          <w:p>
            <w:pPr>
              <w:jc w:val="right"/>
              <w:ind w:right="34"/>
              <w:spacing w:after="0" w:line="202" w:lineRule="exact"/>
              <w:rPr>
                <w:sz w:val="20"/>
                <w:szCs w:val="20"/>
                <w:color w:val="auto"/>
              </w:rPr>
            </w:pPr>
            <w:r>
              <w:rPr>
                <w:rFonts w:ascii="Arial" w:cs="Arial" w:eastAsia="Arial" w:hAnsi="Arial"/>
                <w:sz w:val="18"/>
                <w:szCs w:val="18"/>
                <w:color w:val="auto"/>
              </w:rPr>
              <w:t>7.0</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80" w:type="dxa"/>
            <w:vAlign w:val="bottom"/>
            <w:gridSpan w:val="2"/>
          </w:tcPr>
          <w:p>
            <w:pPr>
              <w:spacing w:after="0" w:line="202" w:lineRule="exact"/>
              <w:rPr>
                <w:sz w:val="20"/>
                <w:szCs w:val="20"/>
                <w:color w:val="auto"/>
              </w:rPr>
            </w:pPr>
            <w:r>
              <w:rPr>
                <w:rFonts w:ascii="Arial" w:cs="Arial" w:eastAsia="Arial" w:hAnsi="Arial"/>
                <w:sz w:val="18"/>
                <w:szCs w:val="18"/>
                <w:color w:val="auto"/>
              </w:rPr>
              <w:t>Adoption of FIN 48</w:t>
            </w:r>
          </w:p>
        </w:tc>
        <w:tc>
          <w:tcPr>
            <w:tcW w:w="14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620" w:type="dxa"/>
            <w:vAlign w:val="bottom"/>
          </w:tcPr>
          <w:p>
            <w:pPr>
              <w:jc w:val="right"/>
              <w:ind w:right="172"/>
              <w:spacing w:after="0" w:line="202" w:lineRule="exact"/>
              <w:rPr>
                <w:sz w:val="20"/>
                <w:szCs w:val="20"/>
                <w:color w:val="auto"/>
              </w:rPr>
            </w:pPr>
            <w:r>
              <w:rPr>
                <w:rFonts w:ascii="Arial" w:cs="Arial" w:eastAsia="Arial" w:hAnsi="Arial"/>
                <w:sz w:val="18"/>
                <w:szCs w:val="18"/>
                <w:color w:val="auto"/>
              </w:rPr>
              <w:t>—</w:t>
            </w:r>
          </w:p>
        </w:tc>
        <w:tc>
          <w:tcPr>
            <w:tcW w:w="1260" w:type="dxa"/>
            <w:vAlign w:val="bottom"/>
          </w:tcPr>
          <w:p>
            <w:pPr>
              <w:jc w:val="right"/>
              <w:ind w:right="53"/>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46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9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760" w:type="dxa"/>
            <w:vAlign w:val="bottom"/>
            <w:shd w:val="clear" w:color="auto" w:fill="E6E6E6"/>
          </w:tcPr>
          <w:p>
            <w:pPr>
              <w:spacing w:after="0" w:line="206" w:lineRule="exact"/>
              <w:rPr>
                <w:sz w:val="20"/>
                <w:szCs w:val="20"/>
                <w:color w:val="auto"/>
              </w:rPr>
            </w:pPr>
            <w:r>
              <w:rPr>
                <w:rFonts w:ascii="Arial" w:cs="Arial" w:eastAsia="Arial" w:hAnsi="Arial"/>
                <w:sz w:val="18"/>
                <w:szCs w:val="18"/>
                <w:color w:val="auto"/>
              </w:rPr>
              <w:t>Proceeds from issuance of common stock pursuant to stock-based</w:t>
            </w:r>
          </w:p>
        </w:tc>
        <w:tc>
          <w:tcPr>
            <w:tcW w:w="1480" w:type="dxa"/>
            <w:vAlign w:val="bottom"/>
            <w:shd w:val="clear" w:color="auto" w:fill="E6E6E6"/>
          </w:tcPr>
          <w:p>
            <w:pPr>
              <w:spacing w:after="0"/>
              <w:rPr>
                <w:sz w:val="17"/>
                <w:szCs w:val="17"/>
                <w:color w:val="auto"/>
              </w:rPr>
            </w:pPr>
          </w:p>
        </w:tc>
        <w:tc>
          <w:tcPr>
            <w:tcW w:w="320" w:type="dxa"/>
            <w:vAlign w:val="bottom"/>
            <w:shd w:val="clear" w:color="auto" w:fill="E6E6E6"/>
          </w:tcPr>
          <w:p>
            <w:pPr>
              <w:spacing w:after="0"/>
              <w:rPr>
                <w:sz w:val="17"/>
                <w:szCs w:val="17"/>
                <w:color w:val="auto"/>
              </w:rPr>
            </w:pPr>
          </w:p>
        </w:tc>
        <w:tc>
          <w:tcPr>
            <w:tcW w:w="620" w:type="dxa"/>
            <w:vAlign w:val="bottom"/>
            <w:shd w:val="clear" w:color="auto" w:fill="E6E6E6"/>
          </w:tcPr>
          <w:p>
            <w:pPr>
              <w:spacing w:after="0"/>
              <w:rPr>
                <w:sz w:val="17"/>
                <w:szCs w:val="17"/>
                <w:color w:val="auto"/>
              </w:rPr>
            </w:pPr>
          </w:p>
        </w:tc>
        <w:tc>
          <w:tcPr>
            <w:tcW w:w="1260" w:type="dxa"/>
            <w:vAlign w:val="bottom"/>
            <w:shd w:val="clear" w:color="auto" w:fill="E6E6E6"/>
          </w:tcPr>
          <w:p>
            <w:pPr>
              <w:spacing w:after="0"/>
              <w:rPr>
                <w:sz w:val="17"/>
                <w:szCs w:val="17"/>
                <w:color w:val="auto"/>
              </w:rPr>
            </w:pPr>
          </w:p>
        </w:tc>
        <w:tc>
          <w:tcPr>
            <w:tcW w:w="300" w:type="dxa"/>
            <w:vAlign w:val="bottom"/>
            <w:shd w:val="clear" w:color="auto" w:fill="E6E6E6"/>
          </w:tcPr>
          <w:p>
            <w:pPr>
              <w:spacing w:after="0"/>
              <w:rPr>
                <w:sz w:val="17"/>
                <w:szCs w:val="17"/>
                <w:color w:val="auto"/>
              </w:rPr>
            </w:pPr>
          </w:p>
        </w:tc>
        <w:tc>
          <w:tcPr>
            <w:tcW w:w="460" w:type="dxa"/>
            <w:vAlign w:val="bottom"/>
            <w:shd w:val="clear" w:color="auto" w:fill="E6E6E6"/>
          </w:tcPr>
          <w:p>
            <w:pPr>
              <w:spacing w:after="0"/>
              <w:rPr>
                <w:sz w:val="17"/>
                <w:szCs w:val="17"/>
                <w:color w:val="auto"/>
              </w:rPr>
            </w:pPr>
          </w:p>
        </w:tc>
        <w:tc>
          <w:tcPr>
            <w:tcW w:w="240" w:type="dxa"/>
            <w:vAlign w:val="bottom"/>
            <w:shd w:val="clear" w:color="auto" w:fill="E6E6E6"/>
          </w:tcPr>
          <w:p>
            <w:pPr>
              <w:spacing w:after="0"/>
              <w:rPr>
                <w:sz w:val="17"/>
                <w:szCs w:val="17"/>
                <w:color w:val="auto"/>
              </w:rPr>
            </w:pPr>
          </w:p>
        </w:tc>
        <w:tc>
          <w:tcPr>
            <w:tcW w:w="960" w:type="dxa"/>
            <w:vAlign w:val="bottom"/>
            <w:shd w:val="clear" w:color="auto" w:fill="E6E6E6"/>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760" w:type="dxa"/>
            <w:vAlign w:val="bottom"/>
            <w:shd w:val="clear" w:color="auto" w:fill="E6E6E6"/>
          </w:tcPr>
          <w:p>
            <w:pPr>
              <w:ind w:left="140"/>
              <w:spacing w:after="0" w:line="200" w:lineRule="exact"/>
              <w:rPr>
                <w:sz w:val="20"/>
                <w:szCs w:val="20"/>
                <w:color w:val="auto"/>
              </w:rPr>
            </w:pPr>
            <w:r>
              <w:rPr>
                <w:rFonts w:ascii="Arial" w:cs="Arial" w:eastAsia="Arial" w:hAnsi="Arial"/>
                <w:sz w:val="18"/>
                <w:szCs w:val="18"/>
                <w:color w:val="auto"/>
              </w:rPr>
              <w:t>compensation</w:t>
            </w:r>
          </w:p>
        </w:tc>
        <w:tc>
          <w:tcPr>
            <w:tcW w:w="1480" w:type="dxa"/>
            <w:vAlign w:val="bottom"/>
            <w:shd w:val="clear" w:color="auto" w:fill="E6E6E6"/>
          </w:tcPr>
          <w:p>
            <w:pPr>
              <w:jc w:val="right"/>
              <w:ind w:right="13"/>
              <w:spacing w:after="0" w:line="200" w:lineRule="exact"/>
              <w:rPr>
                <w:sz w:val="20"/>
                <w:szCs w:val="20"/>
                <w:color w:val="auto"/>
              </w:rPr>
            </w:pPr>
            <w:r>
              <w:rPr>
                <w:rFonts w:ascii="Arial" w:cs="Arial" w:eastAsia="Arial" w:hAnsi="Arial"/>
                <w:sz w:val="18"/>
                <w:szCs w:val="18"/>
                <w:color w:val="auto"/>
              </w:rPr>
              <w:t>—</w:t>
            </w:r>
          </w:p>
        </w:tc>
        <w:tc>
          <w:tcPr>
            <w:tcW w:w="320" w:type="dxa"/>
            <w:vAlign w:val="bottom"/>
            <w:shd w:val="clear" w:color="auto" w:fill="E6E6E6"/>
          </w:tcPr>
          <w:p>
            <w:pPr>
              <w:spacing w:after="0"/>
              <w:rPr>
                <w:sz w:val="17"/>
                <w:szCs w:val="17"/>
                <w:color w:val="auto"/>
              </w:rPr>
            </w:pPr>
          </w:p>
        </w:tc>
        <w:tc>
          <w:tcPr>
            <w:tcW w:w="620" w:type="dxa"/>
            <w:vAlign w:val="bottom"/>
            <w:shd w:val="clear" w:color="auto" w:fill="E6E6E6"/>
          </w:tcPr>
          <w:p>
            <w:pPr>
              <w:jc w:val="right"/>
              <w:ind w:right="172"/>
              <w:spacing w:after="0" w:line="200" w:lineRule="exact"/>
              <w:rPr>
                <w:sz w:val="20"/>
                <w:szCs w:val="20"/>
                <w:color w:val="auto"/>
              </w:rPr>
            </w:pPr>
            <w:r>
              <w:rPr>
                <w:rFonts w:ascii="Arial" w:cs="Arial" w:eastAsia="Arial" w:hAnsi="Arial"/>
                <w:sz w:val="18"/>
                <w:szCs w:val="18"/>
                <w:color w:val="auto"/>
              </w:rPr>
              <w:t>—</w:t>
            </w:r>
          </w:p>
        </w:tc>
        <w:tc>
          <w:tcPr>
            <w:tcW w:w="1260" w:type="dxa"/>
            <w:vAlign w:val="bottom"/>
            <w:shd w:val="clear" w:color="auto" w:fill="E6E6E6"/>
          </w:tcPr>
          <w:p>
            <w:pPr>
              <w:jc w:val="right"/>
              <w:ind w:right="53"/>
              <w:spacing w:after="0" w:line="200" w:lineRule="exact"/>
              <w:rPr>
                <w:sz w:val="20"/>
                <w:szCs w:val="20"/>
                <w:color w:val="auto"/>
              </w:rPr>
            </w:pPr>
            <w:r>
              <w:rPr>
                <w:rFonts w:ascii="Arial" w:cs="Arial" w:eastAsia="Arial" w:hAnsi="Arial"/>
                <w:sz w:val="18"/>
                <w:szCs w:val="18"/>
                <w:color w:val="auto"/>
              </w:rPr>
              <w:t>1,460,183</w:t>
            </w:r>
          </w:p>
        </w:tc>
        <w:tc>
          <w:tcPr>
            <w:tcW w:w="300" w:type="dxa"/>
            <w:vAlign w:val="bottom"/>
            <w:shd w:val="clear" w:color="auto" w:fill="E6E6E6"/>
          </w:tcPr>
          <w:p>
            <w:pPr>
              <w:spacing w:after="0"/>
              <w:rPr>
                <w:sz w:val="17"/>
                <w:szCs w:val="17"/>
                <w:color w:val="auto"/>
              </w:rPr>
            </w:pPr>
          </w:p>
        </w:tc>
        <w:tc>
          <w:tcPr>
            <w:tcW w:w="460" w:type="dxa"/>
            <w:vAlign w:val="bottom"/>
            <w:shd w:val="clear" w:color="auto" w:fill="E6E6E6"/>
          </w:tcPr>
          <w:p>
            <w:pPr>
              <w:jc w:val="right"/>
              <w:ind w:right="12"/>
              <w:spacing w:after="0" w:line="200" w:lineRule="exact"/>
              <w:rPr>
                <w:sz w:val="20"/>
                <w:szCs w:val="20"/>
                <w:color w:val="auto"/>
              </w:rPr>
            </w:pPr>
            <w:r>
              <w:rPr>
                <w:rFonts w:ascii="Arial" w:cs="Arial" w:eastAsia="Arial" w:hAnsi="Arial"/>
                <w:sz w:val="18"/>
                <w:szCs w:val="18"/>
                <w:color w:val="auto"/>
              </w:rPr>
              <w:t>—</w:t>
            </w:r>
          </w:p>
        </w:tc>
        <w:tc>
          <w:tcPr>
            <w:tcW w:w="240" w:type="dxa"/>
            <w:vAlign w:val="bottom"/>
            <w:shd w:val="clear" w:color="auto" w:fill="E6E6E6"/>
          </w:tcPr>
          <w:p>
            <w:pPr>
              <w:spacing w:after="0"/>
              <w:rPr>
                <w:sz w:val="17"/>
                <w:szCs w:val="17"/>
                <w:color w:val="auto"/>
              </w:rPr>
            </w:pPr>
          </w:p>
        </w:tc>
        <w:tc>
          <w:tcPr>
            <w:tcW w:w="960" w:type="dxa"/>
            <w:vAlign w:val="bottom"/>
            <w:shd w:val="clear" w:color="auto" w:fill="E6E6E6"/>
          </w:tcPr>
          <w:p>
            <w:pPr>
              <w:jc w:val="right"/>
              <w:ind w:right="34"/>
              <w:spacing w:after="0" w:line="200" w:lineRule="exact"/>
              <w:rPr>
                <w:sz w:val="20"/>
                <w:szCs w:val="20"/>
                <w:color w:val="auto"/>
              </w:rPr>
            </w:pPr>
            <w:r>
              <w:rPr>
                <w:rFonts w:ascii="Arial" w:cs="Arial" w:eastAsia="Arial" w:hAnsi="Arial"/>
                <w:sz w:val="18"/>
                <w:szCs w:val="18"/>
                <w:color w:val="auto"/>
              </w:rPr>
              <w:t>37.6</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80" w:type="dxa"/>
            <w:vAlign w:val="bottom"/>
            <w:gridSpan w:val="2"/>
          </w:tcPr>
          <w:p>
            <w:pPr>
              <w:spacing w:after="0" w:line="202" w:lineRule="exact"/>
              <w:rPr>
                <w:sz w:val="20"/>
                <w:szCs w:val="20"/>
                <w:color w:val="auto"/>
              </w:rPr>
            </w:pPr>
            <w:r>
              <w:rPr>
                <w:rFonts w:ascii="Arial" w:cs="Arial" w:eastAsia="Arial" w:hAnsi="Arial"/>
                <w:sz w:val="18"/>
                <w:szCs w:val="18"/>
                <w:color w:val="auto"/>
              </w:rPr>
              <w:t>Tax benefit realized from stock-based compensation</w:t>
            </w:r>
          </w:p>
        </w:tc>
        <w:tc>
          <w:tcPr>
            <w:tcW w:w="14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620" w:type="dxa"/>
            <w:vAlign w:val="bottom"/>
          </w:tcPr>
          <w:p>
            <w:pPr>
              <w:jc w:val="right"/>
              <w:ind w:right="172"/>
              <w:spacing w:after="0" w:line="202" w:lineRule="exact"/>
              <w:rPr>
                <w:sz w:val="20"/>
                <w:szCs w:val="20"/>
                <w:color w:val="auto"/>
              </w:rPr>
            </w:pPr>
            <w:r>
              <w:rPr>
                <w:rFonts w:ascii="Arial" w:cs="Arial" w:eastAsia="Arial" w:hAnsi="Arial"/>
                <w:sz w:val="18"/>
                <w:szCs w:val="18"/>
                <w:color w:val="auto"/>
              </w:rPr>
              <w:t>—</w:t>
            </w:r>
          </w:p>
        </w:tc>
        <w:tc>
          <w:tcPr>
            <w:tcW w:w="1260" w:type="dxa"/>
            <w:vAlign w:val="bottom"/>
          </w:tcPr>
          <w:p>
            <w:pPr>
              <w:jc w:val="right"/>
              <w:ind w:right="53"/>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46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9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4.2</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6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Purchases of treasury stock at cost</w:t>
            </w:r>
          </w:p>
        </w:tc>
        <w:tc>
          <w:tcPr>
            <w:tcW w:w="1480" w:type="dxa"/>
            <w:vAlign w:val="bottom"/>
            <w:shd w:val="clear" w:color="auto" w:fill="E6E6E6"/>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320" w:type="dxa"/>
            <w:vAlign w:val="bottom"/>
            <w:shd w:val="clear" w:color="auto" w:fill="E6E6E6"/>
          </w:tcPr>
          <w:p>
            <w:pPr>
              <w:spacing w:after="0"/>
              <w:rPr>
                <w:sz w:val="17"/>
                <w:szCs w:val="17"/>
                <w:color w:val="auto"/>
              </w:rPr>
            </w:pPr>
          </w:p>
        </w:tc>
        <w:tc>
          <w:tcPr>
            <w:tcW w:w="620" w:type="dxa"/>
            <w:vAlign w:val="bottom"/>
            <w:shd w:val="clear" w:color="auto" w:fill="E6E6E6"/>
          </w:tcPr>
          <w:p>
            <w:pPr>
              <w:jc w:val="right"/>
              <w:ind w:right="172"/>
              <w:spacing w:after="0" w:line="202" w:lineRule="exact"/>
              <w:rPr>
                <w:sz w:val="20"/>
                <w:szCs w:val="20"/>
                <w:color w:val="auto"/>
              </w:rPr>
            </w:pPr>
            <w:r>
              <w:rPr>
                <w:rFonts w:ascii="Arial" w:cs="Arial" w:eastAsia="Arial" w:hAnsi="Arial"/>
                <w:sz w:val="18"/>
                <w:szCs w:val="18"/>
                <w:color w:val="auto"/>
              </w:rPr>
              <w:t>—</w:t>
            </w:r>
          </w:p>
        </w:tc>
        <w:tc>
          <w:tcPr>
            <w:tcW w:w="126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(6,437,786)</w:t>
            </w:r>
          </w:p>
        </w:tc>
        <w:tc>
          <w:tcPr>
            <w:tcW w:w="300" w:type="dxa"/>
            <w:vAlign w:val="bottom"/>
            <w:shd w:val="clear" w:color="auto" w:fill="E6E6E6"/>
          </w:tcPr>
          <w:p>
            <w:pPr>
              <w:spacing w:after="0"/>
              <w:rPr>
                <w:sz w:val="17"/>
                <w:szCs w:val="17"/>
                <w:color w:val="auto"/>
              </w:rPr>
            </w:pPr>
          </w:p>
        </w:tc>
        <w:tc>
          <w:tcPr>
            <w:tcW w:w="460" w:type="dxa"/>
            <w:vAlign w:val="bottom"/>
            <w:shd w:val="clear" w:color="auto" w:fill="E6E6E6"/>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E6E6E6"/>
          </w:tcPr>
          <w:p>
            <w:pPr>
              <w:spacing w:after="0"/>
              <w:rPr>
                <w:sz w:val="17"/>
                <w:szCs w:val="17"/>
                <w:color w:val="auto"/>
              </w:rPr>
            </w:pPr>
          </w:p>
        </w:tc>
        <w:tc>
          <w:tcPr>
            <w:tcW w:w="960" w:type="dxa"/>
            <w:vAlign w:val="bottom"/>
            <w:shd w:val="clear" w:color="auto" w:fill="E6E6E6"/>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760" w:type="dxa"/>
            <w:vAlign w:val="bottom"/>
            <w:tcBorders>
              <w:bottom w:val="single" w:sz="8" w:color="808080"/>
            </w:tcBorders>
          </w:tcPr>
          <w:p>
            <w:pPr>
              <w:spacing w:after="0"/>
              <w:rPr>
                <w:sz w:val="9"/>
                <w:szCs w:val="9"/>
                <w:color w:val="auto"/>
              </w:rPr>
            </w:pPr>
          </w:p>
        </w:tc>
        <w:tc>
          <w:tcPr>
            <w:tcW w:w="148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4"/>
        </w:trPr>
        <w:tc>
          <w:tcPr>
            <w:tcW w:w="5780" w:type="dxa"/>
            <w:vAlign w:val="bottom"/>
            <w:gridSpan w:val="2"/>
          </w:tcPr>
          <w:p>
            <w:pPr>
              <w:spacing w:after="0"/>
              <w:rPr>
                <w:sz w:val="20"/>
                <w:szCs w:val="20"/>
                <w:color w:val="auto"/>
              </w:rPr>
            </w:pPr>
            <w:r>
              <w:rPr>
                <w:rFonts w:ascii="Arial" w:cs="Arial" w:eastAsia="Arial" w:hAnsi="Arial"/>
                <w:sz w:val="18"/>
                <w:szCs w:val="18"/>
                <w:b w:val="1"/>
                <w:bCs w:val="1"/>
                <w:color w:val="auto"/>
              </w:rPr>
              <w:t>Balance at May 31, 2008</w:t>
            </w:r>
          </w:p>
        </w:tc>
        <w:tc>
          <w:tcPr>
            <w:tcW w:w="1480" w:type="dxa"/>
            <w:vAlign w:val="bottom"/>
          </w:tcPr>
          <w:p>
            <w:pPr>
              <w:jc w:val="right"/>
              <w:ind w:right="13"/>
              <w:spacing w:after="0"/>
              <w:rPr>
                <w:sz w:val="20"/>
                <w:szCs w:val="20"/>
                <w:color w:val="auto"/>
              </w:rPr>
            </w:pPr>
            <w:r>
              <w:rPr>
                <w:rFonts w:ascii="Arial" w:cs="Arial" w:eastAsia="Arial" w:hAnsi="Arial"/>
                <w:sz w:val="18"/>
                <w:szCs w:val="18"/>
                <w:b w:val="1"/>
                <w:bCs w:val="1"/>
                <w:color w:val="auto"/>
              </w:rPr>
              <w:t>1,656,200</w:t>
            </w:r>
          </w:p>
        </w:tc>
        <w:tc>
          <w:tcPr>
            <w:tcW w:w="320" w:type="dxa"/>
            <w:vAlign w:val="bottom"/>
          </w:tcPr>
          <w:p>
            <w:pPr>
              <w:jc w:val="right"/>
              <w:ind w:right="36"/>
              <w:spacing w:after="0"/>
              <w:rPr>
                <w:sz w:val="20"/>
                <w:szCs w:val="20"/>
                <w:color w:val="auto"/>
              </w:rPr>
            </w:pPr>
            <w:r>
              <w:rPr>
                <w:rFonts w:ascii="Arial" w:cs="Arial" w:eastAsia="Arial" w:hAnsi="Arial"/>
                <w:sz w:val="18"/>
                <w:szCs w:val="18"/>
                <w:b w:val="1"/>
                <w:bCs w:val="1"/>
                <w:color w:val="auto"/>
              </w:rPr>
              <w:t>$</w:t>
            </w:r>
          </w:p>
        </w:tc>
        <w:tc>
          <w:tcPr>
            <w:tcW w:w="620" w:type="dxa"/>
            <w:vAlign w:val="bottom"/>
          </w:tcPr>
          <w:p>
            <w:pPr>
              <w:jc w:val="right"/>
              <w:ind w:right="172"/>
              <w:spacing w:after="0"/>
              <w:rPr>
                <w:sz w:val="20"/>
                <w:szCs w:val="20"/>
                <w:color w:val="auto"/>
              </w:rPr>
            </w:pPr>
            <w:r>
              <w:rPr>
                <w:rFonts w:ascii="Arial" w:cs="Arial" w:eastAsia="Arial" w:hAnsi="Arial"/>
                <w:sz w:val="18"/>
                <w:szCs w:val="18"/>
                <w:b w:val="1"/>
                <w:bCs w:val="1"/>
                <w:color w:val="auto"/>
              </w:rPr>
              <w:t>0.0</w:t>
            </w:r>
          </w:p>
        </w:tc>
        <w:tc>
          <w:tcPr>
            <w:tcW w:w="1260" w:type="dxa"/>
            <w:vAlign w:val="bottom"/>
          </w:tcPr>
          <w:p>
            <w:pPr>
              <w:jc w:val="right"/>
              <w:ind w:right="53"/>
              <w:spacing w:after="0"/>
              <w:rPr>
                <w:sz w:val="20"/>
                <w:szCs w:val="20"/>
                <w:color w:val="auto"/>
              </w:rPr>
            </w:pPr>
            <w:r>
              <w:rPr>
                <w:rFonts w:ascii="Arial" w:cs="Arial" w:eastAsia="Arial" w:hAnsi="Arial"/>
                <w:sz w:val="18"/>
                <w:szCs w:val="18"/>
                <w:b w:val="1"/>
                <w:bCs w:val="1"/>
                <w:color w:val="auto"/>
              </w:rPr>
              <w:t>36,444,518</w:t>
            </w:r>
          </w:p>
        </w:tc>
        <w:tc>
          <w:tcPr>
            <w:tcW w:w="300" w:type="dxa"/>
            <w:vAlign w:val="bottom"/>
          </w:tcPr>
          <w:p>
            <w:pPr>
              <w:jc w:val="right"/>
              <w:ind w:right="36"/>
              <w:spacing w:after="0"/>
              <w:rPr>
                <w:sz w:val="20"/>
                <w:szCs w:val="20"/>
                <w:color w:val="auto"/>
              </w:rPr>
            </w:pPr>
            <w:r>
              <w:rPr>
                <w:rFonts w:ascii="Arial" w:cs="Arial" w:eastAsia="Arial" w:hAnsi="Arial"/>
                <w:sz w:val="18"/>
                <w:szCs w:val="18"/>
                <w:b w:val="1"/>
                <w:bCs w:val="1"/>
                <w:color w:val="auto"/>
              </w:rPr>
              <w:t>$</w:t>
            </w:r>
          </w:p>
        </w:tc>
        <w:tc>
          <w:tcPr>
            <w:tcW w:w="460" w:type="dxa"/>
            <w:vAlign w:val="bottom"/>
          </w:tcPr>
          <w:p>
            <w:pPr>
              <w:jc w:val="right"/>
              <w:ind w:right="12"/>
              <w:spacing w:after="0"/>
              <w:rPr>
                <w:sz w:val="20"/>
                <w:szCs w:val="20"/>
                <w:color w:val="auto"/>
              </w:rPr>
            </w:pPr>
            <w:r>
              <w:rPr>
                <w:rFonts w:ascii="Arial" w:cs="Arial" w:eastAsia="Arial" w:hAnsi="Arial"/>
                <w:sz w:val="18"/>
                <w:szCs w:val="18"/>
                <w:b w:val="1"/>
                <w:bCs w:val="1"/>
                <w:color w:val="auto"/>
              </w:rPr>
              <w:t>0.4</w:t>
            </w:r>
          </w:p>
        </w:tc>
        <w:tc>
          <w:tcPr>
            <w:tcW w:w="2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ind w:right="34"/>
              <w:spacing w:after="0"/>
              <w:rPr>
                <w:sz w:val="20"/>
                <w:szCs w:val="20"/>
                <w:color w:val="auto"/>
              </w:rPr>
            </w:pPr>
            <w:r>
              <w:rPr>
                <w:rFonts w:ascii="Arial" w:cs="Arial" w:eastAsia="Arial" w:hAnsi="Arial"/>
                <w:sz w:val="18"/>
                <w:szCs w:val="18"/>
                <w:b w:val="1"/>
                <w:bCs w:val="1"/>
                <w:color w:val="auto"/>
              </w:rPr>
              <w:t>539.1</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6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Comprehensive loss:</w:t>
            </w:r>
          </w:p>
        </w:tc>
        <w:tc>
          <w:tcPr>
            <w:tcW w:w="1480" w:type="dxa"/>
            <w:vAlign w:val="bottom"/>
            <w:shd w:val="clear" w:color="auto" w:fill="E6E6E6"/>
          </w:tcPr>
          <w:p>
            <w:pPr>
              <w:spacing w:after="0"/>
              <w:rPr>
                <w:sz w:val="17"/>
                <w:szCs w:val="17"/>
                <w:color w:val="auto"/>
              </w:rPr>
            </w:pPr>
          </w:p>
        </w:tc>
        <w:tc>
          <w:tcPr>
            <w:tcW w:w="320" w:type="dxa"/>
            <w:vAlign w:val="bottom"/>
            <w:shd w:val="clear" w:color="auto" w:fill="E6E6E6"/>
          </w:tcPr>
          <w:p>
            <w:pPr>
              <w:spacing w:after="0"/>
              <w:rPr>
                <w:sz w:val="17"/>
                <w:szCs w:val="17"/>
                <w:color w:val="auto"/>
              </w:rPr>
            </w:pPr>
          </w:p>
        </w:tc>
        <w:tc>
          <w:tcPr>
            <w:tcW w:w="620" w:type="dxa"/>
            <w:vAlign w:val="bottom"/>
            <w:shd w:val="clear" w:color="auto" w:fill="E6E6E6"/>
          </w:tcPr>
          <w:p>
            <w:pPr>
              <w:spacing w:after="0"/>
              <w:rPr>
                <w:sz w:val="17"/>
                <w:szCs w:val="17"/>
                <w:color w:val="auto"/>
              </w:rPr>
            </w:pPr>
          </w:p>
        </w:tc>
        <w:tc>
          <w:tcPr>
            <w:tcW w:w="1260" w:type="dxa"/>
            <w:vAlign w:val="bottom"/>
            <w:shd w:val="clear" w:color="auto" w:fill="E6E6E6"/>
          </w:tcPr>
          <w:p>
            <w:pPr>
              <w:spacing w:after="0"/>
              <w:rPr>
                <w:sz w:val="17"/>
                <w:szCs w:val="17"/>
                <w:color w:val="auto"/>
              </w:rPr>
            </w:pPr>
          </w:p>
        </w:tc>
        <w:tc>
          <w:tcPr>
            <w:tcW w:w="300" w:type="dxa"/>
            <w:vAlign w:val="bottom"/>
            <w:shd w:val="clear" w:color="auto" w:fill="E6E6E6"/>
          </w:tcPr>
          <w:p>
            <w:pPr>
              <w:spacing w:after="0"/>
              <w:rPr>
                <w:sz w:val="17"/>
                <w:szCs w:val="17"/>
                <w:color w:val="auto"/>
              </w:rPr>
            </w:pPr>
          </w:p>
        </w:tc>
        <w:tc>
          <w:tcPr>
            <w:tcW w:w="460" w:type="dxa"/>
            <w:vAlign w:val="bottom"/>
            <w:shd w:val="clear" w:color="auto" w:fill="E6E6E6"/>
          </w:tcPr>
          <w:p>
            <w:pPr>
              <w:spacing w:after="0"/>
              <w:rPr>
                <w:sz w:val="17"/>
                <w:szCs w:val="17"/>
                <w:color w:val="auto"/>
              </w:rPr>
            </w:pPr>
          </w:p>
        </w:tc>
        <w:tc>
          <w:tcPr>
            <w:tcW w:w="240" w:type="dxa"/>
            <w:vAlign w:val="bottom"/>
            <w:shd w:val="clear" w:color="auto" w:fill="E6E6E6"/>
          </w:tcPr>
          <w:p>
            <w:pPr>
              <w:spacing w:after="0"/>
              <w:rPr>
                <w:sz w:val="17"/>
                <w:szCs w:val="17"/>
                <w:color w:val="auto"/>
              </w:rPr>
            </w:pPr>
          </w:p>
        </w:tc>
        <w:tc>
          <w:tcPr>
            <w:tcW w:w="960" w:type="dxa"/>
            <w:vAlign w:val="bottom"/>
            <w:shd w:val="clear" w:color="auto" w:fill="E6E6E6"/>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60" w:type="dxa"/>
            <w:vAlign w:val="bottom"/>
          </w:tcPr>
          <w:p>
            <w:pPr>
              <w:ind w:left="140"/>
              <w:spacing w:after="0" w:line="202" w:lineRule="exact"/>
              <w:rPr>
                <w:sz w:val="20"/>
                <w:szCs w:val="20"/>
                <w:color w:val="auto"/>
              </w:rPr>
            </w:pPr>
            <w:r>
              <w:rPr>
                <w:rFonts w:ascii="Arial" w:cs="Arial" w:eastAsia="Arial" w:hAnsi="Arial"/>
                <w:sz w:val="18"/>
                <w:szCs w:val="18"/>
                <w:color w:val="auto"/>
              </w:rPr>
              <w:t>Net Loss</w:t>
            </w:r>
          </w:p>
        </w:tc>
        <w:tc>
          <w:tcPr>
            <w:tcW w:w="14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620" w:type="dxa"/>
            <w:vAlign w:val="bottom"/>
          </w:tcPr>
          <w:p>
            <w:pPr>
              <w:jc w:val="right"/>
              <w:ind w:right="172"/>
              <w:spacing w:after="0" w:line="202" w:lineRule="exact"/>
              <w:rPr>
                <w:sz w:val="20"/>
                <w:szCs w:val="20"/>
                <w:color w:val="auto"/>
              </w:rPr>
            </w:pPr>
            <w:r>
              <w:rPr>
                <w:rFonts w:ascii="Arial" w:cs="Arial" w:eastAsia="Arial" w:hAnsi="Arial"/>
                <w:sz w:val="18"/>
                <w:szCs w:val="18"/>
                <w:color w:val="auto"/>
              </w:rPr>
              <w:t>—</w:t>
            </w:r>
          </w:p>
        </w:tc>
        <w:tc>
          <w:tcPr>
            <w:tcW w:w="1260" w:type="dxa"/>
            <w:vAlign w:val="bottom"/>
          </w:tcPr>
          <w:p>
            <w:pPr>
              <w:jc w:val="right"/>
              <w:ind w:right="53"/>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46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9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60" w:type="dxa"/>
            <w:vAlign w:val="bottom"/>
            <w:shd w:val="clear" w:color="auto" w:fill="E6E6E6"/>
          </w:tcPr>
          <w:p>
            <w:pPr>
              <w:ind w:left="140"/>
              <w:spacing w:after="0" w:line="202" w:lineRule="exact"/>
              <w:rPr>
                <w:sz w:val="20"/>
                <w:szCs w:val="20"/>
                <w:color w:val="auto"/>
              </w:rPr>
            </w:pPr>
            <w:r>
              <w:rPr>
                <w:rFonts w:ascii="Arial" w:cs="Arial" w:eastAsia="Arial" w:hAnsi="Arial"/>
                <w:sz w:val="18"/>
                <w:szCs w:val="18"/>
                <w:color w:val="auto"/>
              </w:rPr>
              <w:t>Other comprehensive loss, net:</w:t>
            </w:r>
          </w:p>
        </w:tc>
        <w:tc>
          <w:tcPr>
            <w:tcW w:w="1480" w:type="dxa"/>
            <w:vAlign w:val="bottom"/>
            <w:shd w:val="clear" w:color="auto" w:fill="E6E6E6"/>
          </w:tcPr>
          <w:p>
            <w:pPr>
              <w:spacing w:after="0"/>
              <w:rPr>
                <w:sz w:val="17"/>
                <w:szCs w:val="17"/>
                <w:color w:val="auto"/>
              </w:rPr>
            </w:pPr>
          </w:p>
        </w:tc>
        <w:tc>
          <w:tcPr>
            <w:tcW w:w="320" w:type="dxa"/>
            <w:vAlign w:val="bottom"/>
            <w:shd w:val="clear" w:color="auto" w:fill="E6E6E6"/>
          </w:tcPr>
          <w:p>
            <w:pPr>
              <w:spacing w:after="0"/>
              <w:rPr>
                <w:sz w:val="17"/>
                <w:szCs w:val="17"/>
                <w:color w:val="auto"/>
              </w:rPr>
            </w:pPr>
          </w:p>
        </w:tc>
        <w:tc>
          <w:tcPr>
            <w:tcW w:w="620" w:type="dxa"/>
            <w:vAlign w:val="bottom"/>
            <w:shd w:val="clear" w:color="auto" w:fill="E6E6E6"/>
          </w:tcPr>
          <w:p>
            <w:pPr>
              <w:spacing w:after="0"/>
              <w:rPr>
                <w:sz w:val="17"/>
                <w:szCs w:val="17"/>
                <w:color w:val="auto"/>
              </w:rPr>
            </w:pPr>
          </w:p>
        </w:tc>
        <w:tc>
          <w:tcPr>
            <w:tcW w:w="1260" w:type="dxa"/>
            <w:vAlign w:val="bottom"/>
            <w:shd w:val="clear" w:color="auto" w:fill="E6E6E6"/>
          </w:tcPr>
          <w:p>
            <w:pPr>
              <w:spacing w:after="0"/>
              <w:rPr>
                <w:sz w:val="17"/>
                <w:szCs w:val="17"/>
                <w:color w:val="auto"/>
              </w:rPr>
            </w:pPr>
          </w:p>
        </w:tc>
        <w:tc>
          <w:tcPr>
            <w:tcW w:w="300" w:type="dxa"/>
            <w:vAlign w:val="bottom"/>
            <w:shd w:val="clear" w:color="auto" w:fill="E6E6E6"/>
          </w:tcPr>
          <w:p>
            <w:pPr>
              <w:spacing w:after="0"/>
              <w:rPr>
                <w:sz w:val="17"/>
                <w:szCs w:val="17"/>
                <w:color w:val="auto"/>
              </w:rPr>
            </w:pPr>
          </w:p>
        </w:tc>
        <w:tc>
          <w:tcPr>
            <w:tcW w:w="460" w:type="dxa"/>
            <w:vAlign w:val="bottom"/>
            <w:shd w:val="clear" w:color="auto" w:fill="E6E6E6"/>
          </w:tcPr>
          <w:p>
            <w:pPr>
              <w:spacing w:after="0"/>
              <w:rPr>
                <w:sz w:val="17"/>
                <w:szCs w:val="17"/>
                <w:color w:val="auto"/>
              </w:rPr>
            </w:pPr>
          </w:p>
        </w:tc>
        <w:tc>
          <w:tcPr>
            <w:tcW w:w="240" w:type="dxa"/>
            <w:vAlign w:val="bottom"/>
            <w:shd w:val="clear" w:color="auto" w:fill="E6E6E6"/>
          </w:tcPr>
          <w:p>
            <w:pPr>
              <w:spacing w:after="0"/>
              <w:rPr>
                <w:sz w:val="17"/>
                <w:szCs w:val="17"/>
                <w:color w:val="auto"/>
              </w:rPr>
            </w:pPr>
          </w:p>
        </w:tc>
        <w:tc>
          <w:tcPr>
            <w:tcW w:w="960" w:type="dxa"/>
            <w:vAlign w:val="bottom"/>
            <w:shd w:val="clear" w:color="auto" w:fill="E6E6E6"/>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60" w:type="dxa"/>
            <w:vAlign w:val="bottom"/>
          </w:tcPr>
          <w:p>
            <w:pPr>
              <w:ind w:left="300"/>
              <w:spacing w:after="0" w:line="202" w:lineRule="exact"/>
              <w:rPr>
                <w:sz w:val="20"/>
                <w:szCs w:val="20"/>
                <w:color w:val="auto"/>
              </w:rPr>
            </w:pPr>
            <w:r>
              <w:rPr>
                <w:rFonts w:ascii="Arial" w:cs="Arial" w:eastAsia="Arial" w:hAnsi="Arial"/>
                <w:sz w:val="18"/>
                <w:szCs w:val="18"/>
                <w:color w:val="auto"/>
              </w:rPr>
              <w:t>Foreign currency translation adjustment</w:t>
            </w:r>
          </w:p>
        </w:tc>
        <w:tc>
          <w:tcPr>
            <w:tcW w:w="14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620" w:type="dxa"/>
            <w:vAlign w:val="bottom"/>
          </w:tcPr>
          <w:p>
            <w:pPr>
              <w:jc w:val="right"/>
              <w:ind w:right="172"/>
              <w:spacing w:after="0" w:line="202" w:lineRule="exact"/>
              <w:rPr>
                <w:sz w:val="20"/>
                <w:szCs w:val="20"/>
                <w:color w:val="auto"/>
              </w:rPr>
            </w:pPr>
            <w:r>
              <w:rPr>
                <w:rFonts w:ascii="Arial" w:cs="Arial" w:eastAsia="Arial" w:hAnsi="Arial"/>
                <w:sz w:val="18"/>
                <w:szCs w:val="18"/>
                <w:color w:val="auto"/>
              </w:rPr>
              <w:t>—</w:t>
            </w:r>
          </w:p>
        </w:tc>
        <w:tc>
          <w:tcPr>
            <w:tcW w:w="1260" w:type="dxa"/>
            <w:vAlign w:val="bottom"/>
          </w:tcPr>
          <w:p>
            <w:pPr>
              <w:jc w:val="right"/>
              <w:ind w:right="53"/>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46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9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60" w:type="dxa"/>
            <w:vAlign w:val="bottom"/>
            <w:shd w:val="clear" w:color="auto" w:fill="E6E6E6"/>
          </w:tcPr>
          <w:p>
            <w:pPr>
              <w:ind w:left="300"/>
              <w:spacing w:after="0" w:line="202" w:lineRule="exact"/>
              <w:rPr>
                <w:sz w:val="20"/>
                <w:szCs w:val="20"/>
                <w:color w:val="auto"/>
              </w:rPr>
            </w:pPr>
            <w:r>
              <w:rPr>
                <w:rFonts w:ascii="Arial" w:cs="Arial" w:eastAsia="Arial" w:hAnsi="Arial"/>
                <w:sz w:val="18"/>
                <w:szCs w:val="18"/>
                <w:color w:val="auto"/>
              </w:rPr>
              <w:t>Pension and postretirement adjustments (net of tax of $(3.4))</w:t>
            </w:r>
          </w:p>
        </w:tc>
        <w:tc>
          <w:tcPr>
            <w:tcW w:w="1480" w:type="dxa"/>
            <w:vAlign w:val="bottom"/>
            <w:shd w:val="clear" w:color="auto" w:fill="E6E6E6"/>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320" w:type="dxa"/>
            <w:vAlign w:val="bottom"/>
            <w:shd w:val="clear" w:color="auto" w:fill="E6E6E6"/>
          </w:tcPr>
          <w:p>
            <w:pPr>
              <w:spacing w:after="0"/>
              <w:rPr>
                <w:sz w:val="17"/>
                <w:szCs w:val="17"/>
                <w:color w:val="auto"/>
              </w:rPr>
            </w:pPr>
          </w:p>
        </w:tc>
        <w:tc>
          <w:tcPr>
            <w:tcW w:w="620" w:type="dxa"/>
            <w:vAlign w:val="bottom"/>
            <w:shd w:val="clear" w:color="auto" w:fill="E6E6E6"/>
          </w:tcPr>
          <w:p>
            <w:pPr>
              <w:jc w:val="right"/>
              <w:ind w:right="172"/>
              <w:spacing w:after="0" w:line="202" w:lineRule="exact"/>
              <w:rPr>
                <w:sz w:val="20"/>
                <w:szCs w:val="20"/>
                <w:color w:val="auto"/>
              </w:rPr>
            </w:pPr>
            <w:r>
              <w:rPr>
                <w:rFonts w:ascii="Arial" w:cs="Arial" w:eastAsia="Arial" w:hAnsi="Arial"/>
                <w:sz w:val="18"/>
                <w:szCs w:val="18"/>
                <w:color w:val="auto"/>
              </w:rPr>
              <w:t>—</w:t>
            </w:r>
          </w:p>
        </w:tc>
        <w:tc>
          <w:tcPr>
            <w:tcW w:w="1260" w:type="dxa"/>
            <w:vAlign w:val="bottom"/>
            <w:shd w:val="clear" w:color="auto" w:fill="E6E6E6"/>
          </w:tcPr>
          <w:p>
            <w:pPr>
              <w:jc w:val="right"/>
              <w:ind w:right="53"/>
              <w:spacing w:after="0" w:line="202" w:lineRule="exact"/>
              <w:rPr>
                <w:sz w:val="20"/>
                <w:szCs w:val="20"/>
                <w:color w:val="auto"/>
              </w:rPr>
            </w:pPr>
            <w:r>
              <w:rPr>
                <w:rFonts w:ascii="Arial" w:cs="Arial" w:eastAsia="Arial" w:hAnsi="Arial"/>
                <w:sz w:val="18"/>
                <w:szCs w:val="18"/>
                <w:color w:val="auto"/>
              </w:rPr>
              <w:t>—</w:t>
            </w:r>
          </w:p>
        </w:tc>
        <w:tc>
          <w:tcPr>
            <w:tcW w:w="300" w:type="dxa"/>
            <w:vAlign w:val="bottom"/>
            <w:shd w:val="clear" w:color="auto" w:fill="E6E6E6"/>
          </w:tcPr>
          <w:p>
            <w:pPr>
              <w:spacing w:after="0"/>
              <w:rPr>
                <w:sz w:val="17"/>
                <w:szCs w:val="17"/>
                <w:color w:val="auto"/>
              </w:rPr>
            </w:pPr>
          </w:p>
        </w:tc>
        <w:tc>
          <w:tcPr>
            <w:tcW w:w="460" w:type="dxa"/>
            <w:vAlign w:val="bottom"/>
            <w:shd w:val="clear" w:color="auto" w:fill="E6E6E6"/>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E6E6E6"/>
          </w:tcPr>
          <w:p>
            <w:pPr>
              <w:spacing w:after="0"/>
              <w:rPr>
                <w:sz w:val="17"/>
                <w:szCs w:val="17"/>
                <w:color w:val="auto"/>
              </w:rPr>
            </w:pPr>
          </w:p>
        </w:tc>
        <w:tc>
          <w:tcPr>
            <w:tcW w:w="960" w:type="dxa"/>
            <w:vAlign w:val="bottom"/>
            <w:shd w:val="clear" w:color="auto" w:fill="E6E6E6"/>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60" w:type="dxa"/>
            <w:vAlign w:val="bottom"/>
          </w:tcPr>
          <w:p>
            <w:pPr>
              <w:ind w:left="140"/>
              <w:spacing w:after="0" w:line="202" w:lineRule="exact"/>
              <w:rPr>
                <w:sz w:val="20"/>
                <w:szCs w:val="20"/>
                <w:color w:val="auto"/>
              </w:rPr>
            </w:pPr>
            <w:r>
              <w:rPr>
                <w:rFonts w:ascii="Arial" w:cs="Arial" w:eastAsia="Arial" w:hAnsi="Arial"/>
                <w:sz w:val="18"/>
                <w:szCs w:val="18"/>
                <w:color w:val="auto"/>
              </w:rPr>
              <w:t>Total other comprehensive loss</w:t>
            </w:r>
          </w:p>
        </w:tc>
        <w:tc>
          <w:tcPr>
            <w:tcW w:w="14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620" w:type="dxa"/>
            <w:vAlign w:val="bottom"/>
          </w:tcPr>
          <w:p>
            <w:pPr>
              <w:jc w:val="right"/>
              <w:ind w:right="172"/>
              <w:spacing w:after="0" w:line="202" w:lineRule="exact"/>
              <w:rPr>
                <w:sz w:val="20"/>
                <w:szCs w:val="20"/>
                <w:color w:val="auto"/>
              </w:rPr>
            </w:pPr>
            <w:r>
              <w:rPr>
                <w:rFonts w:ascii="Arial" w:cs="Arial" w:eastAsia="Arial" w:hAnsi="Arial"/>
                <w:sz w:val="18"/>
                <w:szCs w:val="18"/>
                <w:color w:val="auto"/>
              </w:rPr>
              <w:t>—</w:t>
            </w:r>
          </w:p>
        </w:tc>
        <w:tc>
          <w:tcPr>
            <w:tcW w:w="1260" w:type="dxa"/>
            <w:vAlign w:val="bottom"/>
          </w:tcPr>
          <w:p>
            <w:pPr>
              <w:jc w:val="right"/>
              <w:ind w:right="53"/>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46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9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6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Total comprehensive loss</w:t>
            </w:r>
          </w:p>
        </w:tc>
        <w:tc>
          <w:tcPr>
            <w:tcW w:w="1480" w:type="dxa"/>
            <w:vAlign w:val="bottom"/>
            <w:shd w:val="clear" w:color="auto" w:fill="E6E6E6"/>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320" w:type="dxa"/>
            <w:vAlign w:val="bottom"/>
            <w:shd w:val="clear" w:color="auto" w:fill="E6E6E6"/>
          </w:tcPr>
          <w:p>
            <w:pPr>
              <w:spacing w:after="0"/>
              <w:rPr>
                <w:sz w:val="17"/>
                <w:szCs w:val="17"/>
                <w:color w:val="auto"/>
              </w:rPr>
            </w:pPr>
          </w:p>
        </w:tc>
        <w:tc>
          <w:tcPr>
            <w:tcW w:w="620" w:type="dxa"/>
            <w:vAlign w:val="bottom"/>
            <w:shd w:val="clear" w:color="auto" w:fill="E6E6E6"/>
          </w:tcPr>
          <w:p>
            <w:pPr>
              <w:jc w:val="right"/>
              <w:ind w:right="172"/>
              <w:spacing w:after="0" w:line="202" w:lineRule="exact"/>
              <w:rPr>
                <w:sz w:val="20"/>
                <w:szCs w:val="20"/>
                <w:color w:val="auto"/>
              </w:rPr>
            </w:pPr>
            <w:r>
              <w:rPr>
                <w:rFonts w:ascii="Arial" w:cs="Arial" w:eastAsia="Arial" w:hAnsi="Arial"/>
                <w:sz w:val="18"/>
                <w:szCs w:val="18"/>
                <w:color w:val="auto"/>
              </w:rPr>
              <w:t>—</w:t>
            </w:r>
          </w:p>
        </w:tc>
        <w:tc>
          <w:tcPr>
            <w:tcW w:w="1260" w:type="dxa"/>
            <w:vAlign w:val="bottom"/>
            <w:shd w:val="clear" w:color="auto" w:fill="E6E6E6"/>
          </w:tcPr>
          <w:p>
            <w:pPr>
              <w:jc w:val="right"/>
              <w:ind w:right="53"/>
              <w:spacing w:after="0" w:line="202" w:lineRule="exact"/>
              <w:rPr>
                <w:sz w:val="20"/>
                <w:szCs w:val="20"/>
                <w:color w:val="auto"/>
              </w:rPr>
            </w:pPr>
            <w:r>
              <w:rPr>
                <w:rFonts w:ascii="Arial" w:cs="Arial" w:eastAsia="Arial" w:hAnsi="Arial"/>
                <w:sz w:val="18"/>
                <w:szCs w:val="18"/>
                <w:color w:val="auto"/>
              </w:rPr>
              <w:t>—</w:t>
            </w:r>
          </w:p>
        </w:tc>
        <w:tc>
          <w:tcPr>
            <w:tcW w:w="300" w:type="dxa"/>
            <w:vAlign w:val="bottom"/>
            <w:shd w:val="clear" w:color="auto" w:fill="E6E6E6"/>
          </w:tcPr>
          <w:p>
            <w:pPr>
              <w:spacing w:after="0"/>
              <w:rPr>
                <w:sz w:val="17"/>
                <w:szCs w:val="17"/>
                <w:color w:val="auto"/>
              </w:rPr>
            </w:pPr>
          </w:p>
        </w:tc>
        <w:tc>
          <w:tcPr>
            <w:tcW w:w="460" w:type="dxa"/>
            <w:vAlign w:val="bottom"/>
            <w:shd w:val="clear" w:color="auto" w:fill="E6E6E6"/>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E6E6E6"/>
          </w:tcPr>
          <w:p>
            <w:pPr>
              <w:spacing w:after="0"/>
              <w:rPr>
                <w:sz w:val="17"/>
                <w:szCs w:val="17"/>
                <w:color w:val="auto"/>
              </w:rPr>
            </w:pPr>
          </w:p>
        </w:tc>
        <w:tc>
          <w:tcPr>
            <w:tcW w:w="960" w:type="dxa"/>
            <w:vAlign w:val="bottom"/>
            <w:shd w:val="clear" w:color="auto" w:fill="E6E6E6"/>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80" w:type="dxa"/>
            <w:vAlign w:val="bottom"/>
            <w:gridSpan w:val="2"/>
          </w:tcPr>
          <w:p>
            <w:pPr>
              <w:spacing w:after="0" w:line="202" w:lineRule="exact"/>
              <w:rPr>
                <w:sz w:val="20"/>
                <w:szCs w:val="20"/>
                <w:color w:val="auto"/>
              </w:rPr>
            </w:pPr>
            <w:r>
              <w:rPr>
                <w:rFonts w:ascii="Arial" w:cs="Arial" w:eastAsia="Arial" w:hAnsi="Arial"/>
                <w:sz w:val="18"/>
                <w:szCs w:val="18"/>
                <w:color w:val="auto"/>
              </w:rPr>
              <w:t>Stock-based compensation</w:t>
            </w:r>
          </w:p>
        </w:tc>
        <w:tc>
          <w:tcPr>
            <w:tcW w:w="14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620" w:type="dxa"/>
            <w:vAlign w:val="bottom"/>
          </w:tcPr>
          <w:p>
            <w:pPr>
              <w:jc w:val="right"/>
              <w:ind w:right="172"/>
              <w:spacing w:after="0" w:line="202" w:lineRule="exact"/>
              <w:rPr>
                <w:sz w:val="20"/>
                <w:szCs w:val="20"/>
                <w:color w:val="auto"/>
              </w:rPr>
            </w:pPr>
            <w:r>
              <w:rPr>
                <w:rFonts w:ascii="Arial" w:cs="Arial" w:eastAsia="Arial" w:hAnsi="Arial"/>
                <w:sz w:val="18"/>
                <w:szCs w:val="18"/>
                <w:color w:val="auto"/>
              </w:rPr>
              <w:t>—</w:t>
            </w:r>
          </w:p>
        </w:tc>
        <w:tc>
          <w:tcPr>
            <w:tcW w:w="1260" w:type="dxa"/>
            <w:vAlign w:val="bottom"/>
          </w:tcPr>
          <w:p>
            <w:pPr>
              <w:jc w:val="right"/>
              <w:ind w:right="53"/>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46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9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11.6</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760" w:type="dxa"/>
            <w:vAlign w:val="bottom"/>
            <w:shd w:val="clear" w:color="auto" w:fill="E6E6E6"/>
          </w:tcPr>
          <w:p>
            <w:pPr>
              <w:spacing w:after="0" w:line="206" w:lineRule="exact"/>
              <w:rPr>
                <w:sz w:val="20"/>
                <w:szCs w:val="20"/>
                <w:color w:val="auto"/>
              </w:rPr>
            </w:pPr>
            <w:r>
              <w:rPr>
                <w:rFonts w:ascii="Arial" w:cs="Arial" w:eastAsia="Arial" w:hAnsi="Arial"/>
                <w:sz w:val="18"/>
                <w:szCs w:val="18"/>
                <w:color w:val="auto"/>
              </w:rPr>
              <w:t>Proceeds from issuance of common stock pursuant to stock-based</w:t>
            </w:r>
          </w:p>
        </w:tc>
        <w:tc>
          <w:tcPr>
            <w:tcW w:w="1480" w:type="dxa"/>
            <w:vAlign w:val="bottom"/>
            <w:shd w:val="clear" w:color="auto" w:fill="E6E6E6"/>
          </w:tcPr>
          <w:p>
            <w:pPr>
              <w:spacing w:after="0"/>
              <w:rPr>
                <w:sz w:val="17"/>
                <w:szCs w:val="17"/>
                <w:color w:val="auto"/>
              </w:rPr>
            </w:pPr>
          </w:p>
        </w:tc>
        <w:tc>
          <w:tcPr>
            <w:tcW w:w="320" w:type="dxa"/>
            <w:vAlign w:val="bottom"/>
            <w:shd w:val="clear" w:color="auto" w:fill="E6E6E6"/>
          </w:tcPr>
          <w:p>
            <w:pPr>
              <w:spacing w:after="0"/>
              <w:rPr>
                <w:sz w:val="17"/>
                <w:szCs w:val="17"/>
                <w:color w:val="auto"/>
              </w:rPr>
            </w:pPr>
          </w:p>
        </w:tc>
        <w:tc>
          <w:tcPr>
            <w:tcW w:w="620" w:type="dxa"/>
            <w:vAlign w:val="bottom"/>
            <w:shd w:val="clear" w:color="auto" w:fill="E6E6E6"/>
          </w:tcPr>
          <w:p>
            <w:pPr>
              <w:spacing w:after="0"/>
              <w:rPr>
                <w:sz w:val="17"/>
                <w:szCs w:val="17"/>
                <w:color w:val="auto"/>
              </w:rPr>
            </w:pPr>
          </w:p>
        </w:tc>
        <w:tc>
          <w:tcPr>
            <w:tcW w:w="1260" w:type="dxa"/>
            <w:vAlign w:val="bottom"/>
            <w:shd w:val="clear" w:color="auto" w:fill="E6E6E6"/>
          </w:tcPr>
          <w:p>
            <w:pPr>
              <w:spacing w:after="0"/>
              <w:rPr>
                <w:sz w:val="17"/>
                <w:szCs w:val="17"/>
                <w:color w:val="auto"/>
              </w:rPr>
            </w:pPr>
          </w:p>
        </w:tc>
        <w:tc>
          <w:tcPr>
            <w:tcW w:w="300" w:type="dxa"/>
            <w:vAlign w:val="bottom"/>
            <w:shd w:val="clear" w:color="auto" w:fill="E6E6E6"/>
          </w:tcPr>
          <w:p>
            <w:pPr>
              <w:spacing w:after="0"/>
              <w:rPr>
                <w:sz w:val="17"/>
                <w:szCs w:val="17"/>
                <w:color w:val="auto"/>
              </w:rPr>
            </w:pPr>
          </w:p>
        </w:tc>
        <w:tc>
          <w:tcPr>
            <w:tcW w:w="460" w:type="dxa"/>
            <w:vAlign w:val="bottom"/>
            <w:shd w:val="clear" w:color="auto" w:fill="E6E6E6"/>
          </w:tcPr>
          <w:p>
            <w:pPr>
              <w:spacing w:after="0"/>
              <w:rPr>
                <w:sz w:val="17"/>
                <w:szCs w:val="17"/>
                <w:color w:val="auto"/>
              </w:rPr>
            </w:pPr>
          </w:p>
        </w:tc>
        <w:tc>
          <w:tcPr>
            <w:tcW w:w="240" w:type="dxa"/>
            <w:vAlign w:val="bottom"/>
            <w:shd w:val="clear" w:color="auto" w:fill="E6E6E6"/>
          </w:tcPr>
          <w:p>
            <w:pPr>
              <w:spacing w:after="0"/>
              <w:rPr>
                <w:sz w:val="17"/>
                <w:szCs w:val="17"/>
                <w:color w:val="auto"/>
              </w:rPr>
            </w:pPr>
          </w:p>
        </w:tc>
        <w:tc>
          <w:tcPr>
            <w:tcW w:w="960" w:type="dxa"/>
            <w:vAlign w:val="bottom"/>
            <w:shd w:val="clear" w:color="auto" w:fill="E6E6E6"/>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760" w:type="dxa"/>
            <w:vAlign w:val="bottom"/>
            <w:shd w:val="clear" w:color="auto" w:fill="E6E6E6"/>
          </w:tcPr>
          <w:p>
            <w:pPr>
              <w:ind w:left="140"/>
              <w:spacing w:after="0" w:line="200" w:lineRule="exact"/>
              <w:rPr>
                <w:sz w:val="20"/>
                <w:szCs w:val="20"/>
                <w:color w:val="auto"/>
              </w:rPr>
            </w:pPr>
            <w:r>
              <w:rPr>
                <w:rFonts w:ascii="Arial" w:cs="Arial" w:eastAsia="Arial" w:hAnsi="Arial"/>
                <w:sz w:val="18"/>
                <w:szCs w:val="18"/>
                <w:color w:val="auto"/>
              </w:rPr>
              <w:t>compensation</w:t>
            </w:r>
          </w:p>
        </w:tc>
        <w:tc>
          <w:tcPr>
            <w:tcW w:w="1480" w:type="dxa"/>
            <w:vAlign w:val="bottom"/>
            <w:shd w:val="clear" w:color="auto" w:fill="E6E6E6"/>
          </w:tcPr>
          <w:p>
            <w:pPr>
              <w:jc w:val="right"/>
              <w:ind w:right="13"/>
              <w:spacing w:after="0" w:line="200" w:lineRule="exact"/>
              <w:rPr>
                <w:sz w:val="20"/>
                <w:szCs w:val="20"/>
                <w:color w:val="auto"/>
              </w:rPr>
            </w:pPr>
            <w:r>
              <w:rPr>
                <w:rFonts w:ascii="Arial" w:cs="Arial" w:eastAsia="Arial" w:hAnsi="Arial"/>
                <w:sz w:val="18"/>
                <w:szCs w:val="18"/>
                <w:color w:val="auto"/>
              </w:rPr>
              <w:t>—</w:t>
            </w:r>
          </w:p>
        </w:tc>
        <w:tc>
          <w:tcPr>
            <w:tcW w:w="320" w:type="dxa"/>
            <w:vAlign w:val="bottom"/>
            <w:shd w:val="clear" w:color="auto" w:fill="E6E6E6"/>
          </w:tcPr>
          <w:p>
            <w:pPr>
              <w:spacing w:after="0"/>
              <w:rPr>
                <w:sz w:val="17"/>
                <w:szCs w:val="17"/>
                <w:color w:val="auto"/>
              </w:rPr>
            </w:pPr>
          </w:p>
        </w:tc>
        <w:tc>
          <w:tcPr>
            <w:tcW w:w="620" w:type="dxa"/>
            <w:vAlign w:val="bottom"/>
            <w:shd w:val="clear" w:color="auto" w:fill="E6E6E6"/>
          </w:tcPr>
          <w:p>
            <w:pPr>
              <w:jc w:val="right"/>
              <w:ind w:right="172"/>
              <w:spacing w:after="0" w:line="200" w:lineRule="exact"/>
              <w:rPr>
                <w:sz w:val="20"/>
                <w:szCs w:val="20"/>
                <w:color w:val="auto"/>
              </w:rPr>
            </w:pPr>
            <w:r>
              <w:rPr>
                <w:rFonts w:ascii="Arial" w:cs="Arial" w:eastAsia="Arial" w:hAnsi="Arial"/>
                <w:sz w:val="18"/>
                <w:szCs w:val="18"/>
                <w:color w:val="auto"/>
              </w:rPr>
              <w:t>—</w:t>
            </w:r>
          </w:p>
        </w:tc>
        <w:tc>
          <w:tcPr>
            <w:tcW w:w="1260" w:type="dxa"/>
            <w:vAlign w:val="bottom"/>
            <w:shd w:val="clear" w:color="auto" w:fill="E6E6E6"/>
          </w:tcPr>
          <w:p>
            <w:pPr>
              <w:jc w:val="right"/>
              <w:ind w:right="53"/>
              <w:spacing w:after="0" w:line="200" w:lineRule="exact"/>
              <w:rPr>
                <w:sz w:val="20"/>
                <w:szCs w:val="20"/>
                <w:color w:val="auto"/>
              </w:rPr>
            </w:pPr>
            <w:r>
              <w:rPr>
                <w:rFonts w:ascii="Arial" w:cs="Arial" w:eastAsia="Arial" w:hAnsi="Arial"/>
                <w:sz w:val="18"/>
                <w:szCs w:val="18"/>
                <w:color w:val="auto"/>
              </w:rPr>
              <w:t>234,446</w:t>
            </w:r>
          </w:p>
        </w:tc>
        <w:tc>
          <w:tcPr>
            <w:tcW w:w="300" w:type="dxa"/>
            <w:vAlign w:val="bottom"/>
            <w:shd w:val="clear" w:color="auto" w:fill="E6E6E6"/>
          </w:tcPr>
          <w:p>
            <w:pPr>
              <w:spacing w:after="0"/>
              <w:rPr>
                <w:sz w:val="17"/>
                <w:szCs w:val="17"/>
                <w:color w:val="auto"/>
              </w:rPr>
            </w:pPr>
          </w:p>
        </w:tc>
        <w:tc>
          <w:tcPr>
            <w:tcW w:w="460" w:type="dxa"/>
            <w:vAlign w:val="bottom"/>
            <w:shd w:val="clear" w:color="auto" w:fill="E6E6E6"/>
          </w:tcPr>
          <w:p>
            <w:pPr>
              <w:jc w:val="right"/>
              <w:ind w:right="12"/>
              <w:spacing w:after="0" w:line="200" w:lineRule="exact"/>
              <w:rPr>
                <w:sz w:val="20"/>
                <w:szCs w:val="20"/>
                <w:color w:val="auto"/>
              </w:rPr>
            </w:pPr>
            <w:r>
              <w:rPr>
                <w:rFonts w:ascii="Arial" w:cs="Arial" w:eastAsia="Arial" w:hAnsi="Arial"/>
                <w:sz w:val="18"/>
                <w:szCs w:val="18"/>
                <w:color w:val="auto"/>
              </w:rPr>
              <w:t>—</w:t>
            </w:r>
          </w:p>
        </w:tc>
        <w:tc>
          <w:tcPr>
            <w:tcW w:w="240" w:type="dxa"/>
            <w:vAlign w:val="bottom"/>
            <w:shd w:val="clear" w:color="auto" w:fill="E6E6E6"/>
          </w:tcPr>
          <w:p>
            <w:pPr>
              <w:spacing w:after="0"/>
              <w:rPr>
                <w:sz w:val="17"/>
                <w:szCs w:val="17"/>
                <w:color w:val="auto"/>
              </w:rPr>
            </w:pPr>
          </w:p>
        </w:tc>
        <w:tc>
          <w:tcPr>
            <w:tcW w:w="960" w:type="dxa"/>
            <w:vAlign w:val="bottom"/>
            <w:shd w:val="clear" w:color="auto" w:fill="E6E6E6"/>
          </w:tcPr>
          <w:p>
            <w:pPr>
              <w:jc w:val="right"/>
              <w:ind w:right="34"/>
              <w:spacing w:after="0" w:line="200" w:lineRule="exact"/>
              <w:rPr>
                <w:sz w:val="20"/>
                <w:szCs w:val="20"/>
                <w:color w:val="auto"/>
              </w:rPr>
            </w:pPr>
            <w:r>
              <w:rPr>
                <w:rFonts w:ascii="Arial" w:cs="Arial" w:eastAsia="Arial" w:hAnsi="Arial"/>
                <w:sz w:val="18"/>
                <w:szCs w:val="18"/>
                <w:color w:val="auto"/>
              </w:rPr>
              <w:t>2.2</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80" w:type="dxa"/>
            <w:vAlign w:val="bottom"/>
            <w:gridSpan w:val="2"/>
          </w:tcPr>
          <w:p>
            <w:pPr>
              <w:spacing w:after="0" w:line="202" w:lineRule="exact"/>
              <w:rPr>
                <w:sz w:val="20"/>
                <w:szCs w:val="20"/>
                <w:color w:val="auto"/>
              </w:rPr>
            </w:pPr>
            <w:r>
              <w:rPr>
                <w:rFonts w:ascii="Arial" w:cs="Arial" w:eastAsia="Arial" w:hAnsi="Arial"/>
                <w:sz w:val="18"/>
                <w:szCs w:val="18"/>
                <w:color w:val="auto"/>
              </w:rPr>
              <w:t>Purchases of treasury stock at cost</w:t>
            </w:r>
          </w:p>
        </w:tc>
        <w:tc>
          <w:tcPr>
            <w:tcW w:w="14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620" w:type="dxa"/>
            <w:vAlign w:val="bottom"/>
          </w:tcPr>
          <w:p>
            <w:pPr>
              <w:jc w:val="right"/>
              <w:ind w:right="172"/>
              <w:spacing w:after="0" w:line="202" w:lineRule="exact"/>
              <w:rPr>
                <w:sz w:val="20"/>
                <w:szCs w:val="20"/>
                <w:color w:val="auto"/>
              </w:rPr>
            </w:pPr>
            <w:r>
              <w:rPr>
                <w:rFonts w:ascii="Arial" w:cs="Arial" w:eastAsia="Arial" w:hAnsi="Arial"/>
                <w:sz w:val="18"/>
                <w:szCs w:val="18"/>
                <w:color w:val="auto"/>
              </w:rPr>
              <w:t>—</w:t>
            </w: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(1,938,689)</w:t>
            </w:r>
          </w:p>
        </w:tc>
        <w:tc>
          <w:tcPr>
            <w:tcW w:w="300" w:type="dxa"/>
            <w:vAlign w:val="bottom"/>
          </w:tcPr>
          <w:p>
            <w:pPr>
              <w:spacing w:after="0"/>
              <w:rPr>
                <w:sz w:val="17"/>
                <w:szCs w:val="17"/>
                <w:color w:val="auto"/>
              </w:rPr>
            </w:pPr>
          </w:p>
        </w:tc>
        <w:tc>
          <w:tcPr>
            <w:tcW w:w="46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9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6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Dividends</w:t>
            </w:r>
          </w:p>
        </w:tc>
        <w:tc>
          <w:tcPr>
            <w:tcW w:w="1480" w:type="dxa"/>
            <w:vAlign w:val="bottom"/>
            <w:shd w:val="clear" w:color="auto" w:fill="E6E6E6"/>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320" w:type="dxa"/>
            <w:vAlign w:val="bottom"/>
            <w:shd w:val="clear" w:color="auto" w:fill="E6E6E6"/>
          </w:tcPr>
          <w:p>
            <w:pPr>
              <w:spacing w:after="0"/>
              <w:rPr>
                <w:sz w:val="17"/>
                <w:szCs w:val="17"/>
                <w:color w:val="auto"/>
              </w:rPr>
            </w:pPr>
          </w:p>
        </w:tc>
        <w:tc>
          <w:tcPr>
            <w:tcW w:w="620" w:type="dxa"/>
            <w:vAlign w:val="bottom"/>
            <w:shd w:val="clear" w:color="auto" w:fill="E6E6E6"/>
          </w:tcPr>
          <w:p>
            <w:pPr>
              <w:jc w:val="right"/>
              <w:ind w:right="172"/>
              <w:spacing w:after="0" w:line="202" w:lineRule="exact"/>
              <w:rPr>
                <w:sz w:val="20"/>
                <w:szCs w:val="20"/>
                <w:color w:val="auto"/>
              </w:rPr>
            </w:pPr>
            <w:r>
              <w:rPr>
                <w:rFonts w:ascii="Arial" w:cs="Arial" w:eastAsia="Arial" w:hAnsi="Arial"/>
                <w:sz w:val="18"/>
                <w:szCs w:val="18"/>
                <w:color w:val="auto"/>
              </w:rPr>
              <w:t>—</w:t>
            </w:r>
          </w:p>
        </w:tc>
        <w:tc>
          <w:tcPr>
            <w:tcW w:w="1260" w:type="dxa"/>
            <w:vAlign w:val="bottom"/>
            <w:shd w:val="clear" w:color="auto" w:fill="E6E6E6"/>
          </w:tcPr>
          <w:p>
            <w:pPr>
              <w:jc w:val="right"/>
              <w:ind w:right="53"/>
              <w:spacing w:after="0" w:line="202" w:lineRule="exact"/>
              <w:rPr>
                <w:sz w:val="20"/>
                <w:szCs w:val="20"/>
                <w:color w:val="auto"/>
              </w:rPr>
            </w:pPr>
            <w:r>
              <w:rPr>
                <w:rFonts w:ascii="Arial" w:cs="Arial" w:eastAsia="Arial" w:hAnsi="Arial"/>
                <w:sz w:val="18"/>
                <w:szCs w:val="18"/>
                <w:color w:val="auto"/>
              </w:rPr>
              <w:t>—</w:t>
            </w:r>
          </w:p>
        </w:tc>
        <w:tc>
          <w:tcPr>
            <w:tcW w:w="300" w:type="dxa"/>
            <w:vAlign w:val="bottom"/>
            <w:shd w:val="clear" w:color="auto" w:fill="E6E6E6"/>
          </w:tcPr>
          <w:p>
            <w:pPr>
              <w:spacing w:after="0"/>
              <w:rPr>
                <w:sz w:val="17"/>
                <w:szCs w:val="17"/>
                <w:color w:val="auto"/>
              </w:rPr>
            </w:pPr>
          </w:p>
        </w:tc>
        <w:tc>
          <w:tcPr>
            <w:tcW w:w="460" w:type="dxa"/>
            <w:vAlign w:val="bottom"/>
            <w:shd w:val="clear" w:color="auto" w:fill="E6E6E6"/>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E6E6E6"/>
          </w:tcPr>
          <w:p>
            <w:pPr>
              <w:spacing w:after="0"/>
              <w:rPr>
                <w:sz w:val="17"/>
                <w:szCs w:val="17"/>
                <w:color w:val="auto"/>
              </w:rPr>
            </w:pPr>
          </w:p>
        </w:tc>
        <w:tc>
          <w:tcPr>
            <w:tcW w:w="960" w:type="dxa"/>
            <w:vAlign w:val="bottom"/>
            <w:shd w:val="clear" w:color="auto" w:fill="E6E6E6"/>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760" w:type="dxa"/>
            <w:vAlign w:val="bottom"/>
            <w:tcBorders>
              <w:bottom w:val="single" w:sz="8" w:color="808080"/>
            </w:tcBorders>
          </w:tcPr>
          <w:p>
            <w:pPr>
              <w:spacing w:after="0"/>
              <w:rPr>
                <w:sz w:val="9"/>
                <w:szCs w:val="9"/>
                <w:color w:val="auto"/>
              </w:rPr>
            </w:pPr>
          </w:p>
        </w:tc>
        <w:tc>
          <w:tcPr>
            <w:tcW w:w="148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4"/>
        </w:trPr>
        <w:tc>
          <w:tcPr>
            <w:tcW w:w="5780" w:type="dxa"/>
            <w:vAlign w:val="bottom"/>
            <w:gridSpan w:val="2"/>
          </w:tcPr>
          <w:p>
            <w:pPr>
              <w:spacing w:after="0"/>
              <w:rPr>
                <w:sz w:val="20"/>
                <w:szCs w:val="20"/>
                <w:color w:val="auto"/>
              </w:rPr>
            </w:pPr>
            <w:r>
              <w:rPr>
                <w:rFonts w:ascii="Arial" w:cs="Arial" w:eastAsia="Arial" w:hAnsi="Arial"/>
                <w:sz w:val="18"/>
                <w:szCs w:val="18"/>
                <w:b w:val="1"/>
                <w:bCs w:val="1"/>
                <w:color w:val="auto"/>
              </w:rPr>
              <w:t>Balance at May 31, 2009</w:t>
            </w:r>
          </w:p>
        </w:tc>
        <w:tc>
          <w:tcPr>
            <w:tcW w:w="1480" w:type="dxa"/>
            <w:vAlign w:val="bottom"/>
          </w:tcPr>
          <w:p>
            <w:pPr>
              <w:jc w:val="right"/>
              <w:ind w:right="13"/>
              <w:spacing w:after="0"/>
              <w:rPr>
                <w:sz w:val="20"/>
                <w:szCs w:val="20"/>
                <w:color w:val="auto"/>
              </w:rPr>
            </w:pPr>
            <w:r>
              <w:rPr>
                <w:rFonts w:ascii="Arial" w:cs="Arial" w:eastAsia="Arial" w:hAnsi="Arial"/>
                <w:sz w:val="18"/>
                <w:szCs w:val="18"/>
                <w:b w:val="1"/>
                <w:bCs w:val="1"/>
                <w:color w:val="auto"/>
              </w:rPr>
              <w:t>1,656,200</w:t>
            </w:r>
          </w:p>
        </w:tc>
        <w:tc>
          <w:tcPr>
            <w:tcW w:w="320" w:type="dxa"/>
            <w:vAlign w:val="bottom"/>
          </w:tcPr>
          <w:p>
            <w:pPr>
              <w:jc w:val="right"/>
              <w:ind w:right="36"/>
              <w:spacing w:after="0"/>
              <w:rPr>
                <w:sz w:val="20"/>
                <w:szCs w:val="20"/>
                <w:color w:val="auto"/>
              </w:rPr>
            </w:pPr>
            <w:r>
              <w:rPr>
                <w:rFonts w:ascii="Arial" w:cs="Arial" w:eastAsia="Arial" w:hAnsi="Arial"/>
                <w:sz w:val="18"/>
                <w:szCs w:val="18"/>
                <w:b w:val="1"/>
                <w:bCs w:val="1"/>
                <w:color w:val="auto"/>
              </w:rPr>
              <w:t>$</w:t>
            </w:r>
          </w:p>
        </w:tc>
        <w:tc>
          <w:tcPr>
            <w:tcW w:w="620" w:type="dxa"/>
            <w:vAlign w:val="bottom"/>
          </w:tcPr>
          <w:p>
            <w:pPr>
              <w:jc w:val="right"/>
              <w:ind w:right="172"/>
              <w:spacing w:after="0"/>
              <w:rPr>
                <w:sz w:val="20"/>
                <w:szCs w:val="20"/>
                <w:color w:val="auto"/>
              </w:rPr>
            </w:pPr>
            <w:r>
              <w:rPr>
                <w:rFonts w:ascii="Arial" w:cs="Arial" w:eastAsia="Arial" w:hAnsi="Arial"/>
                <w:sz w:val="18"/>
                <w:szCs w:val="18"/>
                <w:b w:val="1"/>
                <w:bCs w:val="1"/>
                <w:color w:val="auto"/>
              </w:rPr>
              <w:t>0.0</w:t>
            </w:r>
          </w:p>
        </w:tc>
        <w:tc>
          <w:tcPr>
            <w:tcW w:w="1260" w:type="dxa"/>
            <w:vAlign w:val="bottom"/>
          </w:tcPr>
          <w:p>
            <w:pPr>
              <w:jc w:val="right"/>
              <w:ind w:right="53"/>
              <w:spacing w:after="0"/>
              <w:rPr>
                <w:sz w:val="20"/>
                <w:szCs w:val="20"/>
                <w:color w:val="auto"/>
              </w:rPr>
            </w:pPr>
            <w:r>
              <w:rPr>
                <w:rFonts w:ascii="Arial" w:cs="Arial" w:eastAsia="Arial" w:hAnsi="Arial"/>
                <w:sz w:val="18"/>
                <w:szCs w:val="18"/>
                <w:b w:val="1"/>
                <w:bCs w:val="1"/>
                <w:color w:val="auto"/>
              </w:rPr>
              <w:t>34,740,275</w:t>
            </w:r>
          </w:p>
        </w:tc>
        <w:tc>
          <w:tcPr>
            <w:tcW w:w="300" w:type="dxa"/>
            <w:vAlign w:val="bottom"/>
          </w:tcPr>
          <w:p>
            <w:pPr>
              <w:jc w:val="right"/>
              <w:ind w:right="36"/>
              <w:spacing w:after="0"/>
              <w:rPr>
                <w:sz w:val="20"/>
                <w:szCs w:val="20"/>
                <w:color w:val="auto"/>
              </w:rPr>
            </w:pPr>
            <w:r>
              <w:rPr>
                <w:rFonts w:ascii="Arial" w:cs="Arial" w:eastAsia="Arial" w:hAnsi="Arial"/>
                <w:sz w:val="18"/>
                <w:szCs w:val="18"/>
                <w:b w:val="1"/>
                <w:bCs w:val="1"/>
                <w:color w:val="auto"/>
              </w:rPr>
              <w:t>$</w:t>
            </w:r>
          </w:p>
        </w:tc>
        <w:tc>
          <w:tcPr>
            <w:tcW w:w="460" w:type="dxa"/>
            <w:vAlign w:val="bottom"/>
          </w:tcPr>
          <w:p>
            <w:pPr>
              <w:jc w:val="right"/>
              <w:ind w:right="12"/>
              <w:spacing w:after="0"/>
              <w:rPr>
                <w:sz w:val="20"/>
                <w:szCs w:val="20"/>
                <w:color w:val="auto"/>
              </w:rPr>
            </w:pPr>
            <w:r>
              <w:rPr>
                <w:rFonts w:ascii="Arial" w:cs="Arial" w:eastAsia="Arial" w:hAnsi="Arial"/>
                <w:sz w:val="18"/>
                <w:szCs w:val="18"/>
                <w:b w:val="1"/>
                <w:bCs w:val="1"/>
                <w:color w:val="auto"/>
              </w:rPr>
              <w:t>0.4</w:t>
            </w:r>
          </w:p>
        </w:tc>
        <w:tc>
          <w:tcPr>
            <w:tcW w:w="2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ind w:right="34"/>
              <w:spacing w:after="0"/>
              <w:rPr>
                <w:sz w:val="20"/>
                <w:szCs w:val="20"/>
                <w:color w:val="auto"/>
              </w:rPr>
            </w:pPr>
            <w:r>
              <w:rPr>
                <w:rFonts w:ascii="Arial" w:cs="Arial" w:eastAsia="Arial" w:hAnsi="Arial"/>
                <w:sz w:val="18"/>
                <w:szCs w:val="18"/>
                <w:b w:val="1"/>
                <w:bCs w:val="1"/>
                <w:color w:val="auto"/>
              </w:rPr>
              <w:t>552.9</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6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Comprehensive income:</w:t>
            </w:r>
          </w:p>
        </w:tc>
        <w:tc>
          <w:tcPr>
            <w:tcW w:w="1480" w:type="dxa"/>
            <w:vAlign w:val="bottom"/>
            <w:shd w:val="clear" w:color="auto" w:fill="E6E6E6"/>
          </w:tcPr>
          <w:p>
            <w:pPr>
              <w:spacing w:after="0"/>
              <w:rPr>
                <w:sz w:val="17"/>
                <w:szCs w:val="17"/>
                <w:color w:val="auto"/>
              </w:rPr>
            </w:pPr>
          </w:p>
        </w:tc>
        <w:tc>
          <w:tcPr>
            <w:tcW w:w="320" w:type="dxa"/>
            <w:vAlign w:val="bottom"/>
            <w:shd w:val="clear" w:color="auto" w:fill="E6E6E6"/>
          </w:tcPr>
          <w:p>
            <w:pPr>
              <w:spacing w:after="0"/>
              <w:rPr>
                <w:sz w:val="17"/>
                <w:szCs w:val="17"/>
                <w:color w:val="auto"/>
              </w:rPr>
            </w:pPr>
          </w:p>
        </w:tc>
        <w:tc>
          <w:tcPr>
            <w:tcW w:w="620" w:type="dxa"/>
            <w:vAlign w:val="bottom"/>
            <w:shd w:val="clear" w:color="auto" w:fill="E6E6E6"/>
          </w:tcPr>
          <w:p>
            <w:pPr>
              <w:spacing w:after="0"/>
              <w:rPr>
                <w:sz w:val="17"/>
                <w:szCs w:val="17"/>
                <w:color w:val="auto"/>
              </w:rPr>
            </w:pPr>
          </w:p>
        </w:tc>
        <w:tc>
          <w:tcPr>
            <w:tcW w:w="1260" w:type="dxa"/>
            <w:vAlign w:val="bottom"/>
            <w:shd w:val="clear" w:color="auto" w:fill="E6E6E6"/>
          </w:tcPr>
          <w:p>
            <w:pPr>
              <w:spacing w:after="0"/>
              <w:rPr>
                <w:sz w:val="17"/>
                <w:szCs w:val="17"/>
                <w:color w:val="auto"/>
              </w:rPr>
            </w:pPr>
          </w:p>
        </w:tc>
        <w:tc>
          <w:tcPr>
            <w:tcW w:w="300" w:type="dxa"/>
            <w:vAlign w:val="bottom"/>
            <w:shd w:val="clear" w:color="auto" w:fill="E6E6E6"/>
          </w:tcPr>
          <w:p>
            <w:pPr>
              <w:spacing w:after="0"/>
              <w:rPr>
                <w:sz w:val="17"/>
                <w:szCs w:val="17"/>
                <w:color w:val="auto"/>
              </w:rPr>
            </w:pPr>
          </w:p>
        </w:tc>
        <w:tc>
          <w:tcPr>
            <w:tcW w:w="460" w:type="dxa"/>
            <w:vAlign w:val="bottom"/>
            <w:shd w:val="clear" w:color="auto" w:fill="E6E6E6"/>
          </w:tcPr>
          <w:p>
            <w:pPr>
              <w:spacing w:after="0"/>
              <w:rPr>
                <w:sz w:val="17"/>
                <w:szCs w:val="17"/>
                <w:color w:val="auto"/>
              </w:rPr>
            </w:pPr>
          </w:p>
        </w:tc>
        <w:tc>
          <w:tcPr>
            <w:tcW w:w="240" w:type="dxa"/>
            <w:vAlign w:val="bottom"/>
            <w:shd w:val="clear" w:color="auto" w:fill="E6E6E6"/>
          </w:tcPr>
          <w:p>
            <w:pPr>
              <w:spacing w:after="0"/>
              <w:rPr>
                <w:sz w:val="17"/>
                <w:szCs w:val="17"/>
                <w:color w:val="auto"/>
              </w:rPr>
            </w:pPr>
          </w:p>
        </w:tc>
        <w:tc>
          <w:tcPr>
            <w:tcW w:w="960" w:type="dxa"/>
            <w:vAlign w:val="bottom"/>
            <w:shd w:val="clear" w:color="auto" w:fill="E6E6E6"/>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60" w:type="dxa"/>
            <w:vAlign w:val="bottom"/>
          </w:tcPr>
          <w:p>
            <w:pPr>
              <w:ind w:left="140"/>
              <w:spacing w:after="0" w:line="202" w:lineRule="exact"/>
              <w:rPr>
                <w:sz w:val="20"/>
                <w:szCs w:val="20"/>
                <w:color w:val="auto"/>
              </w:rPr>
            </w:pPr>
            <w:r>
              <w:rPr>
                <w:rFonts w:ascii="Arial" w:cs="Arial" w:eastAsia="Arial" w:hAnsi="Arial"/>
                <w:sz w:val="18"/>
                <w:szCs w:val="18"/>
                <w:color w:val="auto"/>
              </w:rPr>
              <w:t>Net Income</w:t>
            </w:r>
          </w:p>
        </w:tc>
        <w:tc>
          <w:tcPr>
            <w:tcW w:w="14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620" w:type="dxa"/>
            <w:vAlign w:val="bottom"/>
          </w:tcPr>
          <w:p>
            <w:pPr>
              <w:jc w:val="right"/>
              <w:ind w:right="172"/>
              <w:spacing w:after="0" w:line="202" w:lineRule="exact"/>
              <w:rPr>
                <w:sz w:val="20"/>
                <w:szCs w:val="20"/>
                <w:color w:val="auto"/>
              </w:rPr>
            </w:pPr>
            <w:r>
              <w:rPr>
                <w:rFonts w:ascii="Arial" w:cs="Arial" w:eastAsia="Arial" w:hAnsi="Arial"/>
                <w:sz w:val="18"/>
                <w:szCs w:val="18"/>
                <w:color w:val="auto"/>
              </w:rPr>
              <w:t>—</w:t>
            </w:r>
          </w:p>
        </w:tc>
        <w:tc>
          <w:tcPr>
            <w:tcW w:w="1260" w:type="dxa"/>
            <w:vAlign w:val="bottom"/>
          </w:tcPr>
          <w:p>
            <w:pPr>
              <w:jc w:val="right"/>
              <w:ind w:right="53"/>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46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9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60" w:type="dxa"/>
            <w:vAlign w:val="bottom"/>
            <w:shd w:val="clear" w:color="auto" w:fill="E6E6E6"/>
          </w:tcPr>
          <w:p>
            <w:pPr>
              <w:ind w:left="140"/>
              <w:spacing w:after="0" w:line="202" w:lineRule="exact"/>
              <w:rPr>
                <w:sz w:val="20"/>
                <w:szCs w:val="20"/>
                <w:color w:val="auto"/>
              </w:rPr>
            </w:pPr>
            <w:r>
              <w:rPr>
                <w:rFonts w:ascii="Arial" w:cs="Arial" w:eastAsia="Arial" w:hAnsi="Arial"/>
                <w:sz w:val="18"/>
                <w:szCs w:val="18"/>
                <w:color w:val="auto"/>
              </w:rPr>
              <w:t>Other comprehensive income (loss), net:</w:t>
            </w:r>
          </w:p>
        </w:tc>
        <w:tc>
          <w:tcPr>
            <w:tcW w:w="1480" w:type="dxa"/>
            <w:vAlign w:val="bottom"/>
            <w:shd w:val="clear" w:color="auto" w:fill="E6E6E6"/>
          </w:tcPr>
          <w:p>
            <w:pPr>
              <w:spacing w:after="0"/>
              <w:rPr>
                <w:sz w:val="17"/>
                <w:szCs w:val="17"/>
                <w:color w:val="auto"/>
              </w:rPr>
            </w:pPr>
          </w:p>
        </w:tc>
        <w:tc>
          <w:tcPr>
            <w:tcW w:w="320" w:type="dxa"/>
            <w:vAlign w:val="bottom"/>
            <w:shd w:val="clear" w:color="auto" w:fill="E6E6E6"/>
          </w:tcPr>
          <w:p>
            <w:pPr>
              <w:spacing w:after="0"/>
              <w:rPr>
                <w:sz w:val="17"/>
                <w:szCs w:val="17"/>
                <w:color w:val="auto"/>
              </w:rPr>
            </w:pPr>
          </w:p>
        </w:tc>
        <w:tc>
          <w:tcPr>
            <w:tcW w:w="620" w:type="dxa"/>
            <w:vAlign w:val="bottom"/>
            <w:shd w:val="clear" w:color="auto" w:fill="E6E6E6"/>
          </w:tcPr>
          <w:p>
            <w:pPr>
              <w:spacing w:after="0"/>
              <w:rPr>
                <w:sz w:val="17"/>
                <w:szCs w:val="17"/>
                <w:color w:val="auto"/>
              </w:rPr>
            </w:pPr>
          </w:p>
        </w:tc>
        <w:tc>
          <w:tcPr>
            <w:tcW w:w="1260" w:type="dxa"/>
            <w:vAlign w:val="bottom"/>
            <w:shd w:val="clear" w:color="auto" w:fill="E6E6E6"/>
          </w:tcPr>
          <w:p>
            <w:pPr>
              <w:spacing w:after="0"/>
              <w:rPr>
                <w:sz w:val="17"/>
                <w:szCs w:val="17"/>
                <w:color w:val="auto"/>
              </w:rPr>
            </w:pPr>
          </w:p>
        </w:tc>
        <w:tc>
          <w:tcPr>
            <w:tcW w:w="300" w:type="dxa"/>
            <w:vAlign w:val="bottom"/>
            <w:shd w:val="clear" w:color="auto" w:fill="E6E6E6"/>
          </w:tcPr>
          <w:p>
            <w:pPr>
              <w:spacing w:after="0"/>
              <w:rPr>
                <w:sz w:val="17"/>
                <w:szCs w:val="17"/>
                <w:color w:val="auto"/>
              </w:rPr>
            </w:pPr>
          </w:p>
        </w:tc>
        <w:tc>
          <w:tcPr>
            <w:tcW w:w="460" w:type="dxa"/>
            <w:vAlign w:val="bottom"/>
            <w:shd w:val="clear" w:color="auto" w:fill="E6E6E6"/>
          </w:tcPr>
          <w:p>
            <w:pPr>
              <w:spacing w:after="0"/>
              <w:rPr>
                <w:sz w:val="17"/>
                <w:szCs w:val="17"/>
                <w:color w:val="auto"/>
              </w:rPr>
            </w:pPr>
          </w:p>
        </w:tc>
        <w:tc>
          <w:tcPr>
            <w:tcW w:w="240" w:type="dxa"/>
            <w:vAlign w:val="bottom"/>
            <w:shd w:val="clear" w:color="auto" w:fill="E6E6E6"/>
          </w:tcPr>
          <w:p>
            <w:pPr>
              <w:spacing w:after="0"/>
              <w:rPr>
                <w:sz w:val="17"/>
                <w:szCs w:val="17"/>
                <w:color w:val="auto"/>
              </w:rPr>
            </w:pPr>
          </w:p>
        </w:tc>
        <w:tc>
          <w:tcPr>
            <w:tcW w:w="960" w:type="dxa"/>
            <w:vAlign w:val="bottom"/>
            <w:shd w:val="clear" w:color="auto" w:fill="E6E6E6"/>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60" w:type="dxa"/>
            <w:vAlign w:val="bottom"/>
          </w:tcPr>
          <w:p>
            <w:pPr>
              <w:ind w:left="300"/>
              <w:spacing w:after="0" w:line="202" w:lineRule="exact"/>
              <w:rPr>
                <w:sz w:val="20"/>
                <w:szCs w:val="20"/>
                <w:color w:val="auto"/>
              </w:rPr>
            </w:pPr>
            <w:r>
              <w:rPr>
                <w:rFonts w:ascii="Arial" w:cs="Arial" w:eastAsia="Arial" w:hAnsi="Arial"/>
                <w:sz w:val="18"/>
                <w:szCs w:val="18"/>
                <w:color w:val="auto"/>
              </w:rPr>
              <w:t>Foreign currency translation adjustment</w:t>
            </w:r>
          </w:p>
        </w:tc>
        <w:tc>
          <w:tcPr>
            <w:tcW w:w="14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620" w:type="dxa"/>
            <w:vAlign w:val="bottom"/>
          </w:tcPr>
          <w:p>
            <w:pPr>
              <w:jc w:val="right"/>
              <w:ind w:right="172"/>
              <w:spacing w:after="0" w:line="202" w:lineRule="exact"/>
              <w:rPr>
                <w:sz w:val="20"/>
                <w:szCs w:val="20"/>
                <w:color w:val="auto"/>
              </w:rPr>
            </w:pPr>
            <w:r>
              <w:rPr>
                <w:rFonts w:ascii="Arial" w:cs="Arial" w:eastAsia="Arial" w:hAnsi="Arial"/>
                <w:sz w:val="18"/>
                <w:szCs w:val="18"/>
                <w:color w:val="auto"/>
              </w:rPr>
              <w:t>—</w:t>
            </w:r>
          </w:p>
        </w:tc>
        <w:tc>
          <w:tcPr>
            <w:tcW w:w="1260" w:type="dxa"/>
            <w:vAlign w:val="bottom"/>
          </w:tcPr>
          <w:p>
            <w:pPr>
              <w:jc w:val="right"/>
              <w:ind w:right="53"/>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46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9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60" w:type="dxa"/>
            <w:vAlign w:val="bottom"/>
            <w:shd w:val="clear" w:color="auto" w:fill="E6E6E6"/>
          </w:tcPr>
          <w:p>
            <w:pPr>
              <w:ind w:left="300"/>
              <w:spacing w:after="0" w:line="202" w:lineRule="exact"/>
              <w:rPr>
                <w:sz w:val="20"/>
                <w:szCs w:val="20"/>
                <w:color w:val="auto"/>
              </w:rPr>
            </w:pPr>
            <w:r>
              <w:rPr>
                <w:rFonts w:ascii="Arial" w:cs="Arial" w:eastAsia="Arial" w:hAnsi="Arial"/>
                <w:sz w:val="18"/>
                <w:szCs w:val="18"/>
                <w:color w:val="auto"/>
              </w:rPr>
              <w:t>Pension and postretirement adjustments (net of tax of ($9.1))</w:t>
            </w:r>
          </w:p>
        </w:tc>
        <w:tc>
          <w:tcPr>
            <w:tcW w:w="1480" w:type="dxa"/>
            <w:vAlign w:val="bottom"/>
            <w:shd w:val="clear" w:color="auto" w:fill="E6E6E6"/>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320" w:type="dxa"/>
            <w:vAlign w:val="bottom"/>
            <w:shd w:val="clear" w:color="auto" w:fill="E6E6E6"/>
          </w:tcPr>
          <w:p>
            <w:pPr>
              <w:spacing w:after="0"/>
              <w:rPr>
                <w:sz w:val="17"/>
                <w:szCs w:val="17"/>
                <w:color w:val="auto"/>
              </w:rPr>
            </w:pPr>
          </w:p>
        </w:tc>
        <w:tc>
          <w:tcPr>
            <w:tcW w:w="620" w:type="dxa"/>
            <w:vAlign w:val="bottom"/>
            <w:shd w:val="clear" w:color="auto" w:fill="E6E6E6"/>
          </w:tcPr>
          <w:p>
            <w:pPr>
              <w:jc w:val="right"/>
              <w:ind w:right="172"/>
              <w:spacing w:after="0" w:line="202" w:lineRule="exact"/>
              <w:rPr>
                <w:sz w:val="20"/>
                <w:szCs w:val="20"/>
                <w:color w:val="auto"/>
              </w:rPr>
            </w:pPr>
            <w:r>
              <w:rPr>
                <w:rFonts w:ascii="Arial" w:cs="Arial" w:eastAsia="Arial" w:hAnsi="Arial"/>
                <w:sz w:val="18"/>
                <w:szCs w:val="18"/>
                <w:color w:val="auto"/>
              </w:rPr>
              <w:t>—</w:t>
            </w:r>
          </w:p>
        </w:tc>
        <w:tc>
          <w:tcPr>
            <w:tcW w:w="1260" w:type="dxa"/>
            <w:vAlign w:val="bottom"/>
            <w:shd w:val="clear" w:color="auto" w:fill="E6E6E6"/>
          </w:tcPr>
          <w:p>
            <w:pPr>
              <w:jc w:val="right"/>
              <w:ind w:right="53"/>
              <w:spacing w:after="0" w:line="202" w:lineRule="exact"/>
              <w:rPr>
                <w:sz w:val="20"/>
                <w:szCs w:val="20"/>
                <w:color w:val="auto"/>
              </w:rPr>
            </w:pPr>
            <w:r>
              <w:rPr>
                <w:rFonts w:ascii="Arial" w:cs="Arial" w:eastAsia="Arial" w:hAnsi="Arial"/>
                <w:sz w:val="18"/>
                <w:szCs w:val="18"/>
                <w:color w:val="auto"/>
              </w:rPr>
              <w:t>—</w:t>
            </w:r>
          </w:p>
        </w:tc>
        <w:tc>
          <w:tcPr>
            <w:tcW w:w="300" w:type="dxa"/>
            <w:vAlign w:val="bottom"/>
            <w:shd w:val="clear" w:color="auto" w:fill="E6E6E6"/>
          </w:tcPr>
          <w:p>
            <w:pPr>
              <w:spacing w:after="0"/>
              <w:rPr>
                <w:sz w:val="17"/>
                <w:szCs w:val="17"/>
                <w:color w:val="auto"/>
              </w:rPr>
            </w:pPr>
          </w:p>
        </w:tc>
        <w:tc>
          <w:tcPr>
            <w:tcW w:w="460" w:type="dxa"/>
            <w:vAlign w:val="bottom"/>
            <w:shd w:val="clear" w:color="auto" w:fill="E6E6E6"/>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E6E6E6"/>
          </w:tcPr>
          <w:p>
            <w:pPr>
              <w:spacing w:after="0"/>
              <w:rPr>
                <w:sz w:val="17"/>
                <w:szCs w:val="17"/>
                <w:color w:val="auto"/>
              </w:rPr>
            </w:pPr>
          </w:p>
        </w:tc>
        <w:tc>
          <w:tcPr>
            <w:tcW w:w="960" w:type="dxa"/>
            <w:vAlign w:val="bottom"/>
            <w:shd w:val="clear" w:color="auto" w:fill="E6E6E6"/>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60" w:type="dxa"/>
            <w:vAlign w:val="bottom"/>
          </w:tcPr>
          <w:p>
            <w:pPr>
              <w:ind w:left="140"/>
              <w:spacing w:after="0" w:line="202" w:lineRule="exact"/>
              <w:rPr>
                <w:sz w:val="20"/>
                <w:szCs w:val="20"/>
                <w:color w:val="auto"/>
              </w:rPr>
            </w:pPr>
            <w:r>
              <w:rPr>
                <w:rFonts w:ascii="Arial" w:cs="Arial" w:eastAsia="Arial" w:hAnsi="Arial"/>
                <w:sz w:val="18"/>
                <w:szCs w:val="18"/>
                <w:color w:val="auto"/>
              </w:rPr>
              <w:t>Total other comprehensive loss</w:t>
            </w:r>
          </w:p>
        </w:tc>
        <w:tc>
          <w:tcPr>
            <w:tcW w:w="14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620" w:type="dxa"/>
            <w:vAlign w:val="bottom"/>
          </w:tcPr>
          <w:p>
            <w:pPr>
              <w:jc w:val="right"/>
              <w:ind w:right="172"/>
              <w:spacing w:after="0" w:line="202" w:lineRule="exact"/>
              <w:rPr>
                <w:sz w:val="20"/>
                <w:szCs w:val="20"/>
                <w:color w:val="auto"/>
              </w:rPr>
            </w:pPr>
            <w:r>
              <w:rPr>
                <w:rFonts w:ascii="Arial" w:cs="Arial" w:eastAsia="Arial" w:hAnsi="Arial"/>
                <w:sz w:val="18"/>
                <w:szCs w:val="18"/>
                <w:color w:val="auto"/>
              </w:rPr>
              <w:t>—</w:t>
            </w:r>
          </w:p>
        </w:tc>
        <w:tc>
          <w:tcPr>
            <w:tcW w:w="1260" w:type="dxa"/>
            <w:vAlign w:val="bottom"/>
          </w:tcPr>
          <w:p>
            <w:pPr>
              <w:jc w:val="right"/>
              <w:ind w:right="53"/>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46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9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6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Total comprehensive income</w:t>
            </w:r>
          </w:p>
        </w:tc>
        <w:tc>
          <w:tcPr>
            <w:tcW w:w="1480" w:type="dxa"/>
            <w:vAlign w:val="bottom"/>
            <w:shd w:val="clear" w:color="auto" w:fill="E6E6E6"/>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320" w:type="dxa"/>
            <w:vAlign w:val="bottom"/>
            <w:shd w:val="clear" w:color="auto" w:fill="E6E6E6"/>
          </w:tcPr>
          <w:p>
            <w:pPr>
              <w:spacing w:after="0"/>
              <w:rPr>
                <w:sz w:val="17"/>
                <w:szCs w:val="17"/>
                <w:color w:val="auto"/>
              </w:rPr>
            </w:pPr>
          </w:p>
        </w:tc>
        <w:tc>
          <w:tcPr>
            <w:tcW w:w="620" w:type="dxa"/>
            <w:vAlign w:val="bottom"/>
            <w:shd w:val="clear" w:color="auto" w:fill="E6E6E6"/>
          </w:tcPr>
          <w:p>
            <w:pPr>
              <w:jc w:val="right"/>
              <w:ind w:right="172"/>
              <w:spacing w:after="0" w:line="202" w:lineRule="exact"/>
              <w:rPr>
                <w:sz w:val="20"/>
                <w:szCs w:val="20"/>
                <w:color w:val="auto"/>
              </w:rPr>
            </w:pPr>
            <w:r>
              <w:rPr>
                <w:rFonts w:ascii="Arial" w:cs="Arial" w:eastAsia="Arial" w:hAnsi="Arial"/>
                <w:sz w:val="18"/>
                <w:szCs w:val="18"/>
                <w:color w:val="auto"/>
              </w:rPr>
              <w:t>—</w:t>
            </w:r>
          </w:p>
        </w:tc>
        <w:tc>
          <w:tcPr>
            <w:tcW w:w="1260" w:type="dxa"/>
            <w:vAlign w:val="bottom"/>
            <w:shd w:val="clear" w:color="auto" w:fill="E6E6E6"/>
          </w:tcPr>
          <w:p>
            <w:pPr>
              <w:jc w:val="right"/>
              <w:ind w:right="53"/>
              <w:spacing w:after="0" w:line="202" w:lineRule="exact"/>
              <w:rPr>
                <w:sz w:val="20"/>
                <w:szCs w:val="20"/>
                <w:color w:val="auto"/>
              </w:rPr>
            </w:pPr>
            <w:r>
              <w:rPr>
                <w:rFonts w:ascii="Arial" w:cs="Arial" w:eastAsia="Arial" w:hAnsi="Arial"/>
                <w:sz w:val="18"/>
                <w:szCs w:val="18"/>
                <w:color w:val="auto"/>
              </w:rPr>
              <w:t>—</w:t>
            </w:r>
          </w:p>
        </w:tc>
        <w:tc>
          <w:tcPr>
            <w:tcW w:w="300" w:type="dxa"/>
            <w:vAlign w:val="bottom"/>
            <w:shd w:val="clear" w:color="auto" w:fill="E6E6E6"/>
          </w:tcPr>
          <w:p>
            <w:pPr>
              <w:spacing w:after="0"/>
              <w:rPr>
                <w:sz w:val="17"/>
                <w:szCs w:val="17"/>
                <w:color w:val="auto"/>
              </w:rPr>
            </w:pPr>
          </w:p>
        </w:tc>
        <w:tc>
          <w:tcPr>
            <w:tcW w:w="460" w:type="dxa"/>
            <w:vAlign w:val="bottom"/>
            <w:shd w:val="clear" w:color="auto" w:fill="E6E6E6"/>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E6E6E6"/>
          </w:tcPr>
          <w:p>
            <w:pPr>
              <w:spacing w:after="0"/>
              <w:rPr>
                <w:sz w:val="17"/>
                <w:szCs w:val="17"/>
                <w:color w:val="auto"/>
              </w:rPr>
            </w:pPr>
          </w:p>
        </w:tc>
        <w:tc>
          <w:tcPr>
            <w:tcW w:w="960" w:type="dxa"/>
            <w:vAlign w:val="bottom"/>
            <w:shd w:val="clear" w:color="auto" w:fill="E6E6E6"/>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80" w:type="dxa"/>
            <w:vAlign w:val="bottom"/>
            <w:gridSpan w:val="2"/>
          </w:tcPr>
          <w:p>
            <w:pPr>
              <w:spacing w:after="0" w:line="202" w:lineRule="exact"/>
              <w:rPr>
                <w:sz w:val="20"/>
                <w:szCs w:val="20"/>
                <w:color w:val="auto"/>
              </w:rPr>
            </w:pPr>
            <w:r>
              <w:rPr>
                <w:rFonts w:ascii="Arial" w:cs="Arial" w:eastAsia="Arial" w:hAnsi="Arial"/>
                <w:sz w:val="18"/>
                <w:szCs w:val="18"/>
                <w:color w:val="auto"/>
              </w:rPr>
              <w:t>Stock-based compensation</w:t>
            </w:r>
          </w:p>
        </w:tc>
        <w:tc>
          <w:tcPr>
            <w:tcW w:w="14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620" w:type="dxa"/>
            <w:vAlign w:val="bottom"/>
          </w:tcPr>
          <w:p>
            <w:pPr>
              <w:jc w:val="right"/>
              <w:ind w:right="172"/>
              <w:spacing w:after="0" w:line="202" w:lineRule="exact"/>
              <w:rPr>
                <w:sz w:val="20"/>
                <w:szCs w:val="20"/>
                <w:color w:val="auto"/>
              </w:rPr>
            </w:pPr>
            <w:r>
              <w:rPr>
                <w:rFonts w:ascii="Arial" w:cs="Arial" w:eastAsia="Arial" w:hAnsi="Arial"/>
                <w:sz w:val="18"/>
                <w:szCs w:val="18"/>
                <w:color w:val="auto"/>
              </w:rPr>
              <w:t>—</w:t>
            </w:r>
          </w:p>
        </w:tc>
        <w:tc>
          <w:tcPr>
            <w:tcW w:w="1260" w:type="dxa"/>
            <w:vAlign w:val="bottom"/>
          </w:tcPr>
          <w:p>
            <w:pPr>
              <w:jc w:val="right"/>
              <w:ind w:right="53"/>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46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9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14.0</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760" w:type="dxa"/>
            <w:vAlign w:val="bottom"/>
            <w:shd w:val="clear" w:color="auto" w:fill="E6E6E6"/>
          </w:tcPr>
          <w:p>
            <w:pPr>
              <w:spacing w:after="0" w:line="206" w:lineRule="exact"/>
              <w:rPr>
                <w:sz w:val="20"/>
                <w:szCs w:val="20"/>
                <w:color w:val="auto"/>
              </w:rPr>
            </w:pPr>
            <w:r>
              <w:rPr>
                <w:rFonts w:ascii="Arial" w:cs="Arial" w:eastAsia="Arial" w:hAnsi="Arial"/>
                <w:sz w:val="18"/>
                <w:szCs w:val="18"/>
                <w:color w:val="auto"/>
              </w:rPr>
              <w:t>Proceeds from issuance of common stock pursuant to stock-based</w:t>
            </w:r>
          </w:p>
        </w:tc>
        <w:tc>
          <w:tcPr>
            <w:tcW w:w="1480" w:type="dxa"/>
            <w:vAlign w:val="bottom"/>
            <w:shd w:val="clear" w:color="auto" w:fill="E6E6E6"/>
          </w:tcPr>
          <w:p>
            <w:pPr>
              <w:spacing w:after="0"/>
              <w:rPr>
                <w:sz w:val="17"/>
                <w:szCs w:val="17"/>
                <w:color w:val="auto"/>
              </w:rPr>
            </w:pPr>
          </w:p>
        </w:tc>
        <w:tc>
          <w:tcPr>
            <w:tcW w:w="320" w:type="dxa"/>
            <w:vAlign w:val="bottom"/>
            <w:shd w:val="clear" w:color="auto" w:fill="E6E6E6"/>
          </w:tcPr>
          <w:p>
            <w:pPr>
              <w:spacing w:after="0"/>
              <w:rPr>
                <w:sz w:val="17"/>
                <w:szCs w:val="17"/>
                <w:color w:val="auto"/>
              </w:rPr>
            </w:pPr>
          </w:p>
        </w:tc>
        <w:tc>
          <w:tcPr>
            <w:tcW w:w="620" w:type="dxa"/>
            <w:vAlign w:val="bottom"/>
            <w:shd w:val="clear" w:color="auto" w:fill="E6E6E6"/>
          </w:tcPr>
          <w:p>
            <w:pPr>
              <w:spacing w:after="0"/>
              <w:rPr>
                <w:sz w:val="17"/>
                <w:szCs w:val="17"/>
                <w:color w:val="auto"/>
              </w:rPr>
            </w:pPr>
          </w:p>
        </w:tc>
        <w:tc>
          <w:tcPr>
            <w:tcW w:w="1260" w:type="dxa"/>
            <w:vAlign w:val="bottom"/>
            <w:shd w:val="clear" w:color="auto" w:fill="E6E6E6"/>
          </w:tcPr>
          <w:p>
            <w:pPr>
              <w:spacing w:after="0"/>
              <w:rPr>
                <w:sz w:val="17"/>
                <w:szCs w:val="17"/>
                <w:color w:val="auto"/>
              </w:rPr>
            </w:pPr>
          </w:p>
        </w:tc>
        <w:tc>
          <w:tcPr>
            <w:tcW w:w="300" w:type="dxa"/>
            <w:vAlign w:val="bottom"/>
            <w:shd w:val="clear" w:color="auto" w:fill="E6E6E6"/>
          </w:tcPr>
          <w:p>
            <w:pPr>
              <w:spacing w:after="0"/>
              <w:rPr>
                <w:sz w:val="17"/>
                <w:szCs w:val="17"/>
                <w:color w:val="auto"/>
              </w:rPr>
            </w:pPr>
          </w:p>
        </w:tc>
        <w:tc>
          <w:tcPr>
            <w:tcW w:w="460" w:type="dxa"/>
            <w:vAlign w:val="bottom"/>
            <w:shd w:val="clear" w:color="auto" w:fill="E6E6E6"/>
          </w:tcPr>
          <w:p>
            <w:pPr>
              <w:spacing w:after="0"/>
              <w:rPr>
                <w:sz w:val="17"/>
                <w:szCs w:val="17"/>
                <w:color w:val="auto"/>
              </w:rPr>
            </w:pPr>
          </w:p>
        </w:tc>
        <w:tc>
          <w:tcPr>
            <w:tcW w:w="240" w:type="dxa"/>
            <w:vAlign w:val="bottom"/>
            <w:shd w:val="clear" w:color="auto" w:fill="E6E6E6"/>
          </w:tcPr>
          <w:p>
            <w:pPr>
              <w:spacing w:after="0"/>
              <w:rPr>
                <w:sz w:val="17"/>
                <w:szCs w:val="17"/>
                <w:color w:val="auto"/>
              </w:rPr>
            </w:pPr>
          </w:p>
        </w:tc>
        <w:tc>
          <w:tcPr>
            <w:tcW w:w="960" w:type="dxa"/>
            <w:vAlign w:val="bottom"/>
            <w:shd w:val="clear" w:color="auto" w:fill="E6E6E6"/>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760" w:type="dxa"/>
            <w:vAlign w:val="bottom"/>
            <w:shd w:val="clear" w:color="auto" w:fill="E6E6E6"/>
          </w:tcPr>
          <w:p>
            <w:pPr>
              <w:ind w:left="140"/>
              <w:spacing w:after="0" w:line="200" w:lineRule="exact"/>
              <w:rPr>
                <w:sz w:val="20"/>
                <w:szCs w:val="20"/>
                <w:color w:val="auto"/>
              </w:rPr>
            </w:pPr>
            <w:r>
              <w:rPr>
                <w:rFonts w:ascii="Arial" w:cs="Arial" w:eastAsia="Arial" w:hAnsi="Arial"/>
                <w:sz w:val="18"/>
                <w:szCs w:val="18"/>
                <w:color w:val="auto"/>
              </w:rPr>
              <w:t>compensation</w:t>
            </w:r>
          </w:p>
        </w:tc>
        <w:tc>
          <w:tcPr>
            <w:tcW w:w="1480" w:type="dxa"/>
            <w:vAlign w:val="bottom"/>
            <w:shd w:val="clear" w:color="auto" w:fill="E6E6E6"/>
          </w:tcPr>
          <w:p>
            <w:pPr>
              <w:jc w:val="right"/>
              <w:ind w:right="13"/>
              <w:spacing w:after="0" w:line="200" w:lineRule="exact"/>
              <w:rPr>
                <w:sz w:val="20"/>
                <w:szCs w:val="20"/>
                <w:color w:val="auto"/>
              </w:rPr>
            </w:pPr>
            <w:r>
              <w:rPr>
                <w:rFonts w:ascii="Arial" w:cs="Arial" w:eastAsia="Arial" w:hAnsi="Arial"/>
                <w:sz w:val="18"/>
                <w:szCs w:val="18"/>
                <w:color w:val="auto"/>
              </w:rPr>
              <w:t>—</w:t>
            </w:r>
          </w:p>
        </w:tc>
        <w:tc>
          <w:tcPr>
            <w:tcW w:w="320" w:type="dxa"/>
            <w:vAlign w:val="bottom"/>
            <w:shd w:val="clear" w:color="auto" w:fill="E6E6E6"/>
          </w:tcPr>
          <w:p>
            <w:pPr>
              <w:spacing w:after="0"/>
              <w:rPr>
                <w:sz w:val="17"/>
                <w:szCs w:val="17"/>
                <w:color w:val="auto"/>
              </w:rPr>
            </w:pPr>
          </w:p>
        </w:tc>
        <w:tc>
          <w:tcPr>
            <w:tcW w:w="620" w:type="dxa"/>
            <w:vAlign w:val="bottom"/>
            <w:shd w:val="clear" w:color="auto" w:fill="E6E6E6"/>
          </w:tcPr>
          <w:p>
            <w:pPr>
              <w:jc w:val="right"/>
              <w:ind w:right="172"/>
              <w:spacing w:after="0" w:line="200" w:lineRule="exact"/>
              <w:rPr>
                <w:sz w:val="20"/>
                <w:szCs w:val="20"/>
                <w:color w:val="auto"/>
              </w:rPr>
            </w:pPr>
            <w:r>
              <w:rPr>
                <w:rFonts w:ascii="Arial" w:cs="Arial" w:eastAsia="Arial" w:hAnsi="Arial"/>
                <w:sz w:val="18"/>
                <w:szCs w:val="18"/>
                <w:color w:val="auto"/>
              </w:rPr>
              <w:t>—</w:t>
            </w:r>
          </w:p>
        </w:tc>
        <w:tc>
          <w:tcPr>
            <w:tcW w:w="1260" w:type="dxa"/>
            <w:vAlign w:val="bottom"/>
            <w:shd w:val="clear" w:color="auto" w:fill="E6E6E6"/>
          </w:tcPr>
          <w:p>
            <w:pPr>
              <w:jc w:val="right"/>
              <w:ind w:right="53"/>
              <w:spacing w:after="0" w:line="200" w:lineRule="exact"/>
              <w:rPr>
                <w:sz w:val="20"/>
                <w:szCs w:val="20"/>
                <w:color w:val="auto"/>
              </w:rPr>
            </w:pPr>
            <w:r>
              <w:rPr>
                <w:rFonts w:ascii="Arial" w:cs="Arial" w:eastAsia="Arial" w:hAnsi="Arial"/>
                <w:sz w:val="18"/>
                <w:szCs w:val="18"/>
                <w:color w:val="auto"/>
              </w:rPr>
              <w:t>134,045</w:t>
            </w:r>
          </w:p>
        </w:tc>
        <w:tc>
          <w:tcPr>
            <w:tcW w:w="300" w:type="dxa"/>
            <w:vAlign w:val="bottom"/>
            <w:shd w:val="clear" w:color="auto" w:fill="E6E6E6"/>
          </w:tcPr>
          <w:p>
            <w:pPr>
              <w:spacing w:after="0"/>
              <w:rPr>
                <w:sz w:val="17"/>
                <w:szCs w:val="17"/>
                <w:color w:val="auto"/>
              </w:rPr>
            </w:pPr>
          </w:p>
        </w:tc>
        <w:tc>
          <w:tcPr>
            <w:tcW w:w="460" w:type="dxa"/>
            <w:vAlign w:val="bottom"/>
            <w:shd w:val="clear" w:color="auto" w:fill="E6E6E6"/>
          </w:tcPr>
          <w:p>
            <w:pPr>
              <w:jc w:val="right"/>
              <w:ind w:right="12"/>
              <w:spacing w:after="0" w:line="200" w:lineRule="exact"/>
              <w:rPr>
                <w:sz w:val="20"/>
                <w:szCs w:val="20"/>
                <w:color w:val="auto"/>
              </w:rPr>
            </w:pPr>
            <w:r>
              <w:rPr>
                <w:rFonts w:ascii="Arial" w:cs="Arial" w:eastAsia="Arial" w:hAnsi="Arial"/>
                <w:sz w:val="18"/>
                <w:szCs w:val="18"/>
                <w:color w:val="auto"/>
              </w:rPr>
              <w:t>—</w:t>
            </w:r>
          </w:p>
        </w:tc>
        <w:tc>
          <w:tcPr>
            <w:tcW w:w="240" w:type="dxa"/>
            <w:vAlign w:val="bottom"/>
            <w:shd w:val="clear" w:color="auto" w:fill="E6E6E6"/>
          </w:tcPr>
          <w:p>
            <w:pPr>
              <w:spacing w:after="0"/>
              <w:rPr>
                <w:sz w:val="17"/>
                <w:szCs w:val="17"/>
                <w:color w:val="auto"/>
              </w:rPr>
            </w:pPr>
          </w:p>
        </w:tc>
        <w:tc>
          <w:tcPr>
            <w:tcW w:w="960" w:type="dxa"/>
            <w:vAlign w:val="bottom"/>
            <w:shd w:val="clear" w:color="auto" w:fill="E6E6E6"/>
          </w:tcPr>
          <w:p>
            <w:pPr>
              <w:jc w:val="right"/>
              <w:ind w:right="34"/>
              <w:spacing w:after="0" w:line="200" w:lineRule="exact"/>
              <w:rPr>
                <w:sz w:val="20"/>
                <w:szCs w:val="20"/>
                <w:color w:val="auto"/>
              </w:rPr>
            </w:pPr>
            <w:r>
              <w:rPr>
                <w:rFonts w:ascii="Arial" w:cs="Arial" w:eastAsia="Arial" w:hAnsi="Arial"/>
                <w:sz w:val="18"/>
                <w:szCs w:val="18"/>
                <w:color w:val="auto"/>
              </w:rPr>
              <w:t>3.2</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80" w:type="dxa"/>
            <w:vAlign w:val="bottom"/>
            <w:gridSpan w:val="2"/>
          </w:tcPr>
          <w:p>
            <w:pPr>
              <w:spacing w:after="0" w:line="202" w:lineRule="exact"/>
              <w:rPr>
                <w:sz w:val="20"/>
                <w:szCs w:val="20"/>
                <w:color w:val="auto"/>
              </w:rPr>
            </w:pPr>
            <w:r>
              <w:rPr>
                <w:rFonts w:ascii="Arial" w:cs="Arial" w:eastAsia="Arial" w:hAnsi="Arial"/>
                <w:sz w:val="18"/>
                <w:szCs w:val="18"/>
                <w:color w:val="auto"/>
              </w:rPr>
              <w:t>Purchases of treasury stock at cost</w:t>
            </w:r>
          </w:p>
        </w:tc>
        <w:tc>
          <w:tcPr>
            <w:tcW w:w="14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620" w:type="dxa"/>
            <w:vAlign w:val="bottom"/>
          </w:tcPr>
          <w:p>
            <w:pPr>
              <w:jc w:val="right"/>
              <w:ind w:right="172"/>
              <w:spacing w:after="0" w:line="202" w:lineRule="exact"/>
              <w:rPr>
                <w:sz w:val="20"/>
                <w:szCs w:val="20"/>
                <w:color w:val="auto"/>
              </w:rPr>
            </w:pPr>
            <w:r>
              <w:rPr>
                <w:rFonts w:ascii="Arial" w:cs="Arial" w:eastAsia="Arial" w:hAnsi="Arial"/>
                <w:sz w:val="18"/>
                <w:szCs w:val="18"/>
                <w:color w:val="auto"/>
              </w:rPr>
              <w:t>—</w:t>
            </w: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(411,977)</w:t>
            </w:r>
          </w:p>
        </w:tc>
        <w:tc>
          <w:tcPr>
            <w:tcW w:w="300" w:type="dxa"/>
            <w:vAlign w:val="bottom"/>
          </w:tcPr>
          <w:p>
            <w:pPr>
              <w:spacing w:after="0"/>
              <w:rPr>
                <w:sz w:val="17"/>
                <w:szCs w:val="17"/>
                <w:color w:val="auto"/>
              </w:rPr>
            </w:pPr>
          </w:p>
        </w:tc>
        <w:tc>
          <w:tcPr>
            <w:tcW w:w="46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9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6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Treasury stock issued pursuant to stock purchase plans</w:t>
            </w:r>
          </w:p>
        </w:tc>
        <w:tc>
          <w:tcPr>
            <w:tcW w:w="1480" w:type="dxa"/>
            <w:vAlign w:val="bottom"/>
            <w:shd w:val="clear" w:color="auto" w:fill="E6E6E6"/>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320" w:type="dxa"/>
            <w:vAlign w:val="bottom"/>
            <w:shd w:val="clear" w:color="auto" w:fill="E6E6E6"/>
          </w:tcPr>
          <w:p>
            <w:pPr>
              <w:spacing w:after="0"/>
              <w:rPr>
                <w:sz w:val="17"/>
                <w:szCs w:val="17"/>
                <w:color w:val="auto"/>
              </w:rPr>
            </w:pPr>
          </w:p>
        </w:tc>
        <w:tc>
          <w:tcPr>
            <w:tcW w:w="620" w:type="dxa"/>
            <w:vAlign w:val="bottom"/>
            <w:shd w:val="clear" w:color="auto" w:fill="E6E6E6"/>
          </w:tcPr>
          <w:p>
            <w:pPr>
              <w:jc w:val="right"/>
              <w:ind w:right="172"/>
              <w:spacing w:after="0" w:line="202" w:lineRule="exact"/>
              <w:rPr>
                <w:sz w:val="20"/>
                <w:szCs w:val="20"/>
                <w:color w:val="auto"/>
              </w:rPr>
            </w:pPr>
            <w:r>
              <w:rPr>
                <w:rFonts w:ascii="Arial" w:cs="Arial" w:eastAsia="Arial" w:hAnsi="Arial"/>
                <w:sz w:val="18"/>
                <w:szCs w:val="18"/>
                <w:color w:val="auto"/>
              </w:rPr>
              <w:t>—</w:t>
            </w:r>
          </w:p>
        </w:tc>
        <w:tc>
          <w:tcPr>
            <w:tcW w:w="1260" w:type="dxa"/>
            <w:vAlign w:val="bottom"/>
            <w:shd w:val="clear" w:color="auto" w:fill="E6E6E6"/>
          </w:tcPr>
          <w:p>
            <w:pPr>
              <w:jc w:val="right"/>
              <w:ind w:right="53"/>
              <w:spacing w:after="0" w:line="202" w:lineRule="exact"/>
              <w:rPr>
                <w:sz w:val="20"/>
                <w:szCs w:val="20"/>
                <w:color w:val="auto"/>
              </w:rPr>
            </w:pPr>
            <w:r>
              <w:rPr>
                <w:rFonts w:ascii="Arial" w:cs="Arial" w:eastAsia="Arial" w:hAnsi="Arial"/>
                <w:sz w:val="18"/>
                <w:szCs w:val="18"/>
                <w:color w:val="auto"/>
              </w:rPr>
              <w:t>135,915</w:t>
            </w:r>
          </w:p>
        </w:tc>
        <w:tc>
          <w:tcPr>
            <w:tcW w:w="300" w:type="dxa"/>
            <w:vAlign w:val="bottom"/>
            <w:shd w:val="clear" w:color="auto" w:fill="E6E6E6"/>
          </w:tcPr>
          <w:p>
            <w:pPr>
              <w:spacing w:after="0"/>
              <w:rPr>
                <w:sz w:val="17"/>
                <w:szCs w:val="17"/>
                <w:color w:val="auto"/>
              </w:rPr>
            </w:pPr>
          </w:p>
        </w:tc>
        <w:tc>
          <w:tcPr>
            <w:tcW w:w="460" w:type="dxa"/>
            <w:vAlign w:val="bottom"/>
            <w:shd w:val="clear" w:color="auto" w:fill="E6E6E6"/>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E6E6E6"/>
          </w:tcPr>
          <w:p>
            <w:pPr>
              <w:spacing w:after="0"/>
              <w:rPr>
                <w:sz w:val="17"/>
                <w:szCs w:val="17"/>
                <w:color w:val="auto"/>
              </w:rPr>
            </w:pPr>
          </w:p>
        </w:tc>
        <w:tc>
          <w:tcPr>
            <w:tcW w:w="96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(0.9)</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5780" w:type="dxa"/>
            <w:vAlign w:val="bottom"/>
            <w:gridSpan w:val="2"/>
          </w:tcPr>
          <w:p>
            <w:pPr>
              <w:spacing w:after="0"/>
              <w:rPr>
                <w:sz w:val="20"/>
                <w:szCs w:val="20"/>
                <w:color w:val="auto"/>
              </w:rPr>
            </w:pPr>
            <w:r>
              <w:rPr>
                <w:rFonts w:ascii="Arial" w:cs="Arial" w:eastAsia="Arial" w:hAnsi="Arial"/>
                <w:sz w:val="18"/>
                <w:szCs w:val="18"/>
                <w:color w:val="auto"/>
              </w:rPr>
              <w:t>Dividends</w:t>
            </w: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62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4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7"/>
        </w:trPr>
        <w:tc>
          <w:tcPr>
            <w:tcW w:w="5780" w:type="dxa"/>
            <w:vAlign w:val="bottom"/>
            <w:tcBorders>
              <w:bottom w:val="single" w:sz="8" w:color="808080"/>
            </w:tcBorders>
            <w:gridSpan w:val="2"/>
          </w:tcPr>
          <w:p>
            <w:pPr>
              <w:spacing w:after="0"/>
              <w:rPr>
                <w:sz w:val="8"/>
                <w:szCs w:val="8"/>
                <w:color w:val="auto"/>
              </w:rPr>
            </w:pPr>
          </w:p>
        </w:tc>
        <w:tc>
          <w:tcPr>
            <w:tcW w:w="148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126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760" w:type="dxa"/>
            <w:vAlign w:val="bottom"/>
          </w:tcPr>
          <w:p>
            <w:pPr>
              <w:spacing w:after="0"/>
              <w:rPr>
                <w:sz w:val="8"/>
                <w:szCs w:val="8"/>
                <w:color w:val="auto"/>
              </w:rPr>
            </w:pPr>
          </w:p>
        </w:tc>
        <w:tc>
          <w:tcPr>
            <w:tcW w:w="1480" w:type="dxa"/>
            <w:vAlign w:val="bottom"/>
          </w:tcPr>
          <w:p>
            <w:pPr>
              <w:spacing w:after="0"/>
              <w:rPr>
                <w:sz w:val="8"/>
                <w:szCs w:val="8"/>
                <w:color w:val="auto"/>
              </w:rPr>
            </w:pPr>
          </w:p>
        </w:tc>
        <w:tc>
          <w:tcPr>
            <w:tcW w:w="3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9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760" w:type="dxa"/>
            <w:vAlign w:val="bottom"/>
            <w:shd w:val="clear" w:color="auto" w:fill="E6E6E6"/>
          </w:tcPr>
          <w:p>
            <w:pPr>
              <w:spacing w:after="0" w:line="202" w:lineRule="exact"/>
              <w:rPr>
                <w:sz w:val="20"/>
                <w:szCs w:val="20"/>
                <w:color w:val="auto"/>
              </w:rPr>
            </w:pPr>
            <w:r>
              <w:rPr>
                <w:rFonts w:ascii="Arial" w:cs="Arial" w:eastAsia="Arial" w:hAnsi="Arial"/>
                <w:sz w:val="18"/>
                <w:szCs w:val="18"/>
                <w:b w:val="1"/>
                <w:bCs w:val="1"/>
                <w:color w:val="auto"/>
              </w:rPr>
              <w:t>Balance at May 31, 2010</w:t>
            </w:r>
          </w:p>
        </w:tc>
        <w:tc>
          <w:tcPr>
            <w:tcW w:w="1480" w:type="dxa"/>
            <w:vAlign w:val="bottom"/>
            <w:shd w:val="clear" w:color="auto" w:fill="E6E6E6"/>
          </w:tcPr>
          <w:p>
            <w:pPr>
              <w:jc w:val="right"/>
              <w:ind w:right="13"/>
              <w:spacing w:after="0" w:line="202" w:lineRule="exact"/>
              <w:rPr>
                <w:sz w:val="20"/>
                <w:szCs w:val="20"/>
                <w:color w:val="auto"/>
              </w:rPr>
            </w:pPr>
            <w:r>
              <w:rPr>
                <w:rFonts w:ascii="Arial" w:cs="Arial" w:eastAsia="Arial" w:hAnsi="Arial"/>
                <w:sz w:val="18"/>
                <w:szCs w:val="18"/>
                <w:b w:val="1"/>
                <w:bCs w:val="1"/>
                <w:color w:val="auto"/>
              </w:rPr>
              <w:t>1,656,200</w:t>
            </w:r>
          </w:p>
        </w:tc>
        <w:tc>
          <w:tcPr>
            <w:tcW w:w="320" w:type="dxa"/>
            <w:vAlign w:val="bottom"/>
            <w:shd w:val="clear" w:color="auto" w:fill="E6E6E6"/>
          </w:tcPr>
          <w:p>
            <w:pPr>
              <w:jc w:val="right"/>
              <w:ind w:right="36"/>
              <w:spacing w:after="0" w:line="202" w:lineRule="exact"/>
              <w:rPr>
                <w:sz w:val="20"/>
                <w:szCs w:val="20"/>
                <w:color w:val="auto"/>
              </w:rPr>
            </w:pPr>
            <w:r>
              <w:rPr>
                <w:rFonts w:ascii="Arial" w:cs="Arial" w:eastAsia="Arial" w:hAnsi="Arial"/>
                <w:sz w:val="18"/>
                <w:szCs w:val="18"/>
                <w:b w:val="1"/>
                <w:bCs w:val="1"/>
                <w:color w:val="auto"/>
              </w:rPr>
              <w:t>$</w:t>
            </w:r>
          </w:p>
        </w:tc>
        <w:tc>
          <w:tcPr>
            <w:tcW w:w="620" w:type="dxa"/>
            <w:vAlign w:val="bottom"/>
            <w:shd w:val="clear" w:color="auto" w:fill="E6E6E6"/>
          </w:tcPr>
          <w:p>
            <w:pPr>
              <w:jc w:val="right"/>
              <w:ind w:right="172"/>
              <w:spacing w:after="0" w:line="202" w:lineRule="exact"/>
              <w:rPr>
                <w:sz w:val="20"/>
                <w:szCs w:val="20"/>
                <w:color w:val="auto"/>
              </w:rPr>
            </w:pPr>
            <w:r>
              <w:rPr>
                <w:rFonts w:ascii="Arial" w:cs="Arial" w:eastAsia="Arial" w:hAnsi="Arial"/>
                <w:sz w:val="18"/>
                <w:szCs w:val="18"/>
                <w:b w:val="1"/>
                <w:bCs w:val="1"/>
                <w:color w:val="auto"/>
              </w:rPr>
              <w:t>0.0</w:t>
            </w:r>
          </w:p>
        </w:tc>
        <w:tc>
          <w:tcPr>
            <w:tcW w:w="1260" w:type="dxa"/>
            <w:vAlign w:val="bottom"/>
            <w:shd w:val="clear" w:color="auto" w:fill="E6E6E6"/>
          </w:tcPr>
          <w:p>
            <w:pPr>
              <w:jc w:val="right"/>
              <w:ind w:right="53"/>
              <w:spacing w:after="0" w:line="202" w:lineRule="exact"/>
              <w:rPr>
                <w:sz w:val="20"/>
                <w:szCs w:val="20"/>
                <w:color w:val="auto"/>
              </w:rPr>
            </w:pPr>
            <w:r>
              <w:rPr>
                <w:rFonts w:ascii="Arial" w:cs="Arial" w:eastAsia="Arial" w:hAnsi="Arial"/>
                <w:sz w:val="18"/>
                <w:szCs w:val="18"/>
                <w:b w:val="1"/>
                <w:bCs w:val="1"/>
                <w:color w:val="auto"/>
              </w:rPr>
              <w:t>34,598,258</w:t>
            </w:r>
          </w:p>
        </w:tc>
        <w:tc>
          <w:tcPr>
            <w:tcW w:w="300" w:type="dxa"/>
            <w:vAlign w:val="bottom"/>
            <w:shd w:val="clear" w:color="auto" w:fill="E6E6E6"/>
          </w:tcPr>
          <w:p>
            <w:pPr>
              <w:jc w:val="right"/>
              <w:ind w:right="36"/>
              <w:spacing w:after="0" w:line="202" w:lineRule="exact"/>
              <w:rPr>
                <w:sz w:val="20"/>
                <w:szCs w:val="20"/>
                <w:color w:val="auto"/>
              </w:rPr>
            </w:pPr>
            <w:r>
              <w:rPr>
                <w:rFonts w:ascii="Arial" w:cs="Arial" w:eastAsia="Arial" w:hAnsi="Arial"/>
                <w:sz w:val="18"/>
                <w:szCs w:val="18"/>
                <w:b w:val="1"/>
                <w:bCs w:val="1"/>
                <w:color w:val="auto"/>
              </w:rPr>
              <w:t>$</w:t>
            </w:r>
          </w:p>
        </w:tc>
        <w:tc>
          <w:tcPr>
            <w:tcW w:w="460" w:type="dxa"/>
            <w:vAlign w:val="bottom"/>
            <w:shd w:val="clear" w:color="auto" w:fill="E6E6E6"/>
          </w:tcPr>
          <w:p>
            <w:pPr>
              <w:jc w:val="right"/>
              <w:ind w:right="12"/>
              <w:spacing w:after="0" w:line="202" w:lineRule="exact"/>
              <w:rPr>
                <w:sz w:val="20"/>
                <w:szCs w:val="20"/>
                <w:color w:val="auto"/>
              </w:rPr>
            </w:pPr>
            <w:r>
              <w:rPr>
                <w:rFonts w:ascii="Arial" w:cs="Arial" w:eastAsia="Arial" w:hAnsi="Arial"/>
                <w:sz w:val="18"/>
                <w:szCs w:val="18"/>
                <w:b w:val="1"/>
                <w:bCs w:val="1"/>
                <w:color w:val="auto"/>
              </w:rPr>
              <w:t>0.4</w:t>
            </w:r>
          </w:p>
        </w:tc>
        <w:tc>
          <w:tcPr>
            <w:tcW w:w="24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960" w:type="dxa"/>
            <w:vAlign w:val="bottom"/>
            <w:shd w:val="clear" w:color="auto" w:fill="E6E6E6"/>
          </w:tcPr>
          <w:p>
            <w:pPr>
              <w:jc w:val="right"/>
              <w:ind w:right="34"/>
              <w:spacing w:after="0" w:line="202" w:lineRule="exact"/>
              <w:rPr>
                <w:sz w:val="20"/>
                <w:szCs w:val="20"/>
                <w:color w:val="auto"/>
              </w:rPr>
            </w:pPr>
            <w:r>
              <w:rPr>
                <w:rFonts w:ascii="Arial" w:cs="Arial" w:eastAsia="Arial" w:hAnsi="Arial"/>
                <w:sz w:val="18"/>
                <w:szCs w:val="18"/>
                <w:b w:val="1"/>
                <w:bCs w:val="1"/>
                <w:color w:val="auto"/>
              </w:rPr>
              <w:t>569.2</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760" w:type="dxa"/>
            <w:vAlign w:val="bottom"/>
          </w:tcPr>
          <w:p>
            <w:pPr>
              <w:spacing w:after="0"/>
              <w:rPr>
                <w:sz w:val="11"/>
                <w:szCs w:val="11"/>
                <w:color w:val="auto"/>
              </w:rPr>
            </w:pPr>
          </w:p>
        </w:tc>
        <w:tc>
          <w:tcPr>
            <w:tcW w:w="1480" w:type="dxa"/>
            <w:vAlign w:val="bottom"/>
            <w:tcBorders>
              <w:bottom w:val="single" w:sz="8" w:color="808080"/>
            </w:tcBorders>
          </w:tcPr>
          <w:p>
            <w:pPr>
              <w:spacing w:after="0"/>
              <w:rPr>
                <w:sz w:val="11"/>
                <w:szCs w:val="11"/>
                <w:color w:val="auto"/>
              </w:rPr>
            </w:pPr>
          </w:p>
        </w:tc>
        <w:tc>
          <w:tcPr>
            <w:tcW w:w="320" w:type="dxa"/>
            <w:vAlign w:val="bottom"/>
            <w:tcBorders>
              <w:bottom w:val="single" w:sz="8" w:color="808080"/>
            </w:tcBorders>
          </w:tcPr>
          <w:p>
            <w:pPr>
              <w:spacing w:after="0"/>
              <w:rPr>
                <w:sz w:val="11"/>
                <w:szCs w:val="11"/>
                <w:color w:val="auto"/>
              </w:rPr>
            </w:pPr>
          </w:p>
        </w:tc>
        <w:tc>
          <w:tcPr>
            <w:tcW w:w="620" w:type="dxa"/>
            <w:vAlign w:val="bottom"/>
            <w:tcBorders>
              <w:bottom w:val="single" w:sz="8" w:color="808080"/>
            </w:tcBorders>
          </w:tcPr>
          <w:p>
            <w:pPr>
              <w:spacing w:after="0"/>
              <w:rPr>
                <w:sz w:val="11"/>
                <w:szCs w:val="11"/>
                <w:color w:val="auto"/>
              </w:rPr>
            </w:pPr>
          </w:p>
        </w:tc>
        <w:tc>
          <w:tcPr>
            <w:tcW w:w="126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46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96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-29210</wp:posOffset>
            </wp:positionV>
            <wp:extent cx="12700" cy="298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3879215</wp:posOffset>
            </wp:positionH>
            <wp:positionV relativeFrom="paragraph">
              <wp:posOffset>-29210</wp:posOffset>
            </wp:positionV>
            <wp:extent cx="12700" cy="298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3947795</wp:posOffset>
            </wp:positionH>
            <wp:positionV relativeFrom="paragraph">
              <wp:posOffset>-29210</wp:posOffset>
            </wp:positionV>
            <wp:extent cx="12700" cy="298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-29210</wp:posOffset>
            </wp:positionV>
            <wp:extent cx="12700" cy="298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-29210</wp:posOffset>
            </wp:positionV>
            <wp:extent cx="12700" cy="298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-29210</wp:posOffset>
            </wp:positionV>
            <wp:extent cx="12700" cy="298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-29210</wp:posOffset>
            </wp:positionV>
            <wp:extent cx="12700" cy="298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-29210</wp:posOffset>
            </wp:positionV>
            <wp:extent cx="12700" cy="298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-29210</wp:posOffset>
            </wp:positionV>
            <wp:extent cx="12700" cy="298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-29210</wp:posOffset>
            </wp:positionV>
            <wp:extent cx="12700" cy="298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-29210</wp:posOffset>
            </wp:positionV>
            <wp:extent cx="12700" cy="298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6126480</wp:posOffset>
            </wp:positionH>
            <wp:positionV relativeFrom="paragraph">
              <wp:posOffset>-29210</wp:posOffset>
            </wp:positionV>
            <wp:extent cx="12700" cy="298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-29210</wp:posOffset>
            </wp:positionV>
            <wp:extent cx="12700" cy="298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-29210</wp:posOffset>
            </wp:positionV>
            <wp:extent cx="12700" cy="298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6631940</wp:posOffset>
            </wp:positionH>
            <wp:positionV relativeFrom="paragraph">
              <wp:posOffset>-29210</wp:posOffset>
            </wp:positionV>
            <wp:extent cx="12700" cy="298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-29210</wp:posOffset>
            </wp:positionV>
            <wp:extent cx="12700" cy="298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00"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2663825</wp:posOffset>
            </wp:positionH>
            <wp:positionV relativeFrom="paragraph">
              <wp:posOffset>129540</wp:posOffset>
            </wp:positionV>
            <wp:extent cx="1929765" cy="23177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1929765"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3873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60"/>
          </w:cols>
          <w:pgMar w:left="240" w:top="755" w:right="19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0" w:type="dxa"/>
            <w:vAlign w:val="bottom"/>
          </w:tcPr>
          <w:p>
            <w:pPr>
              <w:jc w:val="center"/>
              <w:ind w:right="313"/>
              <w:spacing w:after="0"/>
              <w:rPr>
                <w:sz w:val="20"/>
                <w:szCs w:val="20"/>
                <w:color w:val="auto"/>
              </w:rPr>
            </w:pPr>
            <w:r>
              <w:rPr>
                <w:rFonts w:ascii="Arial" w:cs="Arial" w:eastAsia="Arial" w:hAnsi="Arial"/>
                <w:sz w:val="14"/>
                <w:szCs w:val="14"/>
                <w:b w:val="1"/>
                <w:bCs w:val="1"/>
                <w:color w:val="auto"/>
                <w:w w:val="86"/>
              </w:rPr>
              <w:t>Accumulated</w:t>
            </w: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center"/>
              <w:ind w:right="274"/>
              <w:spacing w:after="0"/>
              <w:rPr>
                <w:sz w:val="20"/>
                <w:szCs w:val="20"/>
                <w:color w:val="auto"/>
              </w:rPr>
            </w:pPr>
            <w:r>
              <w:rPr>
                <w:rFonts w:ascii="Arial" w:cs="Arial" w:eastAsia="Arial" w:hAnsi="Arial"/>
                <w:sz w:val="14"/>
                <w:szCs w:val="14"/>
                <w:b w:val="1"/>
                <w:bCs w:val="1"/>
                <w:color w:val="auto"/>
                <w:w w:val="87"/>
              </w:rPr>
              <w:t>Treasury</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Total</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20" w:type="dxa"/>
            <w:vAlign w:val="bottom"/>
          </w:tcPr>
          <w:p>
            <w:pPr>
              <w:spacing w:after="0"/>
              <w:rPr>
                <w:sz w:val="12"/>
                <w:szCs w:val="12"/>
                <w:color w:val="auto"/>
              </w:rPr>
            </w:pPr>
          </w:p>
        </w:tc>
        <w:tc>
          <w:tcPr>
            <w:tcW w:w="2020" w:type="dxa"/>
            <w:vAlign w:val="bottom"/>
            <w:gridSpan w:val="2"/>
          </w:tcPr>
          <w:p>
            <w:pPr>
              <w:jc w:val="center"/>
              <w:ind w:left="136"/>
              <w:spacing w:after="0" w:line="149" w:lineRule="exact"/>
              <w:rPr>
                <w:sz w:val="20"/>
                <w:szCs w:val="20"/>
                <w:color w:val="auto"/>
              </w:rPr>
            </w:pPr>
            <w:r>
              <w:rPr>
                <w:rFonts w:ascii="Arial" w:cs="Arial" w:eastAsia="Arial" w:hAnsi="Arial"/>
                <w:sz w:val="14"/>
                <w:szCs w:val="14"/>
                <w:b w:val="1"/>
                <w:bCs w:val="1"/>
                <w:color w:val="auto"/>
                <w:w w:val="87"/>
              </w:rPr>
              <w:t>Other Comprehensive</w:t>
            </w:r>
          </w:p>
        </w:tc>
        <w:tc>
          <w:tcPr>
            <w:tcW w:w="280" w:type="dxa"/>
            <w:vAlign w:val="bottom"/>
          </w:tcPr>
          <w:p>
            <w:pPr>
              <w:spacing w:after="0"/>
              <w:rPr>
                <w:sz w:val="12"/>
                <w:szCs w:val="12"/>
                <w:color w:val="auto"/>
              </w:rPr>
            </w:pPr>
          </w:p>
        </w:tc>
        <w:tc>
          <w:tcPr>
            <w:tcW w:w="980" w:type="dxa"/>
            <w:vAlign w:val="bottom"/>
          </w:tcPr>
          <w:p>
            <w:pPr>
              <w:jc w:val="right"/>
              <w:ind w:right="333"/>
              <w:spacing w:after="0" w:line="149" w:lineRule="exact"/>
              <w:rPr>
                <w:sz w:val="20"/>
                <w:szCs w:val="20"/>
                <w:color w:val="auto"/>
              </w:rPr>
            </w:pPr>
            <w:r>
              <w:rPr>
                <w:rFonts w:ascii="Arial" w:cs="Arial" w:eastAsia="Arial" w:hAnsi="Arial"/>
                <w:sz w:val="14"/>
                <w:szCs w:val="14"/>
                <w:b w:val="1"/>
                <w:bCs w:val="1"/>
                <w:color w:val="auto"/>
                <w:w w:val="91"/>
              </w:rPr>
              <w:t>Retained</w:t>
            </w:r>
          </w:p>
        </w:tc>
        <w:tc>
          <w:tcPr>
            <w:tcW w:w="280" w:type="dxa"/>
            <w:vAlign w:val="bottom"/>
          </w:tcPr>
          <w:p>
            <w:pPr>
              <w:spacing w:after="0"/>
              <w:rPr>
                <w:sz w:val="12"/>
                <w:szCs w:val="12"/>
                <w:color w:val="auto"/>
              </w:rPr>
            </w:pPr>
          </w:p>
        </w:tc>
        <w:tc>
          <w:tcPr>
            <w:tcW w:w="960" w:type="dxa"/>
            <w:vAlign w:val="bottom"/>
          </w:tcPr>
          <w:p>
            <w:pPr>
              <w:jc w:val="center"/>
              <w:ind w:right="274"/>
              <w:spacing w:after="0" w:line="149" w:lineRule="exact"/>
              <w:rPr>
                <w:sz w:val="20"/>
                <w:szCs w:val="20"/>
                <w:color w:val="auto"/>
              </w:rPr>
            </w:pPr>
            <w:r>
              <w:rPr>
                <w:rFonts w:ascii="Arial" w:cs="Arial" w:eastAsia="Arial" w:hAnsi="Arial"/>
                <w:sz w:val="14"/>
                <w:szCs w:val="14"/>
                <w:b w:val="1"/>
                <w:bCs w:val="1"/>
                <w:color w:val="auto"/>
                <w:w w:val="83"/>
              </w:rPr>
              <w:t>Stock</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6"/>
              </w:rPr>
              <w:t>Stockholders’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0" w:type="dxa"/>
            <w:vAlign w:val="bottom"/>
          </w:tcPr>
          <w:p>
            <w:pPr>
              <w:jc w:val="center"/>
              <w:ind w:right="313"/>
              <w:spacing w:after="0"/>
              <w:rPr>
                <w:sz w:val="20"/>
                <w:szCs w:val="20"/>
                <w:color w:val="auto"/>
              </w:rPr>
            </w:pPr>
            <w:r>
              <w:rPr>
                <w:rFonts w:ascii="Arial" w:cs="Arial" w:eastAsia="Arial" w:hAnsi="Arial"/>
                <w:sz w:val="14"/>
                <w:szCs w:val="14"/>
                <w:b w:val="1"/>
                <w:bCs w:val="1"/>
                <w:color w:val="auto"/>
                <w:w w:val="84"/>
              </w:rPr>
              <w:t>Income (Loss)</w:t>
            </w:r>
          </w:p>
        </w:tc>
        <w:tc>
          <w:tcPr>
            <w:tcW w:w="280" w:type="dxa"/>
            <w:vAlign w:val="bottom"/>
          </w:tcPr>
          <w:p>
            <w:pPr>
              <w:spacing w:after="0"/>
              <w:rPr>
                <w:sz w:val="15"/>
                <w:szCs w:val="15"/>
                <w:color w:val="auto"/>
              </w:rPr>
            </w:pPr>
          </w:p>
        </w:tc>
        <w:tc>
          <w:tcPr>
            <w:tcW w:w="980" w:type="dxa"/>
            <w:vAlign w:val="bottom"/>
          </w:tcPr>
          <w:p>
            <w:pPr>
              <w:jc w:val="right"/>
              <w:ind w:right="313"/>
              <w:spacing w:after="0"/>
              <w:rPr>
                <w:sz w:val="20"/>
                <w:szCs w:val="20"/>
                <w:color w:val="auto"/>
              </w:rPr>
            </w:pPr>
            <w:r>
              <w:rPr>
                <w:rFonts w:ascii="Arial" w:cs="Arial" w:eastAsia="Arial" w:hAnsi="Arial"/>
                <w:sz w:val="14"/>
                <w:szCs w:val="14"/>
                <w:b w:val="1"/>
                <w:bCs w:val="1"/>
                <w:color w:val="auto"/>
                <w:w w:val="93"/>
              </w:rPr>
              <w:t>Earnings</w:t>
            </w:r>
          </w:p>
        </w:tc>
        <w:tc>
          <w:tcPr>
            <w:tcW w:w="280" w:type="dxa"/>
            <w:vAlign w:val="bottom"/>
          </w:tcPr>
          <w:p>
            <w:pPr>
              <w:spacing w:after="0"/>
              <w:rPr>
                <w:sz w:val="15"/>
                <w:szCs w:val="15"/>
                <w:color w:val="auto"/>
              </w:rPr>
            </w:pPr>
          </w:p>
        </w:tc>
        <w:tc>
          <w:tcPr>
            <w:tcW w:w="960" w:type="dxa"/>
            <w:vAlign w:val="bottom"/>
          </w:tcPr>
          <w:p>
            <w:pPr>
              <w:jc w:val="center"/>
              <w:ind w:right="274"/>
              <w:spacing w:after="0"/>
              <w:rPr>
                <w:sz w:val="20"/>
                <w:szCs w:val="20"/>
                <w:color w:val="auto"/>
              </w:rPr>
            </w:pPr>
            <w:r>
              <w:rPr>
                <w:rFonts w:ascii="Arial" w:cs="Arial" w:eastAsia="Arial" w:hAnsi="Arial"/>
                <w:sz w:val="14"/>
                <w:szCs w:val="14"/>
                <w:b w:val="1"/>
                <w:bCs w:val="1"/>
                <w:color w:val="auto"/>
                <w:w w:val="88"/>
              </w:rPr>
              <w:t>At Cost</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Equity</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5640" w:type="dxa"/>
            <w:vAlign w:val="bottom"/>
            <w:gridSpan w:val="2"/>
          </w:tcPr>
          <w:p>
            <w:pPr>
              <w:spacing w:after="0"/>
              <w:rPr>
                <w:sz w:val="8"/>
                <w:szCs w:val="8"/>
                <w:color w:val="auto"/>
              </w:rPr>
            </w:pPr>
          </w:p>
        </w:tc>
        <w:tc>
          <w:tcPr>
            <w:tcW w:w="620" w:type="dxa"/>
            <w:vAlign w:val="bottom"/>
          </w:tcPr>
          <w:p>
            <w:pPr>
              <w:spacing w:after="0"/>
              <w:rPr>
                <w:sz w:val="8"/>
                <w:szCs w:val="8"/>
                <w:color w:val="auto"/>
              </w:rPr>
            </w:pPr>
          </w:p>
        </w:tc>
        <w:tc>
          <w:tcPr>
            <w:tcW w:w="1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980" w:type="dxa"/>
            <w:vAlign w:val="bottom"/>
          </w:tcPr>
          <w:p>
            <w:pPr>
              <w:spacing w:after="0"/>
              <w:rPr>
                <w:sz w:val="8"/>
                <w:szCs w:val="8"/>
                <w:color w:val="auto"/>
              </w:rPr>
            </w:pPr>
          </w:p>
        </w:tc>
        <w:tc>
          <w:tcPr>
            <w:tcW w:w="280" w:type="dxa"/>
            <w:vAlign w:val="bottom"/>
          </w:tcPr>
          <w:p>
            <w:pPr>
              <w:spacing w:after="0"/>
              <w:rPr>
                <w:sz w:val="8"/>
                <w:szCs w:val="8"/>
                <w:color w:val="auto"/>
              </w:rPr>
            </w:pPr>
          </w:p>
        </w:tc>
        <w:tc>
          <w:tcPr>
            <w:tcW w:w="9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620" w:type="dxa"/>
            <w:vAlign w:val="bottom"/>
            <w:tcBorders>
              <w:top w:val="single" w:sz="8" w:color="auto"/>
            </w:tcBorders>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1400" w:type="dxa"/>
            <w:vAlign w:val="bottom"/>
            <w:tcBorders>
              <w:top w:val="single" w:sz="8" w:color="auto"/>
            </w:tcBorders>
          </w:tcPr>
          <w:p>
            <w:pPr>
              <w:spacing w:after="0"/>
              <w:rPr>
                <w:sz w:val="8"/>
                <w:szCs w:val="8"/>
                <w:color w:val="auto"/>
              </w:rPr>
            </w:pPr>
          </w:p>
        </w:tc>
        <w:tc>
          <w:tcPr>
            <w:tcW w:w="280" w:type="dxa"/>
            <w:vAlign w:val="bottom"/>
            <w:tcBorders>
              <w:top w:val="single" w:sz="8" w:color="auto"/>
            </w:tcBorders>
          </w:tcPr>
          <w:p>
            <w:pPr>
              <w:spacing w:after="0"/>
              <w:rPr>
                <w:sz w:val="8"/>
                <w:szCs w:val="8"/>
                <w:color w:val="auto"/>
              </w:rPr>
            </w:pPr>
          </w:p>
        </w:tc>
        <w:tc>
          <w:tcPr>
            <w:tcW w:w="980" w:type="dxa"/>
            <w:vAlign w:val="bottom"/>
            <w:tcBorders>
              <w:top w:val="single" w:sz="8" w:color="auto"/>
            </w:tcBorders>
          </w:tcPr>
          <w:p>
            <w:pPr>
              <w:spacing w:after="0"/>
              <w:rPr>
                <w:sz w:val="8"/>
                <w:szCs w:val="8"/>
                <w:color w:val="auto"/>
              </w:rPr>
            </w:pPr>
          </w:p>
        </w:tc>
        <w:tc>
          <w:tcPr>
            <w:tcW w:w="280" w:type="dxa"/>
            <w:vAlign w:val="bottom"/>
            <w:tcBorders>
              <w:top w:val="single" w:sz="8" w:color="auto"/>
            </w:tcBorders>
          </w:tcPr>
          <w:p>
            <w:pPr>
              <w:spacing w:after="0"/>
              <w:rPr>
                <w:sz w:val="8"/>
                <w:szCs w:val="8"/>
                <w:color w:val="auto"/>
              </w:rPr>
            </w:pPr>
          </w:p>
        </w:tc>
        <w:tc>
          <w:tcPr>
            <w:tcW w:w="96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102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620" w:type="dxa"/>
            <w:vAlign w:val="bottom"/>
            <w:shd w:val="clear" w:color="auto" w:fill="E6E6E6"/>
          </w:tcPr>
          <w:p>
            <w:pPr>
              <w:spacing w:after="0" w:line="202" w:lineRule="exact"/>
              <w:rPr>
                <w:sz w:val="20"/>
                <w:szCs w:val="20"/>
                <w:color w:val="auto"/>
              </w:rPr>
            </w:pPr>
            <w:r>
              <w:rPr>
                <w:rFonts w:ascii="Arial" w:cs="Arial" w:eastAsia="Arial" w:hAnsi="Arial"/>
                <w:sz w:val="18"/>
                <w:szCs w:val="18"/>
                <w:b w:val="1"/>
                <w:bCs w:val="1"/>
                <w:color w:val="auto"/>
              </w:rPr>
              <w:t>Balance at May 31, 2007</w:t>
            </w:r>
          </w:p>
        </w:tc>
        <w:tc>
          <w:tcPr>
            <w:tcW w:w="620" w:type="dxa"/>
            <w:vAlign w:val="bottom"/>
            <w:shd w:val="clear" w:color="auto" w:fill="E6E6E6"/>
          </w:tcPr>
          <w:p>
            <w:pPr>
              <w:jc w:val="right"/>
              <w:ind w:right="16"/>
              <w:spacing w:after="0" w:line="202" w:lineRule="exact"/>
              <w:rPr>
                <w:sz w:val="20"/>
                <w:szCs w:val="20"/>
                <w:color w:val="auto"/>
              </w:rPr>
            </w:pPr>
            <w:r>
              <w:rPr>
                <w:rFonts w:ascii="Arial" w:cs="Arial" w:eastAsia="Arial" w:hAnsi="Arial"/>
                <w:sz w:val="18"/>
                <w:szCs w:val="18"/>
                <w:b w:val="1"/>
                <w:bCs w:val="1"/>
                <w:color w:val="auto"/>
              </w:rPr>
              <w:t>$</w:t>
            </w:r>
          </w:p>
        </w:tc>
        <w:tc>
          <w:tcPr>
            <w:tcW w:w="1400" w:type="dxa"/>
            <w:vAlign w:val="bottom"/>
            <w:shd w:val="clear" w:color="auto" w:fill="E6E6E6"/>
          </w:tcPr>
          <w:p>
            <w:pPr>
              <w:jc w:val="right"/>
              <w:ind w:right="73"/>
              <w:spacing w:after="0" w:line="202" w:lineRule="exact"/>
              <w:rPr>
                <w:sz w:val="20"/>
                <w:szCs w:val="20"/>
                <w:color w:val="auto"/>
              </w:rPr>
            </w:pPr>
            <w:r>
              <w:rPr>
                <w:rFonts w:ascii="Arial" w:cs="Arial" w:eastAsia="Arial" w:hAnsi="Arial"/>
                <w:sz w:val="18"/>
                <w:szCs w:val="18"/>
                <w:b w:val="1"/>
                <w:bCs w:val="1"/>
                <w:color w:val="auto"/>
              </w:rPr>
              <w:t>(34.5)</w:t>
            </w:r>
          </w:p>
        </w:tc>
        <w:tc>
          <w:tcPr>
            <w:tcW w:w="28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980" w:type="dxa"/>
            <w:vAlign w:val="bottom"/>
            <w:shd w:val="clear" w:color="auto" w:fill="E6E6E6"/>
          </w:tcPr>
          <w:p>
            <w:pPr>
              <w:jc w:val="right"/>
              <w:ind w:right="113"/>
              <w:spacing w:after="0" w:line="202" w:lineRule="exact"/>
              <w:rPr>
                <w:sz w:val="20"/>
                <w:szCs w:val="20"/>
                <w:color w:val="auto"/>
              </w:rPr>
            </w:pPr>
            <w:r>
              <w:rPr>
                <w:rFonts w:ascii="Arial" w:cs="Arial" w:eastAsia="Arial" w:hAnsi="Arial"/>
                <w:sz w:val="18"/>
                <w:szCs w:val="18"/>
                <w:b w:val="1"/>
                <w:bCs w:val="1"/>
                <w:color w:val="auto"/>
              </w:rPr>
              <w:t>611.8</w:t>
            </w:r>
          </w:p>
        </w:tc>
        <w:tc>
          <w:tcPr>
            <w:tcW w:w="28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960" w:type="dxa"/>
            <w:vAlign w:val="bottom"/>
            <w:shd w:val="clear" w:color="auto" w:fill="E6E6E6"/>
          </w:tcPr>
          <w:p>
            <w:pPr>
              <w:jc w:val="right"/>
              <w:ind w:right="114"/>
              <w:spacing w:after="0" w:line="202" w:lineRule="exact"/>
              <w:rPr>
                <w:sz w:val="20"/>
                <w:szCs w:val="20"/>
                <w:color w:val="auto"/>
              </w:rPr>
            </w:pPr>
            <w:r>
              <w:rPr>
                <w:rFonts w:ascii="Arial" w:cs="Arial" w:eastAsia="Arial" w:hAnsi="Arial"/>
                <w:sz w:val="18"/>
                <w:szCs w:val="18"/>
                <w:b w:val="1"/>
                <w:bCs w:val="1"/>
                <w:color w:val="auto"/>
              </w:rPr>
              <w:t>0.0</w:t>
            </w:r>
          </w:p>
        </w:tc>
        <w:tc>
          <w:tcPr>
            <w:tcW w:w="240" w:type="dxa"/>
            <w:vAlign w:val="bottom"/>
            <w:gridSpan w:val="2"/>
            <w:shd w:val="clear" w:color="auto" w:fill="E6E6E6"/>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1020" w:type="dxa"/>
            <w:vAlign w:val="bottom"/>
            <w:shd w:val="clear" w:color="auto" w:fill="E6E6E6"/>
          </w:tcPr>
          <w:p>
            <w:pPr>
              <w:jc w:val="right"/>
              <w:ind w:right="14"/>
              <w:spacing w:after="0" w:line="202" w:lineRule="exact"/>
              <w:rPr>
                <w:sz w:val="20"/>
                <w:szCs w:val="20"/>
                <w:color w:val="auto"/>
              </w:rPr>
            </w:pPr>
            <w:r>
              <w:rPr>
                <w:rFonts w:ascii="Arial" w:cs="Arial" w:eastAsia="Arial" w:hAnsi="Arial"/>
                <w:sz w:val="18"/>
                <w:szCs w:val="18"/>
                <w:b w:val="1"/>
                <w:bCs w:val="1"/>
                <w:color w:val="auto"/>
              </w:rPr>
              <w:t>1,068.0</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40" w:type="dxa"/>
            <w:vAlign w:val="bottom"/>
            <w:gridSpan w:val="2"/>
          </w:tcPr>
          <w:p>
            <w:pPr>
              <w:spacing w:after="0" w:line="202" w:lineRule="exact"/>
              <w:rPr>
                <w:sz w:val="20"/>
                <w:szCs w:val="20"/>
                <w:color w:val="auto"/>
              </w:rPr>
            </w:pPr>
            <w:r>
              <w:rPr>
                <w:rFonts w:ascii="Arial" w:cs="Arial" w:eastAsia="Arial" w:hAnsi="Arial"/>
                <w:sz w:val="18"/>
                <w:szCs w:val="18"/>
                <w:color w:val="auto"/>
              </w:rPr>
              <w:t>Comprehensive loss:</w:t>
            </w:r>
          </w:p>
        </w:tc>
        <w:tc>
          <w:tcPr>
            <w:tcW w:w="6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20" w:type="dxa"/>
            <w:vAlign w:val="bottom"/>
            <w:shd w:val="clear" w:color="auto" w:fill="E6E6E6"/>
          </w:tcPr>
          <w:p>
            <w:pPr>
              <w:ind w:left="140"/>
              <w:spacing w:after="0" w:line="202" w:lineRule="exact"/>
              <w:rPr>
                <w:sz w:val="20"/>
                <w:szCs w:val="20"/>
                <w:color w:val="auto"/>
              </w:rPr>
            </w:pPr>
            <w:r>
              <w:rPr>
                <w:rFonts w:ascii="Arial" w:cs="Arial" w:eastAsia="Arial" w:hAnsi="Arial"/>
                <w:sz w:val="18"/>
                <w:szCs w:val="18"/>
                <w:color w:val="auto"/>
              </w:rPr>
              <w:t>Net Loss</w:t>
            </w:r>
          </w:p>
        </w:tc>
        <w:tc>
          <w:tcPr>
            <w:tcW w:w="620" w:type="dxa"/>
            <w:vAlign w:val="bottom"/>
            <w:shd w:val="clear" w:color="auto" w:fill="E6E6E6"/>
          </w:tcPr>
          <w:p>
            <w:pPr>
              <w:spacing w:after="0"/>
              <w:rPr>
                <w:sz w:val="17"/>
                <w:szCs w:val="17"/>
                <w:color w:val="auto"/>
              </w:rPr>
            </w:pPr>
          </w:p>
        </w:tc>
        <w:tc>
          <w:tcPr>
            <w:tcW w:w="1400" w:type="dxa"/>
            <w:vAlign w:val="bottom"/>
            <w:shd w:val="clear" w:color="auto" w:fill="E6E6E6"/>
          </w:tcPr>
          <w:p>
            <w:pPr>
              <w:jc w:val="right"/>
              <w:ind w:right="133"/>
              <w:spacing w:after="0" w:line="202" w:lineRule="exact"/>
              <w:rPr>
                <w:sz w:val="20"/>
                <w:szCs w:val="20"/>
                <w:color w:val="auto"/>
              </w:rPr>
            </w:pPr>
            <w:r>
              <w:rPr>
                <w:rFonts w:ascii="Arial" w:cs="Arial" w:eastAsia="Arial" w:hAnsi="Arial"/>
                <w:sz w:val="18"/>
                <w:szCs w:val="18"/>
                <w:color w:val="auto"/>
              </w:rPr>
              <w:t>—</w:t>
            </w:r>
          </w:p>
        </w:tc>
        <w:tc>
          <w:tcPr>
            <w:tcW w:w="280" w:type="dxa"/>
            <w:vAlign w:val="bottom"/>
            <w:shd w:val="clear" w:color="auto" w:fill="E6E6E6"/>
          </w:tcPr>
          <w:p>
            <w:pPr>
              <w:spacing w:after="0"/>
              <w:rPr>
                <w:sz w:val="17"/>
                <w:szCs w:val="17"/>
                <w:color w:val="auto"/>
              </w:rPr>
            </w:pPr>
          </w:p>
        </w:tc>
        <w:tc>
          <w:tcPr>
            <w:tcW w:w="980" w:type="dxa"/>
            <w:vAlign w:val="bottom"/>
            <w:shd w:val="clear" w:color="auto" w:fill="E6E6E6"/>
          </w:tcPr>
          <w:p>
            <w:pPr>
              <w:jc w:val="right"/>
              <w:ind w:right="53"/>
              <w:spacing w:after="0" w:line="202" w:lineRule="exact"/>
              <w:rPr>
                <w:sz w:val="20"/>
                <w:szCs w:val="20"/>
                <w:color w:val="auto"/>
              </w:rPr>
            </w:pPr>
            <w:r>
              <w:rPr>
                <w:rFonts w:ascii="Arial" w:cs="Arial" w:eastAsia="Arial" w:hAnsi="Arial"/>
                <w:sz w:val="18"/>
                <w:szCs w:val="18"/>
                <w:color w:val="auto"/>
              </w:rPr>
              <w:t>(17.2)</w:t>
            </w:r>
          </w:p>
        </w:tc>
        <w:tc>
          <w:tcPr>
            <w:tcW w:w="280" w:type="dxa"/>
            <w:vAlign w:val="bottom"/>
            <w:shd w:val="clear" w:color="auto" w:fill="E6E6E6"/>
          </w:tcPr>
          <w:p>
            <w:pPr>
              <w:spacing w:after="0"/>
              <w:rPr>
                <w:sz w:val="17"/>
                <w:szCs w:val="17"/>
                <w:color w:val="auto"/>
              </w:rPr>
            </w:pPr>
          </w:p>
        </w:tc>
        <w:tc>
          <w:tcPr>
            <w:tcW w:w="960" w:type="dxa"/>
            <w:vAlign w:val="bottom"/>
            <w:shd w:val="clear" w:color="auto" w:fill="E6E6E6"/>
          </w:tcPr>
          <w:p>
            <w:pPr>
              <w:jc w:val="right"/>
              <w:ind w:right="114"/>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E6E6E6"/>
          </w:tcPr>
          <w:p>
            <w:pPr>
              <w:spacing w:after="0"/>
              <w:rPr>
                <w:sz w:val="17"/>
                <w:szCs w:val="17"/>
                <w:color w:val="auto"/>
              </w:rPr>
            </w:pPr>
          </w:p>
        </w:tc>
        <w:tc>
          <w:tcPr>
            <w:tcW w:w="100" w:type="dxa"/>
            <w:vAlign w:val="bottom"/>
            <w:shd w:val="clear" w:color="auto" w:fill="E6E6E6"/>
          </w:tcPr>
          <w:p>
            <w:pPr>
              <w:spacing w:after="0"/>
              <w:rPr>
                <w:sz w:val="17"/>
                <w:szCs w:val="17"/>
                <w:color w:val="auto"/>
              </w:rPr>
            </w:pPr>
          </w:p>
        </w:tc>
        <w:tc>
          <w:tcPr>
            <w:tcW w:w="102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(17.2)</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20" w:type="dxa"/>
            <w:vAlign w:val="bottom"/>
          </w:tcPr>
          <w:p>
            <w:pPr>
              <w:ind w:left="140"/>
              <w:spacing w:after="0" w:line="202" w:lineRule="exact"/>
              <w:rPr>
                <w:sz w:val="20"/>
                <w:szCs w:val="20"/>
                <w:color w:val="auto"/>
              </w:rPr>
            </w:pPr>
            <w:r>
              <w:rPr>
                <w:rFonts w:ascii="Arial" w:cs="Arial" w:eastAsia="Arial" w:hAnsi="Arial"/>
                <w:sz w:val="18"/>
                <w:szCs w:val="18"/>
                <w:color w:val="auto"/>
              </w:rPr>
              <w:t>Other comprehensive loss, net:</w:t>
            </w:r>
          </w:p>
        </w:tc>
        <w:tc>
          <w:tcPr>
            <w:tcW w:w="6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20" w:type="dxa"/>
            <w:vAlign w:val="bottom"/>
            <w:shd w:val="clear" w:color="auto" w:fill="E6E6E6"/>
          </w:tcPr>
          <w:p>
            <w:pPr>
              <w:ind w:left="300"/>
              <w:spacing w:after="0" w:line="202" w:lineRule="exact"/>
              <w:rPr>
                <w:sz w:val="20"/>
                <w:szCs w:val="20"/>
                <w:color w:val="auto"/>
              </w:rPr>
            </w:pPr>
            <w:r>
              <w:rPr>
                <w:rFonts w:ascii="Arial" w:cs="Arial" w:eastAsia="Arial" w:hAnsi="Arial"/>
                <w:sz w:val="18"/>
                <w:szCs w:val="18"/>
                <w:color w:val="auto"/>
              </w:rPr>
              <w:t>Foreign currency translation adjustment</w:t>
            </w:r>
          </w:p>
        </w:tc>
        <w:tc>
          <w:tcPr>
            <w:tcW w:w="620" w:type="dxa"/>
            <w:vAlign w:val="bottom"/>
            <w:shd w:val="clear" w:color="auto" w:fill="E6E6E6"/>
          </w:tcPr>
          <w:p>
            <w:pPr>
              <w:spacing w:after="0"/>
              <w:rPr>
                <w:sz w:val="17"/>
                <w:szCs w:val="17"/>
                <w:color w:val="auto"/>
              </w:rPr>
            </w:pPr>
          </w:p>
        </w:tc>
        <w:tc>
          <w:tcPr>
            <w:tcW w:w="1400" w:type="dxa"/>
            <w:vAlign w:val="bottom"/>
            <w:shd w:val="clear" w:color="auto" w:fill="E6E6E6"/>
          </w:tcPr>
          <w:p>
            <w:pPr>
              <w:jc w:val="right"/>
              <w:ind w:right="133"/>
              <w:spacing w:after="0" w:line="202" w:lineRule="exact"/>
              <w:rPr>
                <w:sz w:val="20"/>
                <w:szCs w:val="20"/>
                <w:color w:val="auto"/>
              </w:rPr>
            </w:pPr>
            <w:r>
              <w:rPr>
                <w:rFonts w:ascii="Arial" w:cs="Arial" w:eastAsia="Arial" w:hAnsi="Arial"/>
                <w:sz w:val="18"/>
                <w:szCs w:val="18"/>
                <w:color w:val="auto"/>
              </w:rPr>
              <w:t>1.9</w:t>
            </w:r>
          </w:p>
        </w:tc>
        <w:tc>
          <w:tcPr>
            <w:tcW w:w="280" w:type="dxa"/>
            <w:vAlign w:val="bottom"/>
            <w:shd w:val="clear" w:color="auto" w:fill="E6E6E6"/>
          </w:tcPr>
          <w:p>
            <w:pPr>
              <w:spacing w:after="0"/>
              <w:rPr>
                <w:sz w:val="17"/>
                <w:szCs w:val="17"/>
                <w:color w:val="auto"/>
              </w:rPr>
            </w:pPr>
          </w:p>
        </w:tc>
        <w:tc>
          <w:tcPr>
            <w:tcW w:w="980" w:type="dxa"/>
            <w:vAlign w:val="bottom"/>
            <w:shd w:val="clear" w:color="auto" w:fill="E6E6E6"/>
          </w:tcPr>
          <w:p>
            <w:pPr>
              <w:jc w:val="right"/>
              <w:ind w:right="113"/>
              <w:spacing w:after="0" w:line="202" w:lineRule="exact"/>
              <w:rPr>
                <w:sz w:val="20"/>
                <w:szCs w:val="20"/>
                <w:color w:val="auto"/>
              </w:rPr>
            </w:pPr>
            <w:r>
              <w:rPr>
                <w:rFonts w:ascii="Arial" w:cs="Arial" w:eastAsia="Arial" w:hAnsi="Arial"/>
                <w:sz w:val="18"/>
                <w:szCs w:val="18"/>
                <w:color w:val="auto"/>
              </w:rPr>
              <w:t>—</w:t>
            </w:r>
          </w:p>
        </w:tc>
        <w:tc>
          <w:tcPr>
            <w:tcW w:w="280" w:type="dxa"/>
            <w:vAlign w:val="bottom"/>
            <w:shd w:val="clear" w:color="auto" w:fill="E6E6E6"/>
          </w:tcPr>
          <w:p>
            <w:pPr>
              <w:spacing w:after="0"/>
              <w:rPr>
                <w:sz w:val="17"/>
                <w:szCs w:val="17"/>
                <w:color w:val="auto"/>
              </w:rPr>
            </w:pPr>
          </w:p>
        </w:tc>
        <w:tc>
          <w:tcPr>
            <w:tcW w:w="960" w:type="dxa"/>
            <w:vAlign w:val="bottom"/>
            <w:shd w:val="clear" w:color="auto" w:fill="E6E6E6"/>
          </w:tcPr>
          <w:p>
            <w:pPr>
              <w:jc w:val="right"/>
              <w:ind w:right="114"/>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E6E6E6"/>
          </w:tcPr>
          <w:p>
            <w:pPr>
              <w:spacing w:after="0"/>
              <w:rPr>
                <w:sz w:val="17"/>
                <w:szCs w:val="17"/>
                <w:color w:val="auto"/>
              </w:rPr>
            </w:pPr>
          </w:p>
        </w:tc>
        <w:tc>
          <w:tcPr>
            <w:tcW w:w="100" w:type="dxa"/>
            <w:vAlign w:val="bottom"/>
            <w:shd w:val="clear" w:color="auto" w:fill="E6E6E6"/>
          </w:tcPr>
          <w:p>
            <w:pPr>
              <w:spacing w:after="0"/>
              <w:rPr>
                <w:sz w:val="17"/>
                <w:szCs w:val="17"/>
                <w:color w:val="auto"/>
              </w:rPr>
            </w:pPr>
          </w:p>
        </w:tc>
        <w:tc>
          <w:tcPr>
            <w:tcW w:w="1020" w:type="dxa"/>
            <w:vAlign w:val="bottom"/>
            <w:shd w:val="clear" w:color="auto" w:fill="E6E6E6"/>
          </w:tcPr>
          <w:p>
            <w:pPr>
              <w:jc w:val="right"/>
              <w:ind w:right="14"/>
              <w:spacing w:after="0" w:line="202" w:lineRule="exact"/>
              <w:rPr>
                <w:sz w:val="20"/>
                <w:szCs w:val="20"/>
                <w:color w:val="auto"/>
              </w:rPr>
            </w:pPr>
            <w:r>
              <w:rPr>
                <w:rFonts w:ascii="Arial" w:cs="Arial" w:eastAsia="Arial" w:hAnsi="Arial"/>
                <w:sz w:val="18"/>
                <w:szCs w:val="18"/>
                <w:color w:val="auto"/>
              </w:rPr>
              <w:t>1.9</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620" w:type="dxa"/>
            <w:vAlign w:val="bottom"/>
          </w:tcPr>
          <w:p>
            <w:pPr>
              <w:ind w:left="300"/>
              <w:spacing w:after="0"/>
              <w:rPr>
                <w:sz w:val="20"/>
                <w:szCs w:val="20"/>
                <w:color w:val="auto"/>
              </w:rPr>
            </w:pPr>
            <w:r>
              <w:rPr>
                <w:rFonts w:ascii="Arial" w:cs="Arial" w:eastAsia="Arial" w:hAnsi="Arial"/>
                <w:sz w:val="18"/>
                <w:szCs w:val="18"/>
                <w:color w:val="auto"/>
              </w:rPr>
              <w:t>Pension and postretirement adjustments (net of tax of $(1.2))</w:t>
            </w:r>
          </w:p>
        </w:tc>
        <w:tc>
          <w:tcPr>
            <w:tcW w:w="620" w:type="dxa"/>
            <w:vAlign w:val="bottom"/>
          </w:tcPr>
          <w:p>
            <w:pPr>
              <w:spacing w:after="0"/>
              <w:rPr>
                <w:sz w:val="18"/>
                <w:szCs w:val="18"/>
                <w:color w:val="auto"/>
              </w:rPr>
            </w:pPr>
          </w:p>
        </w:tc>
        <w:tc>
          <w:tcPr>
            <w:tcW w:w="1400" w:type="dxa"/>
            <w:vAlign w:val="bottom"/>
          </w:tcPr>
          <w:p>
            <w:pPr>
              <w:jc w:val="right"/>
              <w:ind w:right="73"/>
              <w:spacing w:after="0"/>
              <w:rPr>
                <w:sz w:val="20"/>
                <w:szCs w:val="20"/>
                <w:color w:val="auto"/>
              </w:rPr>
            </w:pPr>
            <w:r>
              <w:rPr>
                <w:rFonts w:ascii="Arial" w:cs="Arial" w:eastAsia="Arial" w:hAnsi="Arial"/>
                <w:sz w:val="18"/>
                <w:szCs w:val="18"/>
                <w:color w:val="auto"/>
              </w:rPr>
              <w:t>(2.1)</w:t>
            </w:r>
          </w:p>
        </w:tc>
        <w:tc>
          <w:tcPr>
            <w:tcW w:w="280" w:type="dxa"/>
            <w:vAlign w:val="bottom"/>
          </w:tcPr>
          <w:p>
            <w:pPr>
              <w:spacing w:after="0"/>
              <w:rPr>
                <w:sz w:val="18"/>
                <w:szCs w:val="18"/>
                <w:color w:val="auto"/>
              </w:rPr>
            </w:pPr>
          </w:p>
        </w:tc>
        <w:tc>
          <w:tcPr>
            <w:tcW w:w="98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960" w:type="dxa"/>
            <w:vAlign w:val="bottom"/>
          </w:tcPr>
          <w:p>
            <w:pPr>
              <w:jc w:val="right"/>
              <w:ind w:right="114"/>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5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980" w:type="dxa"/>
            <w:vAlign w:val="bottom"/>
          </w:tcPr>
          <w:p>
            <w:pPr>
              <w:spacing w:after="0"/>
              <w:rPr>
                <w:sz w:val="8"/>
                <w:szCs w:val="8"/>
                <w:color w:val="auto"/>
              </w:rPr>
            </w:pPr>
          </w:p>
        </w:tc>
        <w:tc>
          <w:tcPr>
            <w:tcW w:w="280" w:type="dxa"/>
            <w:vAlign w:val="bottom"/>
          </w:tcPr>
          <w:p>
            <w:pPr>
              <w:spacing w:after="0"/>
              <w:rPr>
                <w:sz w:val="8"/>
                <w:szCs w:val="8"/>
                <w:color w:val="auto"/>
              </w:rPr>
            </w:pPr>
          </w:p>
        </w:tc>
        <w:tc>
          <w:tcPr>
            <w:tcW w:w="9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980" w:type="dxa"/>
            <w:vAlign w:val="bottom"/>
          </w:tcPr>
          <w:p>
            <w:pPr>
              <w:spacing w:after="0"/>
              <w:rPr>
                <w:sz w:val="8"/>
                <w:szCs w:val="8"/>
                <w:color w:val="auto"/>
              </w:rPr>
            </w:pPr>
          </w:p>
        </w:tc>
        <w:tc>
          <w:tcPr>
            <w:tcW w:w="280" w:type="dxa"/>
            <w:vAlign w:val="bottom"/>
          </w:tcPr>
          <w:p>
            <w:pPr>
              <w:spacing w:after="0"/>
              <w:rPr>
                <w:sz w:val="8"/>
                <w:szCs w:val="8"/>
                <w:color w:val="auto"/>
              </w:rPr>
            </w:pPr>
          </w:p>
        </w:tc>
        <w:tc>
          <w:tcPr>
            <w:tcW w:w="9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20" w:type="dxa"/>
            <w:vAlign w:val="bottom"/>
            <w:shd w:val="clear" w:color="auto" w:fill="E6E6E6"/>
          </w:tcPr>
          <w:p>
            <w:pPr>
              <w:ind w:left="140"/>
              <w:spacing w:after="0" w:line="202" w:lineRule="exact"/>
              <w:rPr>
                <w:sz w:val="20"/>
                <w:szCs w:val="20"/>
                <w:color w:val="auto"/>
              </w:rPr>
            </w:pPr>
            <w:r>
              <w:rPr>
                <w:rFonts w:ascii="Arial" w:cs="Arial" w:eastAsia="Arial" w:hAnsi="Arial"/>
                <w:sz w:val="18"/>
                <w:szCs w:val="18"/>
                <w:color w:val="auto"/>
              </w:rPr>
              <w:t>Total other comprehensive loss</w:t>
            </w:r>
          </w:p>
        </w:tc>
        <w:tc>
          <w:tcPr>
            <w:tcW w:w="620" w:type="dxa"/>
            <w:vAlign w:val="bottom"/>
            <w:shd w:val="clear" w:color="auto" w:fill="E6E6E6"/>
          </w:tcPr>
          <w:p>
            <w:pPr>
              <w:spacing w:after="0"/>
              <w:rPr>
                <w:sz w:val="17"/>
                <w:szCs w:val="17"/>
                <w:color w:val="auto"/>
              </w:rPr>
            </w:pPr>
          </w:p>
        </w:tc>
        <w:tc>
          <w:tcPr>
            <w:tcW w:w="1400" w:type="dxa"/>
            <w:vAlign w:val="bottom"/>
            <w:shd w:val="clear" w:color="auto" w:fill="E6E6E6"/>
          </w:tcPr>
          <w:p>
            <w:pPr>
              <w:jc w:val="right"/>
              <w:ind w:right="133"/>
              <w:spacing w:after="0" w:line="202" w:lineRule="exact"/>
              <w:rPr>
                <w:sz w:val="20"/>
                <w:szCs w:val="20"/>
                <w:color w:val="auto"/>
              </w:rPr>
            </w:pPr>
            <w:r>
              <w:rPr>
                <w:rFonts w:ascii="Arial" w:cs="Arial" w:eastAsia="Arial" w:hAnsi="Arial"/>
                <w:sz w:val="18"/>
                <w:szCs w:val="18"/>
                <w:color w:val="auto"/>
              </w:rPr>
              <w:t>—</w:t>
            </w:r>
          </w:p>
        </w:tc>
        <w:tc>
          <w:tcPr>
            <w:tcW w:w="280" w:type="dxa"/>
            <w:vAlign w:val="bottom"/>
            <w:shd w:val="clear" w:color="auto" w:fill="E6E6E6"/>
          </w:tcPr>
          <w:p>
            <w:pPr>
              <w:spacing w:after="0"/>
              <w:rPr>
                <w:sz w:val="17"/>
                <w:szCs w:val="17"/>
                <w:color w:val="auto"/>
              </w:rPr>
            </w:pPr>
          </w:p>
        </w:tc>
        <w:tc>
          <w:tcPr>
            <w:tcW w:w="980" w:type="dxa"/>
            <w:vAlign w:val="bottom"/>
            <w:shd w:val="clear" w:color="auto" w:fill="E6E6E6"/>
          </w:tcPr>
          <w:p>
            <w:pPr>
              <w:jc w:val="right"/>
              <w:ind w:right="113"/>
              <w:spacing w:after="0" w:line="202" w:lineRule="exact"/>
              <w:rPr>
                <w:sz w:val="20"/>
                <w:szCs w:val="20"/>
                <w:color w:val="auto"/>
              </w:rPr>
            </w:pPr>
            <w:r>
              <w:rPr>
                <w:rFonts w:ascii="Arial" w:cs="Arial" w:eastAsia="Arial" w:hAnsi="Arial"/>
                <w:sz w:val="18"/>
                <w:szCs w:val="18"/>
                <w:color w:val="auto"/>
              </w:rPr>
              <w:t>—</w:t>
            </w:r>
          </w:p>
        </w:tc>
        <w:tc>
          <w:tcPr>
            <w:tcW w:w="280" w:type="dxa"/>
            <w:vAlign w:val="bottom"/>
            <w:shd w:val="clear" w:color="auto" w:fill="E6E6E6"/>
          </w:tcPr>
          <w:p>
            <w:pPr>
              <w:spacing w:after="0"/>
              <w:rPr>
                <w:sz w:val="17"/>
                <w:szCs w:val="17"/>
                <w:color w:val="auto"/>
              </w:rPr>
            </w:pPr>
          </w:p>
        </w:tc>
        <w:tc>
          <w:tcPr>
            <w:tcW w:w="960" w:type="dxa"/>
            <w:vAlign w:val="bottom"/>
            <w:shd w:val="clear" w:color="auto" w:fill="E6E6E6"/>
          </w:tcPr>
          <w:p>
            <w:pPr>
              <w:jc w:val="right"/>
              <w:ind w:right="114"/>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E6E6E6"/>
          </w:tcPr>
          <w:p>
            <w:pPr>
              <w:spacing w:after="0"/>
              <w:rPr>
                <w:sz w:val="17"/>
                <w:szCs w:val="17"/>
                <w:color w:val="auto"/>
              </w:rPr>
            </w:pPr>
          </w:p>
        </w:tc>
        <w:tc>
          <w:tcPr>
            <w:tcW w:w="100" w:type="dxa"/>
            <w:vAlign w:val="bottom"/>
            <w:shd w:val="clear" w:color="auto" w:fill="E6E6E6"/>
          </w:tcPr>
          <w:p>
            <w:pPr>
              <w:spacing w:after="0"/>
              <w:rPr>
                <w:sz w:val="17"/>
                <w:szCs w:val="17"/>
                <w:color w:val="auto"/>
              </w:rPr>
            </w:pPr>
          </w:p>
        </w:tc>
        <w:tc>
          <w:tcPr>
            <w:tcW w:w="102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(0.2)</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5640" w:type="dxa"/>
            <w:vAlign w:val="bottom"/>
            <w:gridSpan w:val="2"/>
          </w:tcPr>
          <w:p>
            <w:pPr>
              <w:spacing w:after="0"/>
              <w:rPr>
                <w:sz w:val="9"/>
                <w:szCs w:val="9"/>
                <w:color w:val="auto"/>
              </w:rPr>
            </w:pPr>
          </w:p>
        </w:tc>
        <w:tc>
          <w:tcPr>
            <w:tcW w:w="6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280" w:type="dxa"/>
            <w:vAlign w:val="bottom"/>
          </w:tcPr>
          <w:p>
            <w:pPr>
              <w:spacing w:after="0"/>
              <w:rPr>
                <w:sz w:val="9"/>
                <w:szCs w:val="9"/>
                <w:color w:val="auto"/>
              </w:rPr>
            </w:pPr>
          </w:p>
        </w:tc>
        <w:tc>
          <w:tcPr>
            <w:tcW w:w="980" w:type="dxa"/>
            <w:vAlign w:val="bottom"/>
          </w:tcPr>
          <w:p>
            <w:pPr>
              <w:spacing w:after="0"/>
              <w:rPr>
                <w:sz w:val="9"/>
                <w:szCs w:val="9"/>
                <w:color w:val="auto"/>
              </w:rPr>
            </w:pPr>
          </w:p>
        </w:tc>
        <w:tc>
          <w:tcPr>
            <w:tcW w:w="280" w:type="dxa"/>
            <w:vAlign w:val="bottom"/>
          </w:tcPr>
          <w:p>
            <w:pPr>
              <w:spacing w:after="0"/>
              <w:rPr>
                <w:sz w:val="9"/>
                <w:szCs w:val="9"/>
                <w:color w:val="auto"/>
              </w:rPr>
            </w:pPr>
          </w:p>
        </w:tc>
        <w:tc>
          <w:tcPr>
            <w:tcW w:w="9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4"/>
        </w:trPr>
        <w:tc>
          <w:tcPr>
            <w:tcW w:w="5640" w:type="dxa"/>
            <w:vAlign w:val="bottom"/>
            <w:gridSpan w:val="2"/>
          </w:tcPr>
          <w:p>
            <w:pPr>
              <w:spacing w:after="0"/>
              <w:rPr>
                <w:sz w:val="20"/>
                <w:szCs w:val="20"/>
                <w:color w:val="auto"/>
              </w:rPr>
            </w:pPr>
            <w:r>
              <w:rPr>
                <w:rFonts w:ascii="Arial" w:cs="Arial" w:eastAsia="Arial" w:hAnsi="Arial"/>
                <w:sz w:val="18"/>
                <w:szCs w:val="18"/>
                <w:color w:val="auto"/>
              </w:rPr>
              <w:t>Total comprehensive loss</w:t>
            </w:r>
          </w:p>
        </w:tc>
        <w:tc>
          <w:tcPr>
            <w:tcW w:w="620" w:type="dxa"/>
            <w:vAlign w:val="bottom"/>
          </w:tcPr>
          <w:p>
            <w:pPr>
              <w:spacing w:after="0"/>
              <w:rPr>
                <w:sz w:val="24"/>
                <w:szCs w:val="24"/>
                <w:color w:val="auto"/>
              </w:rPr>
            </w:pPr>
          </w:p>
        </w:tc>
        <w:tc>
          <w:tcPr>
            <w:tcW w:w="1400" w:type="dxa"/>
            <w:vAlign w:val="bottom"/>
          </w:tcPr>
          <w:p>
            <w:pPr>
              <w:jc w:val="right"/>
              <w:ind w:right="133"/>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98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960" w:type="dxa"/>
            <w:vAlign w:val="bottom"/>
          </w:tcPr>
          <w:p>
            <w:pPr>
              <w:jc w:val="right"/>
              <w:ind w:right="114"/>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(17.4)</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2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Stock-based compensation</w:t>
            </w:r>
          </w:p>
        </w:tc>
        <w:tc>
          <w:tcPr>
            <w:tcW w:w="620" w:type="dxa"/>
            <w:vAlign w:val="bottom"/>
            <w:shd w:val="clear" w:color="auto" w:fill="E6E6E6"/>
          </w:tcPr>
          <w:p>
            <w:pPr>
              <w:spacing w:after="0"/>
              <w:rPr>
                <w:sz w:val="17"/>
                <w:szCs w:val="17"/>
                <w:color w:val="auto"/>
              </w:rPr>
            </w:pPr>
          </w:p>
        </w:tc>
        <w:tc>
          <w:tcPr>
            <w:tcW w:w="1400" w:type="dxa"/>
            <w:vAlign w:val="bottom"/>
            <w:shd w:val="clear" w:color="auto" w:fill="E6E6E6"/>
          </w:tcPr>
          <w:p>
            <w:pPr>
              <w:jc w:val="right"/>
              <w:ind w:right="133"/>
              <w:spacing w:after="0" w:line="202" w:lineRule="exact"/>
              <w:rPr>
                <w:sz w:val="20"/>
                <w:szCs w:val="20"/>
                <w:color w:val="auto"/>
              </w:rPr>
            </w:pPr>
            <w:r>
              <w:rPr>
                <w:rFonts w:ascii="Arial" w:cs="Arial" w:eastAsia="Arial" w:hAnsi="Arial"/>
                <w:sz w:val="18"/>
                <w:szCs w:val="18"/>
                <w:color w:val="auto"/>
              </w:rPr>
              <w:t>—</w:t>
            </w:r>
          </w:p>
        </w:tc>
        <w:tc>
          <w:tcPr>
            <w:tcW w:w="280" w:type="dxa"/>
            <w:vAlign w:val="bottom"/>
            <w:shd w:val="clear" w:color="auto" w:fill="E6E6E6"/>
          </w:tcPr>
          <w:p>
            <w:pPr>
              <w:spacing w:after="0"/>
              <w:rPr>
                <w:sz w:val="17"/>
                <w:szCs w:val="17"/>
                <w:color w:val="auto"/>
              </w:rPr>
            </w:pPr>
          </w:p>
        </w:tc>
        <w:tc>
          <w:tcPr>
            <w:tcW w:w="980" w:type="dxa"/>
            <w:vAlign w:val="bottom"/>
            <w:shd w:val="clear" w:color="auto" w:fill="E6E6E6"/>
          </w:tcPr>
          <w:p>
            <w:pPr>
              <w:jc w:val="right"/>
              <w:ind w:right="113"/>
              <w:spacing w:after="0" w:line="202" w:lineRule="exact"/>
              <w:rPr>
                <w:sz w:val="20"/>
                <w:szCs w:val="20"/>
                <w:color w:val="auto"/>
              </w:rPr>
            </w:pPr>
            <w:r>
              <w:rPr>
                <w:rFonts w:ascii="Arial" w:cs="Arial" w:eastAsia="Arial" w:hAnsi="Arial"/>
                <w:sz w:val="18"/>
                <w:szCs w:val="18"/>
                <w:color w:val="auto"/>
              </w:rPr>
              <w:t>—</w:t>
            </w:r>
          </w:p>
        </w:tc>
        <w:tc>
          <w:tcPr>
            <w:tcW w:w="280" w:type="dxa"/>
            <w:vAlign w:val="bottom"/>
            <w:shd w:val="clear" w:color="auto" w:fill="E6E6E6"/>
          </w:tcPr>
          <w:p>
            <w:pPr>
              <w:spacing w:after="0"/>
              <w:rPr>
                <w:sz w:val="17"/>
                <w:szCs w:val="17"/>
                <w:color w:val="auto"/>
              </w:rPr>
            </w:pPr>
          </w:p>
        </w:tc>
        <w:tc>
          <w:tcPr>
            <w:tcW w:w="960" w:type="dxa"/>
            <w:vAlign w:val="bottom"/>
            <w:shd w:val="clear" w:color="auto" w:fill="E6E6E6"/>
          </w:tcPr>
          <w:p>
            <w:pPr>
              <w:jc w:val="right"/>
              <w:ind w:right="114"/>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E6E6E6"/>
          </w:tcPr>
          <w:p>
            <w:pPr>
              <w:spacing w:after="0"/>
              <w:rPr>
                <w:sz w:val="17"/>
                <w:szCs w:val="17"/>
                <w:color w:val="auto"/>
              </w:rPr>
            </w:pPr>
          </w:p>
        </w:tc>
        <w:tc>
          <w:tcPr>
            <w:tcW w:w="100" w:type="dxa"/>
            <w:vAlign w:val="bottom"/>
            <w:shd w:val="clear" w:color="auto" w:fill="E6E6E6"/>
          </w:tcPr>
          <w:p>
            <w:pPr>
              <w:spacing w:after="0"/>
              <w:rPr>
                <w:sz w:val="17"/>
                <w:szCs w:val="17"/>
                <w:color w:val="auto"/>
              </w:rPr>
            </w:pPr>
          </w:p>
        </w:tc>
        <w:tc>
          <w:tcPr>
            <w:tcW w:w="1020" w:type="dxa"/>
            <w:vAlign w:val="bottom"/>
            <w:shd w:val="clear" w:color="auto" w:fill="E6E6E6"/>
          </w:tcPr>
          <w:p>
            <w:pPr>
              <w:jc w:val="right"/>
              <w:ind w:right="14"/>
              <w:spacing w:after="0" w:line="202" w:lineRule="exact"/>
              <w:rPr>
                <w:sz w:val="20"/>
                <w:szCs w:val="20"/>
                <w:color w:val="auto"/>
              </w:rPr>
            </w:pPr>
            <w:r>
              <w:rPr>
                <w:rFonts w:ascii="Arial" w:cs="Arial" w:eastAsia="Arial" w:hAnsi="Arial"/>
                <w:sz w:val="18"/>
                <w:szCs w:val="18"/>
                <w:color w:val="auto"/>
              </w:rPr>
              <w:t>7.0</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40" w:type="dxa"/>
            <w:vAlign w:val="bottom"/>
            <w:gridSpan w:val="2"/>
          </w:tcPr>
          <w:p>
            <w:pPr>
              <w:spacing w:after="0" w:line="202" w:lineRule="exact"/>
              <w:rPr>
                <w:sz w:val="20"/>
                <w:szCs w:val="20"/>
                <w:color w:val="auto"/>
              </w:rPr>
            </w:pPr>
            <w:r>
              <w:rPr>
                <w:rFonts w:ascii="Arial" w:cs="Arial" w:eastAsia="Arial" w:hAnsi="Arial"/>
                <w:sz w:val="18"/>
                <w:szCs w:val="18"/>
                <w:color w:val="auto"/>
              </w:rPr>
              <w:t>Adoption of FIN 48</w:t>
            </w:r>
          </w:p>
        </w:tc>
        <w:tc>
          <w:tcPr>
            <w:tcW w:w="620" w:type="dxa"/>
            <w:vAlign w:val="bottom"/>
          </w:tcPr>
          <w:p>
            <w:pPr>
              <w:spacing w:after="0"/>
              <w:rPr>
                <w:sz w:val="17"/>
                <w:szCs w:val="17"/>
                <w:color w:val="auto"/>
              </w:rPr>
            </w:pPr>
          </w:p>
        </w:tc>
        <w:tc>
          <w:tcPr>
            <w:tcW w:w="1400" w:type="dxa"/>
            <w:vAlign w:val="bottom"/>
          </w:tcPr>
          <w:p>
            <w:pPr>
              <w:jc w:val="right"/>
              <w:ind w:right="133"/>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980" w:type="dxa"/>
            <w:vAlign w:val="bottom"/>
          </w:tcPr>
          <w:p>
            <w:pPr>
              <w:jc w:val="right"/>
              <w:ind w:right="53"/>
              <w:spacing w:after="0" w:line="202" w:lineRule="exact"/>
              <w:rPr>
                <w:sz w:val="20"/>
                <w:szCs w:val="20"/>
                <w:color w:val="auto"/>
              </w:rPr>
            </w:pPr>
            <w:r>
              <w:rPr>
                <w:rFonts w:ascii="Arial" w:cs="Arial" w:eastAsia="Arial" w:hAnsi="Arial"/>
                <w:sz w:val="18"/>
                <w:szCs w:val="18"/>
                <w:color w:val="auto"/>
              </w:rPr>
              <w:t>(6.3)</w:t>
            </w:r>
          </w:p>
        </w:tc>
        <w:tc>
          <w:tcPr>
            <w:tcW w:w="280" w:type="dxa"/>
            <w:vAlign w:val="bottom"/>
          </w:tcPr>
          <w:p>
            <w:pPr>
              <w:spacing w:after="0"/>
              <w:rPr>
                <w:sz w:val="17"/>
                <w:szCs w:val="17"/>
                <w:color w:val="auto"/>
              </w:rPr>
            </w:pPr>
          </w:p>
        </w:tc>
        <w:tc>
          <w:tcPr>
            <w:tcW w:w="960" w:type="dxa"/>
            <w:vAlign w:val="bottom"/>
          </w:tcPr>
          <w:p>
            <w:pPr>
              <w:jc w:val="right"/>
              <w:ind w:right="114"/>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(6.3)</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620" w:type="dxa"/>
            <w:vAlign w:val="bottom"/>
            <w:shd w:val="clear" w:color="auto" w:fill="E6E6E6"/>
          </w:tcPr>
          <w:p>
            <w:pPr>
              <w:spacing w:after="0" w:line="206" w:lineRule="exact"/>
              <w:rPr>
                <w:sz w:val="20"/>
                <w:szCs w:val="20"/>
                <w:color w:val="auto"/>
              </w:rPr>
            </w:pPr>
            <w:r>
              <w:rPr>
                <w:rFonts w:ascii="Arial" w:cs="Arial" w:eastAsia="Arial" w:hAnsi="Arial"/>
                <w:sz w:val="18"/>
                <w:szCs w:val="18"/>
                <w:color w:val="auto"/>
              </w:rPr>
              <w:t>Proceeds from issuance of common stock pursuant to stock-based</w:t>
            </w:r>
          </w:p>
        </w:tc>
        <w:tc>
          <w:tcPr>
            <w:tcW w:w="620" w:type="dxa"/>
            <w:vAlign w:val="bottom"/>
            <w:shd w:val="clear" w:color="auto" w:fill="E6E6E6"/>
          </w:tcPr>
          <w:p>
            <w:pPr>
              <w:spacing w:after="0"/>
              <w:rPr>
                <w:sz w:val="17"/>
                <w:szCs w:val="17"/>
                <w:color w:val="auto"/>
              </w:rPr>
            </w:pPr>
          </w:p>
        </w:tc>
        <w:tc>
          <w:tcPr>
            <w:tcW w:w="1400" w:type="dxa"/>
            <w:vAlign w:val="bottom"/>
            <w:shd w:val="clear" w:color="auto" w:fill="E6E6E6"/>
          </w:tcPr>
          <w:p>
            <w:pPr>
              <w:spacing w:after="0"/>
              <w:rPr>
                <w:sz w:val="17"/>
                <w:szCs w:val="17"/>
                <w:color w:val="auto"/>
              </w:rPr>
            </w:pPr>
          </w:p>
        </w:tc>
        <w:tc>
          <w:tcPr>
            <w:tcW w:w="280" w:type="dxa"/>
            <w:vAlign w:val="bottom"/>
            <w:shd w:val="clear" w:color="auto" w:fill="E6E6E6"/>
          </w:tcPr>
          <w:p>
            <w:pPr>
              <w:spacing w:after="0"/>
              <w:rPr>
                <w:sz w:val="17"/>
                <w:szCs w:val="17"/>
                <w:color w:val="auto"/>
              </w:rPr>
            </w:pPr>
          </w:p>
        </w:tc>
        <w:tc>
          <w:tcPr>
            <w:tcW w:w="980" w:type="dxa"/>
            <w:vAlign w:val="bottom"/>
            <w:shd w:val="clear" w:color="auto" w:fill="E6E6E6"/>
          </w:tcPr>
          <w:p>
            <w:pPr>
              <w:spacing w:after="0"/>
              <w:rPr>
                <w:sz w:val="17"/>
                <w:szCs w:val="17"/>
                <w:color w:val="auto"/>
              </w:rPr>
            </w:pPr>
          </w:p>
        </w:tc>
        <w:tc>
          <w:tcPr>
            <w:tcW w:w="280" w:type="dxa"/>
            <w:vAlign w:val="bottom"/>
            <w:shd w:val="clear" w:color="auto" w:fill="E6E6E6"/>
          </w:tcPr>
          <w:p>
            <w:pPr>
              <w:spacing w:after="0"/>
              <w:rPr>
                <w:sz w:val="17"/>
                <w:szCs w:val="17"/>
                <w:color w:val="auto"/>
              </w:rPr>
            </w:pPr>
          </w:p>
        </w:tc>
        <w:tc>
          <w:tcPr>
            <w:tcW w:w="960" w:type="dxa"/>
            <w:vAlign w:val="bottom"/>
            <w:shd w:val="clear" w:color="auto" w:fill="E6E6E6"/>
          </w:tcPr>
          <w:p>
            <w:pPr>
              <w:spacing w:after="0"/>
              <w:rPr>
                <w:sz w:val="17"/>
                <w:szCs w:val="17"/>
                <w:color w:val="auto"/>
              </w:rPr>
            </w:pPr>
          </w:p>
        </w:tc>
        <w:tc>
          <w:tcPr>
            <w:tcW w:w="140" w:type="dxa"/>
            <w:vAlign w:val="bottom"/>
            <w:shd w:val="clear" w:color="auto" w:fill="E6E6E6"/>
          </w:tcPr>
          <w:p>
            <w:pPr>
              <w:spacing w:after="0"/>
              <w:rPr>
                <w:sz w:val="17"/>
                <w:szCs w:val="17"/>
                <w:color w:val="auto"/>
              </w:rPr>
            </w:pPr>
          </w:p>
        </w:tc>
        <w:tc>
          <w:tcPr>
            <w:tcW w:w="100" w:type="dxa"/>
            <w:vAlign w:val="bottom"/>
            <w:shd w:val="clear" w:color="auto" w:fill="E6E6E6"/>
          </w:tcPr>
          <w:p>
            <w:pPr>
              <w:spacing w:after="0"/>
              <w:rPr>
                <w:sz w:val="17"/>
                <w:szCs w:val="17"/>
                <w:color w:val="auto"/>
              </w:rPr>
            </w:pPr>
          </w:p>
        </w:tc>
        <w:tc>
          <w:tcPr>
            <w:tcW w:w="1020" w:type="dxa"/>
            <w:vAlign w:val="bottom"/>
            <w:shd w:val="clear" w:color="auto" w:fill="E6E6E6"/>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620" w:type="dxa"/>
            <w:vAlign w:val="bottom"/>
            <w:shd w:val="clear" w:color="auto" w:fill="E6E6E6"/>
          </w:tcPr>
          <w:p>
            <w:pPr>
              <w:ind w:left="140"/>
              <w:spacing w:after="0" w:line="200" w:lineRule="exact"/>
              <w:rPr>
                <w:sz w:val="20"/>
                <w:szCs w:val="20"/>
                <w:color w:val="auto"/>
              </w:rPr>
            </w:pPr>
            <w:r>
              <w:rPr>
                <w:rFonts w:ascii="Arial" w:cs="Arial" w:eastAsia="Arial" w:hAnsi="Arial"/>
                <w:sz w:val="18"/>
                <w:szCs w:val="18"/>
                <w:color w:val="auto"/>
              </w:rPr>
              <w:t>compensation</w:t>
            </w:r>
          </w:p>
        </w:tc>
        <w:tc>
          <w:tcPr>
            <w:tcW w:w="620" w:type="dxa"/>
            <w:vAlign w:val="bottom"/>
            <w:shd w:val="clear" w:color="auto" w:fill="E6E6E6"/>
          </w:tcPr>
          <w:p>
            <w:pPr>
              <w:spacing w:after="0"/>
              <w:rPr>
                <w:sz w:val="17"/>
                <w:szCs w:val="17"/>
                <w:color w:val="auto"/>
              </w:rPr>
            </w:pPr>
          </w:p>
        </w:tc>
        <w:tc>
          <w:tcPr>
            <w:tcW w:w="1400" w:type="dxa"/>
            <w:vAlign w:val="bottom"/>
            <w:shd w:val="clear" w:color="auto" w:fill="E6E6E6"/>
          </w:tcPr>
          <w:p>
            <w:pPr>
              <w:jc w:val="right"/>
              <w:ind w:right="133"/>
              <w:spacing w:after="0" w:line="200" w:lineRule="exact"/>
              <w:rPr>
                <w:sz w:val="20"/>
                <w:szCs w:val="20"/>
                <w:color w:val="auto"/>
              </w:rPr>
            </w:pPr>
            <w:r>
              <w:rPr>
                <w:rFonts w:ascii="Arial" w:cs="Arial" w:eastAsia="Arial" w:hAnsi="Arial"/>
                <w:sz w:val="18"/>
                <w:szCs w:val="18"/>
                <w:color w:val="auto"/>
              </w:rPr>
              <w:t>—</w:t>
            </w:r>
          </w:p>
        </w:tc>
        <w:tc>
          <w:tcPr>
            <w:tcW w:w="280" w:type="dxa"/>
            <w:vAlign w:val="bottom"/>
            <w:shd w:val="clear" w:color="auto" w:fill="E6E6E6"/>
          </w:tcPr>
          <w:p>
            <w:pPr>
              <w:spacing w:after="0"/>
              <w:rPr>
                <w:sz w:val="17"/>
                <w:szCs w:val="17"/>
                <w:color w:val="auto"/>
              </w:rPr>
            </w:pPr>
          </w:p>
        </w:tc>
        <w:tc>
          <w:tcPr>
            <w:tcW w:w="980" w:type="dxa"/>
            <w:vAlign w:val="bottom"/>
            <w:shd w:val="clear" w:color="auto" w:fill="E6E6E6"/>
          </w:tcPr>
          <w:p>
            <w:pPr>
              <w:jc w:val="right"/>
              <w:ind w:right="113"/>
              <w:spacing w:after="0" w:line="200" w:lineRule="exact"/>
              <w:rPr>
                <w:sz w:val="20"/>
                <w:szCs w:val="20"/>
                <w:color w:val="auto"/>
              </w:rPr>
            </w:pPr>
            <w:r>
              <w:rPr>
                <w:rFonts w:ascii="Arial" w:cs="Arial" w:eastAsia="Arial" w:hAnsi="Arial"/>
                <w:sz w:val="18"/>
                <w:szCs w:val="18"/>
                <w:color w:val="auto"/>
              </w:rPr>
              <w:t>—</w:t>
            </w:r>
          </w:p>
        </w:tc>
        <w:tc>
          <w:tcPr>
            <w:tcW w:w="280" w:type="dxa"/>
            <w:vAlign w:val="bottom"/>
            <w:shd w:val="clear" w:color="auto" w:fill="E6E6E6"/>
          </w:tcPr>
          <w:p>
            <w:pPr>
              <w:spacing w:after="0"/>
              <w:rPr>
                <w:sz w:val="17"/>
                <w:szCs w:val="17"/>
                <w:color w:val="auto"/>
              </w:rPr>
            </w:pPr>
          </w:p>
        </w:tc>
        <w:tc>
          <w:tcPr>
            <w:tcW w:w="960" w:type="dxa"/>
            <w:vAlign w:val="bottom"/>
            <w:shd w:val="clear" w:color="auto" w:fill="E6E6E6"/>
          </w:tcPr>
          <w:p>
            <w:pPr>
              <w:jc w:val="right"/>
              <w:ind w:right="114"/>
              <w:spacing w:after="0" w:line="200" w:lineRule="exact"/>
              <w:rPr>
                <w:sz w:val="20"/>
                <w:szCs w:val="20"/>
                <w:color w:val="auto"/>
              </w:rPr>
            </w:pPr>
            <w:r>
              <w:rPr>
                <w:rFonts w:ascii="Arial" w:cs="Arial" w:eastAsia="Arial" w:hAnsi="Arial"/>
                <w:sz w:val="18"/>
                <w:szCs w:val="18"/>
                <w:color w:val="auto"/>
              </w:rPr>
              <w:t>—</w:t>
            </w:r>
          </w:p>
        </w:tc>
        <w:tc>
          <w:tcPr>
            <w:tcW w:w="140" w:type="dxa"/>
            <w:vAlign w:val="bottom"/>
            <w:shd w:val="clear" w:color="auto" w:fill="E6E6E6"/>
          </w:tcPr>
          <w:p>
            <w:pPr>
              <w:spacing w:after="0"/>
              <w:rPr>
                <w:sz w:val="17"/>
                <w:szCs w:val="17"/>
                <w:color w:val="auto"/>
              </w:rPr>
            </w:pPr>
          </w:p>
        </w:tc>
        <w:tc>
          <w:tcPr>
            <w:tcW w:w="100" w:type="dxa"/>
            <w:vAlign w:val="bottom"/>
            <w:shd w:val="clear" w:color="auto" w:fill="E6E6E6"/>
          </w:tcPr>
          <w:p>
            <w:pPr>
              <w:spacing w:after="0"/>
              <w:rPr>
                <w:sz w:val="17"/>
                <w:szCs w:val="17"/>
                <w:color w:val="auto"/>
              </w:rPr>
            </w:pPr>
          </w:p>
        </w:tc>
        <w:tc>
          <w:tcPr>
            <w:tcW w:w="1020" w:type="dxa"/>
            <w:vAlign w:val="bottom"/>
            <w:shd w:val="clear" w:color="auto" w:fill="E6E6E6"/>
          </w:tcPr>
          <w:p>
            <w:pPr>
              <w:jc w:val="right"/>
              <w:ind w:right="14"/>
              <w:spacing w:after="0" w:line="200" w:lineRule="exact"/>
              <w:rPr>
                <w:sz w:val="20"/>
                <w:szCs w:val="20"/>
                <w:color w:val="auto"/>
              </w:rPr>
            </w:pPr>
            <w:r>
              <w:rPr>
                <w:rFonts w:ascii="Arial" w:cs="Arial" w:eastAsia="Arial" w:hAnsi="Arial"/>
                <w:sz w:val="18"/>
                <w:szCs w:val="18"/>
                <w:color w:val="auto"/>
              </w:rPr>
              <w:t>37.6</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40" w:type="dxa"/>
            <w:vAlign w:val="bottom"/>
            <w:gridSpan w:val="2"/>
          </w:tcPr>
          <w:p>
            <w:pPr>
              <w:spacing w:after="0" w:line="202" w:lineRule="exact"/>
              <w:rPr>
                <w:sz w:val="20"/>
                <w:szCs w:val="20"/>
                <w:color w:val="auto"/>
              </w:rPr>
            </w:pPr>
            <w:r>
              <w:rPr>
                <w:rFonts w:ascii="Arial" w:cs="Arial" w:eastAsia="Arial" w:hAnsi="Arial"/>
                <w:sz w:val="18"/>
                <w:szCs w:val="18"/>
                <w:color w:val="auto"/>
              </w:rPr>
              <w:t>Tax benefit realized from stock-based compensation</w:t>
            </w:r>
          </w:p>
        </w:tc>
        <w:tc>
          <w:tcPr>
            <w:tcW w:w="620" w:type="dxa"/>
            <w:vAlign w:val="bottom"/>
          </w:tcPr>
          <w:p>
            <w:pPr>
              <w:spacing w:after="0"/>
              <w:rPr>
                <w:sz w:val="17"/>
                <w:szCs w:val="17"/>
                <w:color w:val="auto"/>
              </w:rPr>
            </w:pPr>
          </w:p>
        </w:tc>
        <w:tc>
          <w:tcPr>
            <w:tcW w:w="1400" w:type="dxa"/>
            <w:vAlign w:val="bottom"/>
          </w:tcPr>
          <w:p>
            <w:pPr>
              <w:jc w:val="right"/>
              <w:ind w:right="133"/>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980" w:type="dxa"/>
            <w:vAlign w:val="bottom"/>
          </w:tcPr>
          <w:p>
            <w:pPr>
              <w:jc w:val="right"/>
              <w:ind w:right="113"/>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960" w:type="dxa"/>
            <w:vAlign w:val="bottom"/>
          </w:tcPr>
          <w:p>
            <w:pPr>
              <w:jc w:val="right"/>
              <w:ind w:right="114"/>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ind w:right="14"/>
              <w:spacing w:after="0" w:line="202" w:lineRule="exact"/>
              <w:rPr>
                <w:sz w:val="20"/>
                <w:szCs w:val="20"/>
                <w:color w:val="auto"/>
              </w:rPr>
            </w:pPr>
            <w:r>
              <w:rPr>
                <w:rFonts w:ascii="Arial" w:cs="Arial" w:eastAsia="Arial" w:hAnsi="Arial"/>
                <w:sz w:val="18"/>
                <w:szCs w:val="18"/>
                <w:color w:val="auto"/>
              </w:rPr>
              <w:t>4.2</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2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Purchases of treasury stock at cost</w:t>
            </w:r>
          </w:p>
        </w:tc>
        <w:tc>
          <w:tcPr>
            <w:tcW w:w="620" w:type="dxa"/>
            <w:vAlign w:val="bottom"/>
            <w:shd w:val="clear" w:color="auto" w:fill="E6E6E6"/>
          </w:tcPr>
          <w:p>
            <w:pPr>
              <w:spacing w:after="0"/>
              <w:rPr>
                <w:sz w:val="17"/>
                <w:szCs w:val="17"/>
                <w:color w:val="auto"/>
              </w:rPr>
            </w:pPr>
          </w:p>
        </w:tc>
        <w:tc>
          <w:tcPr>
            <w:tcW w:w="1400" w:type="dxa"/>
            <w:vAlign w:val="bottom"/>
            <w:shd w:val="clear" w:color="auto" w:fill="E6E6E6"/>
          </w:tcPr>
          <w:p>
            <w:pPr>
              <w:jc w:val="right"/>
              <w:ind w:right="133"/>
              <w:spacing w:after="0" w:line="202" w:lineRule="exact"/>
              <w:rPr>
                <w:sz w:val="20"/>
                <w:szCs w:val="20"/>
                <w:color w:val="auto"/>
              </w:rPr>
            </w:pPr>
            <w:r>
              <w:rPr>
                <w:rFonts w:ascii="Arial" w:cs="Arial" w:eastAsia="Arial" w:hAnsi="Arial"/>
                <w:sz w:val="18"/>
                <w:szCs w:val="18"/>
                <w:color w:val="auto"/>
              </w:rPr>
              <w:t>—</w:t>
            </w:r>
          </w:p>
        </w:tc>
        <w:tc>
          <w:tcPr>
            <w:tcW w:w="280" w:type="dxa"/>
            <w:vAlign w:val="bottom"/>
            <w:shd w:val="clear" w:color="auto" w:fill="E6E6E6"/>
          </w:tcPr>
          <w:p>
            <w:pPr>
              <w:spacing w:after="0"/>
              <w:rPr>
                <w:sz w:val="17"/>
                <w:szCs w:val="17"/>
                <w:color w:val="auto"/>
              </w:rPr>
            </w:pPr>
          </w:p>
        </w:tc>
        <w:tc>
          <w:tcPr>
            <w:tcW w:w="980" w:type="dxa"/>
            <w:vAlign w:val="bottom"/>
            <w:shd w:val="clear" w:color="auto" w:fill="E6E6E6"/>
          </w:tcPr>
          <w:p>
            <w:pPr>
              <w:jc w:val="right"/>
              <w:ind w:right="113"/>
              <w:spacing w:after="0" w:line="202" w:lineRule="exact"/>
              <w:rPr>
                <w:sz w:val="20"/>
                <w:szCs w:val="20"/>
                <w:color w:val="auto"/>
              </w:rPr>
            </w:pPr>
            <w:r>
              <w:rPr>
                <w:rFonts w:ascii="Arial" w:cs="Arial" w:eastAsia="Arial" w:hAnsi="Arial"/>
                <w:sz w:val="18"/>
                <w:szCs w:val="18"/>
                <w:color w:val="auto"/>
              </w:rPr>
              <w:t>—</w:t>
            </w:r>
          </w:p>
        </w:tc>
        <w:tc>
          <w:tcPr>
            <w:tcW w:w="280" w:type="dxa"/>
            <w:vAlign w:val="bottom"/>
            <w:shd w:val="clear" w:color="auto" w:fill="E6E6E6"/>
          </w:tcPr>
          <w:p>
            <w:pPr>
              <w:spacing w:after="0"/>
              <w:rPr>
                <w:sz w:val="17"/>
                <w:szCs w:val="17"/>
                <w:color w:val="auto"/>
              </w:rPr>
            </w:pPr>
          </w:p>
        </w:tc>
        <w:tc>
          <w:tcPr>
            <w:tcW w:w="960" w:type="dxa"/>
            <w:vAlign w:val="bottom"/>
            <w:shd w:val="clear" w:color="auto" w:fill="E6E6E6"/>
          </w:tcPr>
          <w:p>
            <w:pPr>
              <w:jc w:val="right"/>
              <w:ind w:right="54"/>
              <w:spacing w:after="0" w:line="202" w:lineRule="exact"/>
              <w:rPr>
                <w:sz w:val="20"/>
                <w:szCs w:val="20"/>
                <w:color w:val="auto"/>
              </w:rPr>
            </w:pPr>
            <w:r>
              <w:rPr>
                <w:rFonts w:ascii="Arial" w:cs="Arial" w:eastAsia="Arial" w:hAnsi="Arial"/>
                <w:sz w:val="18"/>
                <w:szCs w:val="18"/>
                <w:color w:val="auto"/>
              </w:rPr>
              <w:t>(220.0)</w:t>
            </w:r>
          </w:p>
        </w:tc>
        <w:tc>
          <w:tcPr>
            <w:tcW w:w="140" w:type="dxa"/>
            <w:vAlign w:val="bottom"/>
            <w:shd w:val="clear" w:color="auto" w:fill="E6E6E6"/>
          </w:tcPr>
          <w:p>
            <w:pPr>
              <w:spacing w:after="0"/>
              <w:rPr>
                <w:sz w:val="17"/>
                <w:szCs w:val="17"/>
                <w:color w:val="auto"/>
              </w:rPr>
            </w:pPr>
          </w:p>
        </w:tc>
        <w:tc>
          <w:tcPr>
            <w:tcW w:w="100" w:type="dxa"/>
            <w:vAlign w:val="bottom"/>
            <w:shd w:val="clear" w:color="auto" w:fill="E6E6E6"/>
          </w:tcPr>
          <w:p>
            <w:pPr>
              <w:spacing w:after="0"/>
              <w:rPr>
                <w:sz w:val="17"/>
                <w:szCs w:val="17"/>
                <w:color w:val="auto"/>
              </w:rPr>
            </w:pPr>
          </w:p>
        </w:tc>
        <w:tc>
          <w:tcPr>
            <w:tcW w:w="102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(220.0)</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62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40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gridSpan w:val="2"/>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4"/>
        </w:trPr>
        <w:tc>
          <w:tcPr>
            <w:tcW w:w="5640" w:type="dxa"/>
            <w:vAlign w:val="bottom"/>
            <w:gridSpan w:val="2"/>
          </w:tcPr>
          <w:p>
            <w:pPr>
              <w:spacing w:after="0"/>
              <w:rPr>
                <w:sz w:val="20"/>
                <w:szCs w:val="20"/>
                <w:color w:val="auto"/>
              </w:rPr>
            </w:pPr>
            <w:r>
              <w:rPr>
                <w:rFonts w:ascii="Arial" w:cs="Arial" w:eastAsia="Arial" w:hAnsi="Arial"/>
                <w:sz w:val="18"/>
                <w:szCs w:val="18"/>
                <w:b w:val="1"/>
                <w:bCs w:val="1"/>
                <w:color w:val="auto"/>
              </w:rPr>
              <w:t>Balance at May 31, 2008</w:t>
            </w:r>
          </w:p>
        </w:tc>
        <w:tc>
          <w:tcPr>
            <w:tcW w:w="620" w:type="dxa"/>
            <w:vAlign w:val="bottom"/>
          </w:tcPr>
          <w:p>
            <w:pPr>
              <w:jc w:val="right"/>
              <w:ind w:right="16"/>
              <w:spacing w:after="0"/>
              <w:rPr>
                <w:sz w:val="20"/>
                <w:szCs w:val="20"/>
                <w:color w:val="auto"/>
              </w:rPr>
            </w:pPr>
            <w:r>
              <w:rPr>
                <w:rFonts w:ascii="Arial" w:cs="Arial" w:eastAsia="Arial" w:hAnsi="Arial"/>
                <w:sz w:val="18"/>
                <w:szCs w:val="18"/>
                <w:b w:val="1"/>
                <w:bCs w:val="1"/>
                <w:color w:val="auto"/>
              </w:rPr>
              <w:t>$</w:t>
            </w:r>
          </w:p>
        </w:tc>
        <w:tc>
          <w:tcPr>
            <w:tcW w:w="1400" w:type="dxa"/>
            <w:vAlign w:val="bottom"/>
          </w:tcPr>
          <w:p>
            <w:pPr>
              <w:jc w:val="right"/>
              <w:ind w:right="73"/>
              <w:spacing w:after="0"/>
              <w:rPr>
                <w:sz w:val="20"/>
                <w:szCs w:val="20"/>
                <w:color w:val="auto"/>
              </w:rPr>
            </w:pPr>
            <w:r>
              <w:rPr>
                <w:rFonts w:ascii="Arial" w:cs="Arial" w:eastAsia="Arial" w:hAnsi="Arial"/>
                <w:sz w:val="18"/>
                <w:szCs w:val="18"/>
                <w:b w:val="1"/>
                <w:bCs w:val="1"/>
                <w:color w:val="auto"/>
              </w:rPr>
              <w:t>(34.7)</w:t>
            </w: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113"/>
              <w:spacing w:after="0"/>
              <w:rPr>
                <w:sz w:val="20"/>
                <w:szCs w:val="20"/>
                <w:color w:val="auto"/>
              </w:rPr>
            </w:pPr>
            <w:r>
              <w:rPr>
                <w:rFonts w:ascii="Arial" w:cs="Arial" w:eastAsia="Arial" w:hAnsi="Arial"/>
                <w:sz w:val="18"/>
                <w:szCs w:val="18"/>
                <w:b w:val="1"/>
                <w:bCs w:val="1"/>
                <w:color w:val="auto"/>
              </w:rPr>
              <w:t>588.3</w:t>
            </w: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ind w:right="54"/>
              <w:spacing w:after="0"/>
              <w:rPr>
                <w:sz w:val="20"/>
                <w:szCs w:val="20"/>
                <w:color w:val="auto"/>
              </w:rPr>
            </w:pPr>
            <w:r>
              <w:rPr>
                <w:rFonts w:ascii="Arial" w:cs="Arial" w:eastAsia="Arial" w:hAnsi="Arial"/>
                <w:sz w:val="18"/>
                <w:szCs w:val="18"/>
                <w:b w:val="1"/>
                <w:bCs w:val="1"/>
                <w:color w:val="auto"/>
              </w:rPr>
              <w:t>(220.0)</w:t>
            </w:r>
          </w:p>
        </w:tc>
        <w:tc>
          <w:tcPr>
            <w:tcW w:w="2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ind w:right="14"/>
              <w:spacing w:after="0"/>
              <w:rPr>
                <w:sz w:val="20"/>
                <w:szCs w:val="20"/>
                <w:color w:val="auto"/>
              </w:rPr>
            </w:pPr>
            <w:r>
              <w:rPr>
                <w:rFonts w:ascii="Arial" w:cs="Arial" w:eastAsia="Arial" w:hAnsi="Arial"/>
                <w:sz w:val="18"/>
                <w:szCs w:val="18"/>
                <w:b w:val="1"/>
                <w:bCs w:val="1"/>
                <w:color w:val="auto"/>
              </w:rPr>
              <w:t>873.1</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2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Comprehensive loss:</w:t>
            </w:r>
          </w:p>
        </w:tc>
        <w:tc>
          <w:tcPr>
            <w:tcW w:w="620" w:type="dxa"/>
            <w:vAlign w:val="bottom"/>
            <w:shd w:val="clear" w:color="auto" w:fill="E6E6E6"/>
          </w:tcPr>
          <w:p>
            <w:pPr>
              <w:spacing w:after="0"/>
              <w:rPr>
                <w:sz w:val="17"/>
                <w:szCs w:val="17"/>
                <w:color w:val="auto"/>
              </w:rPr>
            </w:pPr>
          </w:p>
        </w:tc>
        <w:tc>
          <w:tcPr>
            <w:tcW w:w="1400" w:type="dxa"/>
            <w:vAlign w:val="bottom"/>
            <w:shd w:val="clear" w:color="auto" w:fill="E6E6E6"/>
          </w:tcPr>
          <w:p>
            <w:pPr>
              <w:spacing w:after="0"/>
              <w:rPr>
                <w:sz w:val="17"/>
                <w:szCs w:val="17"/>
                <w:color w:val="auto"/>
              </w:rPr>
            </w:pPr>
          </w:p>
        </w:tc>
        <w:tc>
          <w:tcPr>
            <w:tcW w:w="280" w:type="dxa"/>
            <w:vAlign w:val="bottom"/>
            <w:shd w:val="clear" w:color="auto" w:fill="E6E6E6"/>
          </w:tcPr>
          <w:p>
            <w:pPr>
              <w:spacing w:after="0"/>
              <w:rPr>
                <w:sz w:val="17"/>
                <w:szCs w:val="17"/>
                <w:color w:val="auto"/>
              </w:rPr>
            </w:pPr>
          </w:p>
        </w:tc>
        <w:tc>
          <w:tcPr>
            <w:tcW w:w="980" w:type="dxa"/>
            <w:vAlign w:val="bottom"/>
            <w:shd w:val="clear" w:color="auto" w:fill="E6E6E6"/>
          </w:tcPr>
          <w:p>
            <w:pPr>
              <w:spacing w:after="0"/>
              <w:rPr>
                <w:sz w:val="17"/>
                <w:szCs w:val="17"/>
                <w:color w:val="auto"/>
              </w:rPr>
            </w:pPr>
          </w:p>
        </w:tc>
        <w:tc>
          <w:tcPr>
            <w:tcW w:w="280" w:type="dxa"/>
            <w:vAlign w:val="bottom"/>
            <w:shd w:val="clear" w:color="auto" w:fill="E6E6E6"/>
          </w:tcPr>
          <w:p>
            <w:pPr>
              <w:spacing w:after="0"/>
              <w:rPr>
                <w:sz w:val="17"/>
                <w:szCs w:val="17"/>
                <w:color w:val="auto"/>
              </w:rPr>
            </w:pPr>
          </w:p>
        </w:tc>
        <w:tc>
          <w:tcPr>
            <w:tcW w:w="960" w:type="dxa"/>
            <w:vAlign w:val="bottom"/>
            <w:shd w:val="clear" w:color="auto" w:fill="E6E6E6"/>
          </w:tcPr>
          <w:p>
            <w:pPr>
              <w:spacing w:after="0"/>
              <w:rPr>
                <w:sz w:val="17"/>
                <w:szCs w:val="17"/>
                <w:color w:val="auto"/>
              </w:rPr>
            </w:pPr>
          </w:p>
        </w:tc>
        <w:tc>
          <w:tcPr>
            <w:tcW w:w="140" w:type="dxa"/>
            <w:vAlign w:val="bottom"/>
            <w:shd w:val="clear" w:color="auto" w:fill="E6E6E6"/>
          </w:tcPr>
          <w:p>
            <w:pPr>
              <w:spacing w:after="0"/>
              <w:rPr>
                <w:sz w:val="17"/>
                <w:szCs w:val="17"/>
                <w:color w:val="auto"/>
              </w:rPr>
            </w:pPr>
          </w:p>
        </w:tc>
        <w:tc>
          <w:tcPr>
            <w:tcW w:w="100" w:type="dxa"/>
            <w:vAlign w:val="bottom"/>
            <w:shd w:val="clear" w:color="auto" w:fill="E6E6E6"/>
          </w:tcPr>
          <w:p>
            <w:pPr>
              <w:spacing w:after="0"/>
              <w:rPr>
                <w:sz w:val="17"/>
                <w:szCs w:val="17"/>
                <w:color w:val="auto"/>
              </w:rPr>
            </w:pPr>
          </w:p>
        </w:tc>
        <w:tc>
          <w:tcPr>
            <w:tcW w:w="1020" w:type="dxa"/>
            <w:vAlign w:val="bottom"/>
            <w:shd w:val="clear" w:color="auto" w:fill="E6E6E6"/>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20" w:type="dxa"/>
            <w:vAlign w:val="bottom"/>
          </w:tcPr>
          <w:p>
            <w:pPr>
              <w:ind w:left="140"/>
              <w:spacing w:after="0" w:line="202" w:lineRule="exact"/>
              <w:rPr>
                <w:sz w:val="20"/>
                <w:szCs w:val="20"/>
                <w:color w:val="auto"/>
              </w:rPr>
            </w:pPr>
            <w:r>
              <w:rPr>
                <w:rFonts w:ascii="Arial" w:cs="Arial" w:eastAsia="Arial" w:hAnsi="Arial"/>
                <w:sz w:val="18"/>
                <w:szCs w:val="18"/>
                <w:color w:val="auto"/>
              </w:rPr>
              <w:t>Net Loss</w:t>
            </w:r>
          </w:p>
        </w:tc>
        <w:tc>
          <w:tcPr>
            <w:tcW w:w="620" w:type="dxa"/>
            <w:vAlign w:val="bottom"/>
          </w:tcPr>
          <w:p>
            <w:pPr>
              <w:spacing w:after="0"/>
              <w:rPr>
                <w:sz w:val="17"/>
                <w:szCs w:val="17"/>
                <w:color w:val="auto"/>
              </w:rPr>
            </w:pPr>
          </w:p>
        </w:tc>
        <w:tc>
          <w:tcPr>
            <w:tcW w:w="1400" w:type="dxa"/>
            <w:vAlign w:val="bottom"/>
          </w:tcPr>
          <w:p>
            <w:pPr>
              <w:jc w:val="right"/>
              <w:ind w:right="133"/>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980" w:type="dxa"/>
            <w:vAlign w:val="bottom"/>
          </w:tcPr>
          <w:p>
            <w:pPr>
              <w:jc w:val="right"/>
              <w:ind w:right="53"/>
              <w:spacing w:after="0" w:line="202" w:lineRule="exact"/>
              <w:rPr>
                <w:sz w:val="20"/>
                <w:szCs w:val="20"/>
                <w:color w:val="auto"/>
              </w:rPr>
            </w:pPr>
            <w:r>
              <w:rPr>
                <w:rFonts w:ascii="Arial" w:cs="Arial" w:eastAsia="Arial" w:hAnsi="Arial"/>
                <w:sz w:val="18"/>
                <w:szCs w:val="18"/>
                <w:color w:val="auto"/>
              </w:rPr>
              <w:t>(14.3)</w:t>
            </w:r>
          </w:p>
        </w:tc>
        <w:tc>
          <w:tcPr>
            <w:tcW w:w="280" w:type="dxa"/>
            <w:vAlign w:val="bottom"/>
          </w:tcPr>
          <w:p>
            <w:pPr>
              <w:spacing w:after="0"/>
              <w:rPr>
                <w:sz w:val="17"/>
                <w:szCs w:val="17"/>
                <w:color w:val="auto"/>
              </w:rPr>
            </w:pPr>
          </w:p>
        </w:tc>
        <w:tc>
          <w:tcPr>
            <w:tcW w:w="960" w:type="dxa"/>
            <w:vAlign w:val="bottom"/>
          </w:tcPr>
          <w:p>
            <w:pPr>
              <w:jc w:val="right"/>
              <w:ind w:right="114"/>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(14.3)</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20" w:type="dxa"/>
            <w:vAlign w:val="bottom"/>
            <w:shd w:val="clear" w:color="auto" w:fill="E6E6E6"/>
          </w:tcPr>
          <w:p>
            <w:pPr>
              <w:ind w:left="140"/>
              <w:spacing w:after="0" w:line="202" w:lineRule="exact"/>
              <w:rPr>
                <w:sz w:val="20"/>
                <w:szCs w:val="20"/>
                <w:color w:val="auto"/>
              </w:rPr>
            </w:pPr>
            <w:r>
              <w:rPr>
                <w:rFonts w:ascii="Arial" w:cs="Arial" w:eastAsia="Arial" w:hAnsi="Arial"/>
                <w:sz w:val="18"/>
                <w:szCs w:val="18"/>
                <w:color w:val="auto"/>
              </w:rPr>
              <w:t>Other comprehensive loss, net:</w:t>
            </w:r>
          </w:p>
        </w:tc>
        <w:tc>
          <w:tcPr>
            <w:tcW w:w="620" w:type="dxa"/>
            <w:vAlign w:val="bottom"/>
            <w:shd w:val="clear" w:color="auto" w:fill="E6E6E6"/>
          </w:tcPr>
          <w:p>
            <w:pPr>
              <w:spacing w:after="0"/>
              <w:rPr>
                <w:sz w:val="17"/>
                <w:szCs w:val="17"/>
                <w:color w:val="auto"/>
              </w:rPr>
            </w:pPr>
          </w:p>
        </w:tc>
        <w:tc>
          <w:tcPr>
            <w:tcW w:w="1400" w:type="dxa"/>
            <w:vAlign w:val="bottom"/>
            <w:shd w:val="clear" w:color="auto" w:fill="E6E6E6"/>
          </w:tcPr>
          <w:p>
            <w:pPr>
              <w:spacing w:after="0"/>
              <w:rPr>
                <w:sz w:val="17"/>
                <w:szCs w:val="17"/>
                <w:color w:val="auto"/>
              </w:rPr>
            </w:pPr>
          </w:p>
        </w:tc>
        <w:tc>
          <w:tcPr>
            <w:tcW w:w="280" w:type="dxa"/>
            <w:vAlign w:val="bottom"/>
            <w:shd w:val="clear" w:color="auto" w:fill="E6E6E6"/>
          </w:tcPr>
          <w:p>
            <w:pPr>
              <w:spacing w:after="0"/>
              <w:rPr>
                <w:sz w:val="17"/>
                <w:szCs w:val="17"/>
                <w:color w:val="auto"/>
              </w:rPr>
            </w:pPr>
          </w:p>
        </w:tc>
        <w:tc>
          <w:tcPr>
            <w:tcW w:w="980" w:type="dxa"/>
            <w:vAlign w:val="bottom"/>
            <w:shd w:val="clear" w:color="auto" w:fill="E6E6E6"/>
          </w:tcPr>
          <w:p>
            <w:pPr>
              <w:spacing w:after="0"/>
              <w:rPr>
                <w:sz w:val="17"/>
                <w:szCs w:val="17"/>
                <w:color w:val="auto"/>
              </w:rPr>
            </w:pPr>
          </w:p>
        </w:tc>
        <w:tc>
          <w:tcPr>
            <w:tcW w:w="280" w:type="dxa"/>
            <w:vAlign w:val="bottom"/>
            <w:shd w:val="clear" w:color="auto" w:fill="E6E6E6"/>
          </w:tcPr>
          <w:p>
            <w:pPr>
              <w:spacing w:after="0"/>
              <w:rPr>
                <w:sz w:val="17"/>
                <w:szCs w:val="17"/>
                <w:color w:val="auto"/>
              </w:rPr>
            </w:pPr>
          </w:p>
        </w:tc>
        <w:tc>
          <w:tcPr>
            <w:tcW w:w="960" w:type="dxa"/>
            <w:vAlign w:val="bottom"/>
            <w:shd w:val="clear" w:color="auto" w:fill="E6E6E6"/>
          </w:tcPr>
          <w:p>
            <w:pPr>
              <w:spacing w:after="0"/>
              <w:rPr>
                <w:sz w:val="17"/>
                <w:szCs w:val="17"/>
                <w:color w:val="auto"/>
              </w:rPr>
            </w:pPr>
          </w:p>
        </w:tc>
        <w:tc>
          <w:tcPr>
            <w:tcW w:w="140" w:type="dxa"/>
            <w:vAlign w:val="bottom"/>
            <w:shd w:val="clear" w:color="auto" w:fill="E6E6E6"/>
          </w:tcPr>
          <w:p>
            <w:pPr>
              <w:spacing w:after="0"/>
              <w:rPr>
                <w:sz w:val="17"/>
                <w:szCs w:val="17"/>
                <w:color w:val="auto"/>
              </w:rPr>
            </w:pPr>
          </w:p>
        </w:tc>
        <w:tc>
          <w:tcPr>
            <w:tcW w:w="100" w:type="dxa"/>
            <w:vAlign w:val="bottom"/>
            <w:shd w:val="clear" w:color="auto" w:fill="E6E6E6"/>
          </w:tcPr>
          <w:p>
            <w:pPr>
              <w:spacing w:after="0"/>
              <w:rPr>
                <w:sz w:val="17"/>
                <w:szCs w:val="17"/>
                <w:color w:val="auto"/>
              </w:rPr>
            </w:pPr>
          </w:p>
        </w:tc>
        <w:tc>
          <w:tcPr>
            <w:tcW w:w="1020" w:type="dxa"/>
            <w:vAlign w:val="bottom"/>
            <w:shd w:val="clear" w:color="auto" w:fill="E6E6E6"/>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20" w:type="dxa"/>
            <w:vAlign w:val="bottom"/>
          </w:tcPr>
          <w:p>
            <w:pPr>
              <w:ind w:left="300"/>
              <w:spacing w:after="0" w:line="202" w:lineRule="exact"/>
              <w:rPr>
                <w:sz w:val="20"/>
                <w:szCs w:val="20"/>
                <w:color w:val="auto"/>
              </w:rPr>
            </w:pPr>
            <w:r>
              <w:rPr>
                <w:rFonts w:ascii="Arial" w:cs="Arial" w:eastAsia="Arial" w:hAnsi="Arial"/>
                <w:sz w:val="18"/>
                <w:szCs w:val="18"/>
                <w:color w:val="auto"/>
              </w:rPr>
              <w:t>Foreign currency translation adjustment</w:t>
            </w:r>
          </w:p>
        </w:tc>
        <w:tc>
          <w:tcPr>
            <w:tcW w:w="620" w:type="dxa"/>
            <w:vAlign w:val="bottom"/>
          </w:tcPr>
          <w:p>
            <w:pPr>
              <w:spacing w:after="0"/>
              <w:rPr>
                <w:sz w:val="17"/>
                <w:szCs w:val="17"/>
                <w:color w:val="auto"/>
              </w:rPr>
            </w:pPr>
          </w:p>
        </w:tc>
        <w:tc>
          <w:tcPr>
            <w:tcW w:w="1400" w:type="dxa"/>
            <w:vAlign w:val="bottom"/>
          </w:tcPr>
          <w:p>
            <w:pPr>
              <w:jc w:val="right"/>
              <w:ind w:right="73"/>
              <w:spacing w:after="0" w:line="202" w:lineRule="exact"/>
              <w:rPr>
                <w:sz w:val="20"/>
                <w:szCs w:val="20"/>
                <w:color w:val="auto"/>
              </w:rPr>
            </w:pPr>
            <w:r>
              <w:rPr>
                <w:rFonts w:ascii="Arial" w:cs="Arial" w:eastAsia="Arial" w:hAnsi="Arial"/>
                <w:sz w:val="18"/>
                <w:szCs w:val="18"/>
                <w:color w:val="auto"/>
              </w:rPr>
              <w:t>(30.3)</w:t>
            </w:r>
          </w:p>
        </w:tc>
        <w:tc>
          <w:tcPr>
            <w:tcW w:w="280" w:type="dxa"/>
            <w:vAlign w:val="bottom"/>
          </w:tcPr>
          <w:p>
            <w:pPr>
              <w:spacing w:after="0"/>
              <w:rPr>
                <w:sz w:val="17"/>
                <w:szCs w:val="17"/>
                <w:color w:val="auto"/>
              </w:rPr>
            </w:pPr>
          </w:p>
        </w:tc>
        <w:tc>
          <w:tcPr>
            <w:tcW w:w="980" w:type="dxa"/>
            <w:vAlign w:val="bottom"/>
          </w:tcPr>
          <w:p>
            <w:pPr>
              <w:jc w:val="right"/>
              <w:ind w:right="113"/>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960" w:type="dxa"/>
            <w:vAlign w:val="bottom"/>
          </w:tcPr>
          <w:p>
            <w:pPr>
              <w:jc w:val="right"/>
              <w:ind w:right="114"/>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(30.3)</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20" w:type="dxa"/>
            <w:vAlign w:val="bottom"/>
            <w:shd w:val="clear" w:color="auto" w:fill="E6E6E6"/>
          </w:tcPr>
          <w:p>
            <w:pPr>
              <w:ind w:left="300"/>
              <w:spacing w:after="0" w:line="202" w:lineRule="exact"/>
              <w:rPr>
                <w:sz w:val="20"/>
                <w:szCs w:val="20"/>
                <w:color w:val="auto"/>
              </w:rPr>
            </w:pPr>
            <w:r>
              <w:rPr>
                <w:rFonts w:ascii="Arial" w:cs="Arial" w:eastAsia="Arial" w:hAnsi="Arial"/>
                <w:sz w:val="18"/>
                <w:szCs w:val="18"/>
                <w:color w:val="auto"/>
              </w:rPr>
              <w:t>Pension and postretirement adjustments (net of tax of $(3.4))</w:t>
            </w:r>
          </w:p>
        </w:tc>
        <w:tc>
          <w:tcPr>
            <w:tcW w:w="620" w:type="dxa"/>
            <w:vAlign w:val="bottom"/>
            <w:shd w:val="clear" w:color="auto" w:fill="E6E6E6"/>
          </w:tcPr>
          <w:p>
            <w:pPr>
              <w:spacing w:after="0"/>
              <w:rPr>
                <w:sz w:val="17"/>
                <w:szCs w:val="17"/>
                <w:color w:val="auto"/>
              </w:rPr>
            </w:pPr>
          </w:p>
        </w:tc>
        <w:tc>
          <w:tcPr>
            <w:tcW w:w="1400" w:type="dxa"/>
            <w:vAlign w:val="bottom"/>
            <w:shd w:val="clear" w:color="auto" w:fill="E6E6E6"/>
          </w:tcPr>
          <w:p>
            <w:pPr>
              <w:jc w:val="right"/>
              <w:ind w:right="73"/>
              <w:spacing w:after="0" w:line="202" w:lineRule="exact"/>
              <w:rPr>
                <w:sz w:val="20"/>
                <w:szCs w:val="20"/>
                <w:color w:val="auto"/>
              </w:rPr>
            </w:pPr>
            <w:r>
              <w:rPr>
                <w:rFonts w:ascii="Arial" w:cs="Arial" w:eastAsia="Arial" w:hAnsi="Arial"/>
                <w:sz w:val="18"/>
                <w:szCs w:val="18"/>
                <w:color w:val="auto"/>
              </w:rPr>
              <w:t>(12.1)</w:t>
            </w:r>
          </w:p>
        </w:tc>
        <w:tc>
          <w:tcPr>
            <w:tcW w:w="280" w:type="dxa"/>
            <w:vAlign w:val="bottom"/>
            <w:shd w:val="clear" w:color="auto" w:fill="E6E6E6"/>
          </w:tcPr>
          <w:p>
            <w:pPr>
              <w:spacing w:after="0"/>
              <w:rPr>
                <w:sz w:val="17"/>
                <w:szCs w:val="17"/>
                <w:color w:val="auto"/>
              </w:rPr>
            </w:pPr>
          </w:p>
        </w:tc>
        <w:tc>
          <w:tcPr>
            <w:tcW w:w="980" w:type="dxa"/>
            <w:vAlign w:val="bottom"/>
            <w:shd w:val="clear" w:color="auto" w:fill="E6E6E6"/>
          </w:tcPr>
          <w:p>
            <w:pPr>
              <w:jc w:val="right"/>
              <w:ind w:right="113"/>
              <w:spacing w:after="0" w:line="202" w:lineRule="exact"/>
              <w:rPr>
                <w:sz w:val="20"/>
                <w:szCs w:val="20"/>
                <w:color w:val="auto"/>
              </w:rPr>
            </w:pPr>
            <w:r>
              <w:rPr>
                <w:rFonts w:ascii="Arial" w:cs="Arial" w:eastAsia="Arial" w:hAnsi="Arial"/>
                <w:sz w:val="18"/>
                <w:szCs w:val="18"/>
                <w:color w:val="auto"/>
              </w:rPr>
              <w:t>—</w:t>
            </w:r>
          </w:p>
        </w:tc>
        <w:tc>
          <w:tcPr>
            <w:tcW w:w="280" w:type="dxa"/>
            <w:vAlign w:val="bottom"/>
            <w:shd w:val="clear" w:color="auto" w:fill="E6E6E6"/>
          </w:tcPr>
          <w:p>
            <w:pPr>
              <w:spacing w:after="0"/>
              <w:rPr>
                <w:sz w:val="17"/>
                <w:szCs w:val="17"/>
                <w:color w:val="auto"/>
              </w:rPr>
            </w:pPr>
          </w:p>
        </w:tc>
        <w:tc>
          <w:tcPr>
            <w:tcW w:w="960" w:type="dxa"/>
            <w:vAlign w:val="bottom"/>
            <w:shd w:val="clear" w:color="auto" w:fill="E6E6E6"/>
          </w:tcPr>
          <w:p>
            <w:pPr>
              <w:jc w:val="right"/>
              <w:ind w:right="114"/>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E6E6E6"/>
          </w:tcPr>
          <w:p>
            <w:pPr>
              <w:spacing w:after="0"/>
              <w:rPr>
                <w:sz w:val="17"/>
                <w:szCs w:val="17"/>
                <w:color w:val="auto"/>
              </w:rPr>
            </w:pPr>
          </w:p>
        </w:tc>
        <w:tc>
          <w:tcPr>
            <w:tcW w:w="100" w:type="dxa"/>
            <w:vAlign w:val="bottom"/>
            <w:shd w:val="clear" w:color="auto" w:fill="E6E6E6"/>
          </w:tcPr>
          <w:p>
            <w:pPr>
              <w:spacing w:after="0"/>
              <w:rPr>
                <w:sz w:val="17"/>
                <w:szCs w:val="17"/>
                <w:color w:val="auto"/>
              </w:rPr>
            </w:pPr>
          </w:p>
        </w:tc>
        <w:tc>
          <w:tcPr>
            <w:tcW w:w="102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(12.1)</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6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280" w:type="dxa"/>
            <w:vAlign w:val="bottom"/>
          </w:tcPr>
          <w:p>
            <w:pPr>
              <w:spacing w:after="0"/>
              <w:rPr>
                <w:sz w:val="9"/>
                <w:szCs w:val="9"/>
                <w:color w:val="auto"/>
              </w:rPr>
            </w:pPr>
          </w:p>
        </w:tc>
        <w:tc>
          <w:tcPr>
            <w:tcW w:w="980" w:type="dxa"/>
            <w:vAlign w:val="bottom"/>
          </w:tcPr>
          <w:p>
            <w:pPr>
              <w:spacing w:after="0"/>
              <w:rPr>
                <w:sz w:val="9"/>
                <w:szCs w:val="9"/>
                <w:color w:val="auto"/>
              </w:rPr>
            </w:pPr>
          </w:p>
        </w:tc>
        <w:tc>
          <w:tcPr>
            <w:tcW w:w="280" w:type="dxa"/>
            <w:vAlign w:val="bottom"/>
          </w:tcPr>
          <w:p>
            <w:pPr>
              <w:spacing w:after="0"/>
              <w:rPr>
                <w:sz w:val="9"/>
                <w:szCs w:val="9"/>
                <w:color w:val="auto"/>
              </w:rPr>
            </w:pPr>
          </w:p>
        </w:tc>
        <w:tc>
          <w:tcPr>
            <w:tcW w:w="9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5620" w:type="dxa"/>
            <w:vAlign w:val="bottom"/>
          </w:tcPr>
          <w:p>
            <w:pPr>
              <w:ind w:left="140"/>
              <w:spacing w:after="0"/>
              <w:rPr>
                <w:sz w:val="20"/>
                <w:szCs w:val="20"/>
                <w:color w:val="auto"/>
              </w:rPr>
            </w:pPr>
            <w:r>
              <w:rPr>
                <w:rFonts w:ascii="Arial" w:cs="Arial" w:eastAsia="Arial" w:hAnsi="Arial"/>
                <w:sz w:val="18"/>
                <w:szCs w:val="18"/>
                <w:color w:val="auto"/>
              </w:rPr>
              <w:t>Total other comprehensive loss</w:t>
            </w:r>
          </w:p>
        </w:tc>
        <w:tc>
          <w:tcPr>
            <w:tcW w:w="620" w:type="dxa"/>
            <w:vAlign w:val="bottom"/>
          </w:tcPr>
          <w:p>
            <w:pPr>
              <w:spacing w:after="0"/>
              <w:rPr>
                <w:sz w:val="24"/>
                <w:szCs w:val="24"/>
                <w:color w:val="auto"/>
              </w:rPr>
            </w:pPr>
          </w:p>
        </w:tc>
        <w:tc>
          <w:tcPr>
            <w:tcW w:w="1400" w:type="dxa"/>
            <w:vAlign w:val="bottom"/>
          </w:tcPr>
          <w:p>
            <w:pPr>
              <w:jc w:val="right"/>
              <w:ind w:right="133"/>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98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960" w:type="dxa"/>
            <w:vAlign w:val="bottom"/>
          </w:tcPr>
          <w:p>
            <w:pPr>
              <w:jc w:val="right"/>
              <w:ind w:right="114"/>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(42.4)</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5640" w:type="dxa"/>
            <w:vAlign w:val="bottom"/>
            <w:gridSpan w:val="2"/>
          </w:tcPr>
          <w:p>
            <w:pPr>
              <w:spacing w:after="0"/>
              <w:rPr>
                <w:sz w:val="8"/>
                <w:szCs w:val="8"/>
                <w:color w:val="auto"/>
              </w:rPr>
            </w:pPr>
          </w:p>
        </w:tc>
        <w:tc>
          <w:tcPr>
            <w:tcW w:w="620" w:type="dxa"/>
            <w:vAlign w:val="bottom"/>
          </w:tcPr>
          <w:p>
            <w:pPr>
              <w:spacing w:after="0"/>
              <w:rPr>
                <w:sz w:val="8"/>
                <w:szCs w:val="8"/>
                <w:color w:val="auto"/>
              </w:rPr>
            </w:pPr>
          </w:p>
        </w:tc>
        <w:tc>
          <w:tcPr>
            <w:tcW w:w="1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980" w:type="dxa"/>
            <w:vAlign w:val="bottom"/>
          </w:tcPr>
          <w:p>
            <w:pPr>
              <w:spacing w:after="0"/>
              <w:rPr>
                <w:sz w:val="8"/>
                <w:szCs w:val="8"/>
                <w:color w:val="auto"/>
              </w:rPr>
            </w:pPr>
          </w:p>
        </w:tc>
        <w:tc>
          <w:tcPr>
            <w:tcW w:w="280" w:type="dxa"/>
            <w:vAlign w:val="bottom"/>
          </w:tcPr>
          <w:p>
            <w:pPr>
              <w:spacing w:after="0"/>
              <w:rPr>
                <w:sz w:val="8"/>
                <w:szCs w:val="8"/>
                <w:color w:val="auto"/>
              </w:rPr>
            </w:pPr>
          </w:p>
        </w:tc>
        <w:tc>
          <w:tcPr>
            <w:tcW w:w="9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640" w:type="dxa"/>
            <w:vAlign w:val="bottom"/>
            <w:gridSpan w:val="2"/>
          </w:tcPr>
          <w:p>
            <w:pPr>
              <w:spacing w:after="0"/>
              <w:rPr>
                <w:sz w:val="8"/>
                <w:szCs w:val="8"/>
                <w:color w:val="auto"/>
              </w:rPr>
            </w:pPr>
          </w:p>
        </w:tc>
        <w:tc>
          <w:tcPr>
            <w:tcW w:w="620" w:type="dxa"/>
            <w:vAlign w:val="bottom"/>
          </w:tcPr>
          <w:p>
            <w:pPr>
              <w:spacing w:after="0"/>
              <w:rPr>
                <w:sz w:val="8"/>
                <w:szCs w:val="8"/>
                <w:color w:val="auto"/>
              </w:rPr>
            </w:pPr>
          </w:p>
        </w:tc>
        <w:tc>
          <w:tcPr>
            <w:tcW w:w="1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980" w:type="dxa"/>
            <w:vAlign w:val="bottom"/>
          </w:tcPr>
          <w:p>
            <w:pPr>
              <w:spacing w:after="0"/>
              <w:rPr>
                <w:sz w:val="8"/>
                <w:szCs w:val="8"/>
                <w:color w:val="auto"/>
              </w:rPr>
            </w:pPr>
          </w:p>
        </w:tc>
        <w:tc>
          <w:tcPr>
            <w:tcW w:w="280" w:type="dxa"/>
            <w:vAlign w:val="bottom"/>
          </w:tcPr>
          <w:p>
            <w:pPr>
              <w:spacing w:after="0"/>
              <w:rPr>
                <w:sz w:val="8"/>
                <w:szCs w:val="8"/>
                <w:color w:val="auto"/>
              </w:rPr>
            </w:pPr>
          </w:p>
        </w:tc>
        <w:tc>
          <w:tcPr>
            <w:tcW w:w="9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2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Total comprehensive loss</w:t>
            </w:r>
          </w:p>
        </w:tc>
        <w:tc>
          <w:tcPr>
            <w:tcW w:w="620" w:type="dxa"/>
            <w:vAlign w:val="bottom"/>
            <w:shd w:val="clear" w:color="auto" w:fill="E6E6E6"/>
          </w:tcPr>
          <w:p>
            <w:pPr>
              <w:spacing w:after="0"/>
              <w:rPr>
                <w:sz w:val="17"/>
                <w:szCs w:val="17"/>
                <w:color w:val="auto"/>
              </w:rPr>
            </w:pPr>
          </w:p>
        </w:tc>
        <w:tc>
          <w:tcPr>
            <w:tcW w:w="1400" w:type="dxa"/>
            <w:vAlign w:val="bottom"/>
            <w:shd w:val="clear" w:color="auto" w:fill="E6E6E6"/>
          </w:tcPr>
          <w:p>
            <w:pPr>
              <w:jc w:val="right"/>
              <w:ind w:right="133"/>
              <w:spacing w:after="0" w:line="202" w:lineRule="exact"/>
              <w:rPr>
                <w:sz w:val="20"/>
                <w:szCs w:val="20"/>
                <w:color w:val="auto"/>
              </w:rPr>
            </w:pPr>
            <w:r>
              <w:rPr>
                <w:rFonts w:ascii="Arial" w:cs="Arial" w:eastAsia="Arial" w:hAnsi="Arial"/>
                <w:sz w:val="18"/>
                <w:szCs w:val="18"/>
                <w:color w:val="auto"/>
              </w:rPr>
              <w:t>—</w:t>
            </w:r>
          </w:p>
        </w:tc>
        <w:tc>
          <w:tcPr>
            <w:tcW w:w="280" w:type="dxa"/>
            <w:vAlign w:val="bottom"/>
            <w:shd w:val="clear" w:color="auto" w:fill="E6E6E6"/>
          </w:tcPr>
          <w:p>
            <w:pPr>
              <w:spacing w:after="0"/>
              <w:rPr>
                <w:sz w:val="17"/>
                <w:szCs w:val="17"/>
                <w:color w:val="auto"/>
              </w:rPr>
            </w:pPr>
          </w:p>
        </w:tc>
        <w:tc>
          <w:tcPr>
            <w:tcW w:w="980" w:type="dxa"/>
            <w:vAlign w:val="bottom"/>
            <w:shd w:val="clear" w:color="auto" w:fill="E6E6E6"/>
          </w:tcPr>
          <w:p>
            <w:pPr>
              <w:jc w:val="right"/>
              <w:ind w:right="113"/>
              <w:spacing w:after="0" w:line="202" w:lineRule="exact"/>
              <w:rPr>
                <w:sz w:val="20"/>
                <w:szCs w:val="20"/>
                <w:color w:val="auto"/>
              </w:rPr>
            </w:pPr>
            <w:r>
              <w:rPr>
                <w:rFonts w:ascii="Arial" w:cs="Arial" w:eastAsia="Arial" w:hAnsi="Arial"/>
                <w:sz w:val="18"/>
                <w:szCs w:val="18"/>
                <w:color w:val="auto"/>
              </w:rPr>
              <w:t>—</w:t>
            </w:r>
          </w:p>
        </w:tc>
        <w:tc>
          <w:tcPr>
            <w:tcW w:w="280" w:type="dxa"/>
            <w:vAlign w:val="bottom"/>
            <w:shd w:val="clear" w:color="auto" w:fill="E6E6E6"/>
          </w:tcPr>
          <w:p>
            <w:pPr>
              <w:spacing w:after="0"/>
              <w:rPr>
                <w:sz w:val="17"/>
                <w:szCs w:val="17"/>
                <w:color w:val="auto"/>
              </w:rPr>
            </w:pPr>
          </w:p>
        </w:tc>
        <w:tc>
          <w:tcPr>
            <w:tcW w:w="960" w:type="dxa"/>
            <w:vAlign w:val="bottom"/>
            <w:shd w:val="clear" w:color="auto" w:fill="E6E6E6"/>
          </w:tcPr>
          <w:p>
            <w:pPr>
              <w:jc w:val="right"/>
              <w:ind w:right="114"/>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E6E6E6"/>
          </w:tcPr>
          <w:p>
            <w:pPr>
              <w:spacing w:after="0"/>
              <w:rPr>
                <w:sz w:val="17"/>
                <w:szCs w:val="17"/>
                <w:color w:val="auto"/>
              </w:rPr>
            </w:pPr>
          </w:p>
        </w:tc>
        <w:tc>
          <w:tcPr>
            <w:tcW w:w="100" w:type="dxa"/>
            <w:vAlign w:val="bottom"/>
            <w:shd w:val="clear" w:color="auto" w:fill="E6E6E6"/>
          </w:tcPr>
          <w:p>
            <w:pPr>
              <w:spacing w:after="0"/>
              <w:rPr>
                <w:sz w:val="17"/>
                <w:szCs w:val="17"/>
                <w:color w:val="auto"/>
              </w:rPr>
            </w:pPr>
          </w:p>
        </w:tc>
        <w:tc>
          <w:tcPr>
            <w:tcW w:w="102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(56.7)</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40" w:type="dxa"/>
            <w:vAlign w:val="bottom"/>
            <w:gridSpan w:val="2"/>
          </w:tcPr>
          <w:p>
            <w:pPr>
              <w:spacing w:after="0" w:line="202" w:lineRule="exact"/>
              <w:rPr>
                <w:sz w:val="20"/>
                <w:szCs w:val="20"/>
                <w:color w:val="auto"/>
              </w:rPr>
            </w:pPr>
            <w:r>
              <w:rPr>
                <w:rFonts w:ascii="Arial" w:cs="Arial" w:eastAsia="Arial" w:hAnsi="Arial"/>
                <w:sz w:val="18"/>
                <w:szCs w:val="18"/>
                <w:color w:val="auto"/>
              </w:rPr>
              <w:t>Stock-based compensation</w:t>
            </w:r>
          </w:p>
        </w:tc>
        <w:tc>
          <w:tcPr>
            <w:tcW w:w="620" w:type="dxa"/>
            <w:vAlign w:val="bottom"/>
          </w:tcPr>
          <w:p>
            <w:pPr>
              <w:spacing w:after="0"/>
              <w:rPr>
                <w:sz w:val="17"/>
                <w:szCs w:val="17"/>
                <w:color w:val="auto"/>
              </w:rPr>
            </w:pPr>
          </w:p>
        </w:tc>
        <w:tc>
          <w:tcPr>
            <w:tcW w:w="1400" w:type="dxa"/>
            <w:vAlign w:val="bottom"/>
          </w:tcPr>
          <w:p>
            <w:pPr>
              <w:jc w:val="right"/>
              <w:ind w:right="133"/>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980" w:type="dxa"/>
            <w:vAlign w:val="bottom"/>
          </w:tcPr>
          <w:p>
            <w:pPr>
              <w:jc w:val="right"/>
              <w:ind w:right="113"/>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960" w:type="dxa"/>
            <w:vAlign w:val="bottom"/>
          </w:tcPr>
          <w:p>
            <w:pPr>
              <w:jc w:val="right"/>
              <w:ind w:right="114"/>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ind w:right="14"/>
              <w:spacing w:after="0" w:line="202" w:lineRule="exact"/>
              <w:rPr>
                <w:sz w:val="20"/>
                <w:szCs w:val="20"/>
                <w:color w:val="auto"/>
              </w:rPr>
            </w:pPr>
            <w:r>
              <w:rPr>
                <w:rFonts w:ascii="Arial" w:cs="Arial" w:eastAsia="Arial" w:hAnsi="Arial"/>
                <w:sz w:val="18"/>
                <w:szCs w:val="18"/>
                <w:color w:val="auto"/>
              </w:rPr>
              <w:t>11.6</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620" w:type="dxa"/>
            <w:vAlign w:val="bottom"/>
            <w:shd w:val="clear" w:color="auto" w:fill="E6E6E6"/>
          </w:tcPr>
          <w:p>
            <w:pPr>
              <w:spacing w:after="0" w:line="206" w:lineRule="exact"/>
              <w:rPr>
                <w:sz w:val="20"/>
                <w:szCs w:val="20"/>
                <w:color w:val="auto"/>
              </w:rPr>
            </w:pPr>
            <w:r>
              <w:rPr>
                <w:rFonts w:ascii="Arial" w:cs="Arial" w:eastAsia="Arial" w:hAnsi="Arial"/>
                <w:sz w:val="18"/>
                <w:szCs w:val="18"/>
                <w:color w:val="auto"/>
              </w:rPr>
              <w:t>Proceeds from issuance of common stock pursuant to stock-based</w:t>
            </w:r>
          </w:p>
        </w:tc>
        <w:tc>
          <w:tcPr>
            <w:tcW w:w="620" w:type="dxa"/>
            <w:vAlign w:val="bottom"/>
            <w:shd w:val="clear" w:color="auto" w:fill="E6E6E6"/>
          </w:tcPr>
          <w:p>
            <w:pPr>
              <w:spacing w:after="0"/>
              <w:rPr>
                <w:sz w:val="17"/>
                <w:szCs w:val="17"/>
                <w:color w:val="auto"/>
              </w:rPr>
            </w:pPr>
          </w:p>
        </w:tc>
        <w:tc>
          <w:tcPr>
            <w:tcW w:w="1400" w:type="dxa"/>
            <w:vAlign w:val="bottom"/>
            <w:shd w:val="clear" w:color="auto" w:fill="E6E6E6"/>
          </w:tcPr>
          <w:p>
            <w:pPr>
              <w:spacing w:after="0"/>
              <w:rPr>
                <w:sz w:val="17"/>
                <w:szCs w:val="17"/>
                <w:color w:val="auto"/>
              </w:rPr>
            </w:pPr>
          </w:p>
        </w:tc>
        <w:tc>
          <w:tcPr>
            <w:tcW w:w="280" w:type="dxa"/>
            <w:vAlign w:val="bottom"/>
            <w:shd w:val="clear" w:color="auto" w:fill="E6E6E6"/>
          </w:tcPr>
          <w:p>
            <w:pPr>
              <w:spacing w:after="0"/>
              <w:rPr>
                <w:sz w:val="17"/>
                <w:szCs w:val="17"/>
                <w:color w:val="auto"/>
              </w:rPr>
            </w:pPr>
          </w:p>
        </w:tc>
        <w:tc>
          <w:tcPr>
            <w:tcW w:w="980" w:type="dxa"/>
            <w:vAlign w:val="bottom"/>
            <w:shd w:val="clear" w:color="auto" w:fill="E6E6E6"/>
          </w:tcPr>
          <w:p>
            <w:pPr>
              <w:spacing w:after="0"/>
              <w:rPr>
                <w:sz w:val="17"/>
                <w:szCs w:val="17"/>
                <w:color w:val="auto"/>
              </w:rPr>
            </w:pPr>
          </w:p>
        </w:tc>
        <w:tc>
          <w:tcPr>
            <w:tcW w:w="280" w:type="dxa"/>
            <w:vAlign w:val="bottom"/>
            <w:shd w:val="clear" w:color="auto" w:fill="E6E6E6"/>
          </w:tcPr>
          <w:p>
            <w:pPr>
              <w:spacing w:after="0"/>
              <w:rPr>
                <w:sz w:val="17"/>
                <w:szCs w:val="17"/>
                <w:color w:val="auto"/>
              </w:rPr>
            </w:pPr>
          </w:p>
        </w:tc>
        <w:tc>
          <w:tcPr>
            <w:tcW w:w="960" w:type="dxa"/>
            <w:vAlign w:val="bottom"/>
            <w:shd w:val="clear" w:color="auto" w:fill="E6E6E6"/>
          </w:tcPr>
          <w:p>
            <w:pPr>
              <w:spacing w:after="0"/>
              <w:rPr>
                <w:sz w:val="17"/>
                <w:szCs w:val="17"/>
                <w:color w:val="auto"/>
              </w:rPr>
            </w:pPr>
          </w:p>
        </w:tc>
        <w:tc>
          <w:tcPr>
            <w:tcW w:w="140" w:type="dxa"/>
            <w:vAlign w:val="bottom"/>
            <w:shd w:val="clear" w:color="auto" w:fill="E6E6E6"/>
          </w:tcPr>
          <w:p>
            <w:pPr>
              <w:spacing w:after="0"/>
              <w:rPr>
                <w:sz w:val="17"/>
                <w:szCs w:val="17"/>
                <w:color w:val="auto"/>
              </w:rPr>
            </w:pPr>
          </w:p>
        </w:tc>
        <w:tc>
          <w:tcPr>
            <w:tcW w:w="100" w:type="dxa"/>
            <w:vAlign w:val="bottom"/>
            <w:shd w:val="clear" w:color="auto" w:fill="E6E6E6"/>
          </w:tcPr>
          <w:p>
            <w:pPr>
              <w:spacing w:after="0"/>
              <w:rPr>
                <w:sz w:val="17"/>
                <w:szCs w:val="17"/>
                <w:color w:val="auto"/>
              </w:rPr>
            </w:pPr>
          </w:p>
        </w:tc>
        <w:tc>
          <w:tcPr>
            <w:tcW w:w="1020" w:type="dxa"/>
            <w:vAlign w:val="bottom"/>
            <w:shd w:val="clear" w:color="auto" w:fill="E6E6E6"/>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620" w:type="dxa"/>
            <w:vAlign w:val="bottom"/>
            <w:shd w:val="clear" w:color="auto" w:fill="E6E6E6"/>
          </w:tcPr>
          <w:p>
            <w:pPr>
              <w:ind w:left="140"/>
              <w:spacing w:after="0" w:line="200" w:lineRule="exact"/>
              <w:rPr>
                <w:sz w:val="20"/>
                <w:szCs w:val="20"/>
                <w:color w:val="auto"/>
              </w:rPr>
            </w:pPr>
            <w:r>
              <w:rPr>
                <w:rFonts w:ascii="Arial" w:cs="Arial" w:eastAsia="Arial" w:hAnsi="Arial"/>
                <w:sz w:val="18"/>
                <w:szCs w:val="18"/>
                <w:color w:val="auto"/>
              </w:rPr>
              <w:t>compensation</w:t>
            </w:r>
          </w:p>
        </w:tc>
        <w:tc>
          <w:tcPr>
            <w:tcW w:w="620" w:type="dxa"/>
            <w:vAlign w:val="bottom"/>
            <w:shd w:val="clear" w:color="auto" w:fill="E6E6E6"/>
          </w:tcPr>
          <w:p>
            <w:pPr>
              <w:spacing w:after="0"/>
              <w:rPr>
                <w:sz w:val="17"/>
                <w:szCs w:val="17"/>
                <w:color w:val="auto"/>
              </w:rPr>
            </w:pPr>
          </w:p>
        </w:tc>
        <w:tc>
          <w:tcPr>
            <w:tcW w:w="1400" w:type="dxa"/>
            <w:vAlign w:val="bottom"/>
            <w:shd w:val="clear" w:color="auto" w:fill="E6E6E6"/>
          </w:tcPr>
          <w:p>
            <w:pPr>
              <w:jc w:val="right"/>
              <w:ind w:right="133"/>
              <w:spacing w:after="0" w:line="200" w:lineRule="exact"/>
              <w:rPr>
                <w:sz w:val="20"/>
                <w:szCs w:val="20"/>
                <w:color w:val="auto"/>
              </w:rPr>
            </w:pPr>
            <w:r>
              <w:rPr>
                <w:rFonts w:ascii="Arial" w:cs="Arial" w:eastAsia="Arial" w:hAnsi="Arial"/>
                <w:sz w:val="18"/>
                <w:szCs w:val="18"/>
                <w:color w:val="auto"/>
              </w:rPr>
              <w:t>—</w:t>
            </w:r>
          </w:p>
        </w:tc>
        <w:tc>
          <w:tcPr>
            <w:tcW w:w="280" w:type="dxa"/>
            <w:vAlign w:val="bottom"/>
            <w:shd w:val="clear" w:color="auto" w:fill="E6E6E6"/>
          </w:tcPr>
          <w:p>
            <w:pPr>
              <w:spacing w:after="0"/>
              <w:rPr>
                <w:sz w:val="17"/>
                <w:szCs w:val="17"/>
                <w:color w:val="auto"/>
              </w:rPr>
            </w:pPr>
          </w:p>
        </w:tc>
        <w:tc>
          <w:tcPr>
            <w:tcW w:w="980" w:type="dxa"/>
            <w:vAlign w:val="bottom"/>
            <w:shd w:val="clear" w:color="auto" w:fill="E6E6E6"/>
          </w:tcPr>
          <w:p>
            <w:pPr>
              <w:jc w:val="right"/>
              <w:ind w:right="113"/>
              <w:spacing w:after="0" w:line="200" w:lineRule="exact"/>
              <w:rPr>
                <w:sz w:val="20"/>
                <w:szCs w:val="20"/>
                <w:color w:val="auto"/>
              </w:rPr>
            </w:pPr>
            <w:r>
              <w:rPr>
                <w:rFonts w:ascii="Arial" w:cs="Arial" w:eastAsia="Arial" w:hAnsi="Arial"/>
                <w:sz w:val="18"/>
                <w:szCs w:val="18"/>
                <w:color w:val="auto"/>
              </w:rPr>
              <w:t>—</w:t>
            </w:r>
          </w:p>
        </w:tc>
        <w:tc>
          <w:tcPr>
            <w:tcW w:w="280" w:type="dxa"/>
            <w:vAlign w:val="bottom"/>
            <w:shd w:val="clear" w:color="auto" w:fill="E6E6E6"/>
          </w:tcPr>
          <w:p>
            <w:pPr>
              <w:spacing w:after="0"/>
              <w:rPr>
                <w:sz w:val="17"/>
                <w:szCs w:val="17"/>
                <w:color w:val="auto"/>
              </w:rPr>
            </w:pPr>
          </w:p>
        </w:tc>
        <w:tc>
          <w:tcPr>
            <w:tcW w:w="960" w:type="dxa"/>
            <w:vAlign w:val="bottom"/>
            <w:shd w:val="clear" w:color="auto" w:fill="E6E6E6"/>
          </w:tcPr>
          <w:p>
            <w:pPr>
              <w:jc w:val="right"/>
              <w:ind w:right="114"/>
              <w:spacing w:after="0" w:line="200" w:lineRule="exact"/>
              <w:rPr>
                <w:sz w:val="20"/>
                <w:szCs w:val="20"/>
                <w:color w:val="auto"/>
              </w:rPr>
            </w:pPr>
            <w:r>
              <w:rPr>
                <w:rFonts w:ascii="Arial" w:cs="Arial" w:eastAsia="Arial" w:hAnsi="Arial"/>
                <w:sz w:val="18"/>
                <w:szCs w:val="18"/>
                <w:color w:val="auto"/>
              </w:rPr>
              <w:t>—</w:t>
            </w:r>
          </w:p>
        </w:tc>
        <w:tc>
          <w:tcPr>
            <w:tcW w:w="140" w:type="dxa"/>
            <w:vAlign w:val="bottom"/>
            <w:shd w:val="clear" w:color="auto" w:fill="E6E6E6"/>
          </w:tcPr>
          <w:p>
            <w:pPr>
              <w:spacing w:after="0"/>
              <w:rPr>
                <w:sz w:val="17"/>
                <w:szCs w:val="17"/>
                <w:color w:val="auto"/>
              </w:rPr>
            </w:pPr>
          </w:p>
        </w:tc>
        <w:tc>
          <w:tcPr>
            <w:tcW w:w="100" w:type="dxa"/>
            <w:vAlign w:val="bottom"/>
            <w:shd w:val="clear" w:color="auto" w:fill="E6E6E6"/>
          </w:tcPr>
          <w:p>
            <w:pPr>
              <w:spacing w:after="0"/>
              <w:rPr>
                <w:sz w:val="17"/>
                <w:szCs w:val="17"/>
                <w:color w:val="auto"/>
              </w:rPr>
            </w:pPr>
          </w:p>
        </w:tc>
        <w:tc>
          <w:tcPr>
            <w:tcW w:w="1020" w:type="dxa"/>
            <w:vAlign w:val="bottom"/>
            <w:shd w:val="clear" w:color="auto" w:fill="E6E6E6"/>
          </w:tcPr>
          <w:p>
            <w:pPr>
              <w:jc w:val="right"/>
              <w:ind w:right="14"/>
              <w:spacing w:after="0" w:line="200" w:lineRule="exact"/>
              <w:rPr>
                <w:sz w:val="20"/>
                <w:szCs w:val="20"/>
                <w:color w:val="auto"/>
              </w:rPr>
            </w:pPr>
            <w:r>
              <w:rPr>
                <w:rFonts w:ascii="Arial" w:cs="Arial" w:eastAsia="Arial" w:hAnsi="Arial"/>
                <w:sz w:val="18"/>
                <w:szCs w:val="18"/>
                <w:color w:val="auto"/>
              </w:rPr>
              <w:t>2.2</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40" w:type="dxa"/>
            <w:vAlign w:val="bottom"/>
            <w:gridSpan w:val="2"/>
          </w:tcPr>
          <w:p>
            <w:pPr>
              <w:spacing w:after="0" w:line="202" w:lineRule="exact"/>
              <w:rPr>
                <w:sz w:val="20"/>
                <w:szCs w:val="20"/>
                <w:color w:val="auto"/>
              </w:rPr>
            </w:pPr>
            <w:r>
              <w:rPr>
                <w:rFonts w:ascii="Arial" w:cs="Arial" w:eastAsia="Arial" w:hAnsi="Arial"/>
                <w:sz w:val="18"/>
                <w:szCs w:val="18"/>
                <w:color w:val="auto"/>
              </w:rPr>
              <w:t>Purchases of treasury stock at cost</w:t>
            </w:r>
          </w:p>
        </w:tc>
        <w:tc>
          <w:tcPr>
            <w:tcW w:w="620" w:type="dxa"/>
            <w:vAlign w:val="bottom"/>
          </w:tcPr>
          <w:p>
            <w:pPr>
              <w:spacing w:after="0"/>
              <w:rPr>
                <w:sz w:val="17"/>
                <w:szCs w:val="17"/>
                <w:color w:val="auto"/>
              </w:rPr>
            </w:pPr>
          </w:p>
        </w:tc>
        <w:tc>
          <w:tcPr>
            <w:tcW w:w="1400" w:type="dxa"/>
            <w:vAlign w:val="bottom"/>
          </w:tcPr>
          <w:p>
            <w:pPr>
              <w:jc w:val="right"/>
              <w:ind w:right="133"/>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980" w:type="dxa"/>
            <w:vAlign w:val="bottom"/>
          </w:tcPr>
          <w:p>
            <w:pPr>
              <w:jc w:val="right"/>
              <w:ind w:right="113"/>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960" w:type="dxa"/>
            <w:vAlign w:val="bottom"/>
          </w:tcPr>
          <w:p>
            <w:pPr>
              <w:jc w:val="right"/>
              <w:ind w:right="54"/>
              <w:spacing w:after="0" w:line="202" w:lineRule="exact"/>
              <w:rPr>
                <w:sz w:val="20"/>
                <w:szCs w:val="20"/>
                <w:color w:val="auto"/>
              </w:rPr>
            </w:pPr>
            <w:r>
              <w:rPr>
                <w:rFonts w:ascii="Arial" w:cs="Arial" w:eastAsia="Arial" w:hAnsi="Arial"/>
                <w:sz w:val="18"/>
                <w:szCs w:val="18"/>
                <w:color w:val="auto"/>
              </w:rPr>
              <w:t>(34.0)</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(34.0)</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2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Dividends</w:t>
            </w:r>
          </w:p>
        </w:tc>
        <w:tc>
          <w:tcPr>
            <w:tcW w:w="620" w:type="dxa"/>
            <w:vAlign w:val="bottom"/>
            <w:shd w:val="clear" w:color="auto" w:fill="E6E6E6"/>
          </w:tcPr>
          <w:p>
            <w:pPr>
              <w:spacing w:after="0"/>
              <w:rPr>
                <w:sz w:val="17"/>
                <w:szCs w:val="17"/>
                <w:color w:val="auto"/>
              </w:rPr>
            </w:pPr>
          </w:p>
        </w:tc>
        <w:tc>
          <w:tcPr>
            <w:tcW w:w="1400" w:type="dxa"/>
            <w:vAlign w:val="bottom"/>
            <w:shd w:val="clear" w:color="auto" w:fill="E6E6E6"/>
          </w:tcPr>
          <w:p>
            <w:pPr>
              <w:jc w:val="right"/>
              <w:ind w:right="133"/>
              <w:spacing w:after="0" w:line="202" w:lineRule="exact"/>
              <w:rPr>
                <w:sz w:val="20"/>
                <w:szCs w:val="20"/>
                <w:color w:val="auto"/>
              </w:rPr>
            </w:pPr>
            <w:r>
              <w:rPr>
                <w:rFonts w:ascii="Arial" w:cs="Arial" w:eastAsia="Arial" w:hAnsi="Arial"/>
                <w:sz w:val="18"/>
                <w:szCs w:val="18"/>
                <w:color w:val="auto"/>
              </w:rPr>
              <w:t>—</w:t>
            </w:r>
          </w:p>
        </w:tc>
        <w:tc>
          <w:tcPr>
            <w:tcW w:w="280" w:type="dxa"/>
            <w:vAlign w:val="bottom"/>
            <w:shd w:val="clear" w:color="auto" w:fill="E6E6E6"/>
          </w:tcPr>
          <w:p>
            <w:pPr>
              <w:spacing w:after="0"/>
              <w:rPr>
                <w:sz w:val="17"/>
                <w:szCs w:val="17"/>
                <w:color w:val="auto"/>
              </w:rPr>
            </w:pPr>
          </w:p>
        </w:tc>
        <w:tc>
          <w:tcPr>
            <w:tcW w:w="980" w:type="dxa"/>
            <w:vAlign w:val="bottom"/>
            <w:shd w:val="clear" w:color="auto" w:fill="E6E6E6"/>
          </w:tcPr>
          <w:p>
            <w:pPr>
              <w:jc w:val="right"/>
              <w:ind w:right="53"/>
              <w:spacing w:after="0" w:line="202" w:lineRule="exact"/>
              <w:rPr>
                <w:sz w:val="20"/>
                <w:szCs w:val="20"/>
                <w:color w:val="auto"/>
              </w:rPr>
            </w:pPr>
            <w:r>
              <w:rPr>
                <w:rFonts w:ascii="Arial" w:cs="Arial" w:eastAsia="Arial" w:hAnsi="Arial"/>
                <w:sz w:val="18"/>
                <w:szCs w:val="18"/>
                <w:color w:val="auto"/>
              </w:rPr>
              <w:t>(11.2)</w:t>
            </w:r>
          </w:p>
        </w:tc>
        <w:tc>
          <w:tcPr>
            <w:tcW w:w="280" w:type="dxa"/>
            <w:vAlign w:val="bottom"/>
            <w:shd w:val="clear" w:color="auto" w:fill="E6E6E6"/>
          </w:tcPr>
          <w:p>
            <w:pPr>
              <w:spacing w:after="0"/>
              <w:rPr>
                <w:sz w:val="17"/>
                <w:szCs w:val="17"/>
                <w:color w:val="auto"/>
              </w:rPr>
            </w:pPr>
          </w:p>
        </w:tc>
        <w:tc>
          <w:tcPr>
            <w:tcW w:w="960" w:type="dxa"/>
            <w:vAlign w:val="bottom"/>
            <w:shd w:val="clear" w:color="auto" w:fill="E6E6E6"/>
          </w:tcPr>
          <w:p>
            <w:pPr>
              <w:jc w:val="right"/>
              <w:ind w:right="114"/>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E6E6E6"/>
          </w:tcPr>
          <w:p>
            <w:pPr>
              <w:spacing w:after="0"/>
              <w:rPr>
                <w:sz w:val="17"/>
                <w:szCs w:val="17"/>
                <w:color w:val="auto"/>
              </w:rPr>
            </w:pPr>
          </w:p>
        </w:tc>
        <w:tc>
          <w:tcPr>
            <w:tcW w:w="100" w:type="dxa"/>
            <w:vAlign w:val="bottom"/>
            <w:shd w:val="clear" w:color="auto" w:fill="E6E6E6"/>
          </w:tcPr>
          <w:p>
            <w:pPr>
              <w:spacing w:after="0"/>
              <w:rPr>
                <w:sz w:val="17"/>
                <w:szCs w:val="17"/>
                <w:color w:val="auto"/>
              </w:rPr>
            </w:pPr>
          </w:p>
        </w:tc>
        <w:tc>
          <w:tcPr>
            <w:tcW w:w="102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(11.2)</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62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40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gridSpan w:val="2"/>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4"/>
        </w:trPr>
        <w:tc>
          <w:tcPr>
            <w:tcW w:w="5640" w:type="dxa"/>
            <w:vAlign w:val="bottom"/>
            <w:gridSpan w:val="2"/>
          </w:tcPr>
          <w:p>
            <w:pPr>
              <w:spacing w:after="0"/>
              <w:rPr>
                <w:sz w:val="20"/>
                <w:szCs w:val="20"/>
                <w:color w:val="auto"/>
              </w:rPr>
            </w:pPr>
            <w:r>
              <w:rPr>
                <w:rFonts w:ascii="Arial" w:cs="Arial" w:eastAsia="Arial" w:hAnsi="Arial"/>
                <w:sz w:val="18"/>
                <w:szCs w:val="18"/>
                <w:b w:val="1"/>
                <w:bCs w:val="1"/>
                <w:color w:val="auto"/>
              </w:rPr>
              <w:t>Balance at May 31, 2009</w:t>
            </w:r>
          </w:p>
        </w:tc>
        <w:tc>
          <w:tcPr>
            <w:tcW w:w="620" w:type="dxa"/>
            <w:vAlign w:val="bottom"/>
          </w:tcPr>
          <w:p>
            <w:pPr>
              <w:jc w:val="right"/>
              <w:ind w:right="16"/>
              <w:spacing w:after="0"/>
              <w:rPr>
                <w:sz w:val="20"/>
                <w:szCs w:val="20"/>
                <w:color w:val="auto"/>
              </w:rPr>
            </w:pPr>
            <w:r>
              <w:rPr>
                <w:rFonts w:ascii="Arial" w:cs="Arial" w:eastAsia="Arial" w:hAnsi="Arial"/>
                <w:sz w:val="18"/>
                <w:szCs w:val="18"/>
                <w:b w:val="1"/>
                <w:bCs w:val="1"/>
                <w:color w:val="auto"/>
              </w:rPr>
              <w:t>$</w:t>
            </w:r>
          </w:p>
        </w:tc>
        <w:tc>
          <w:tcPr>
            <w:tcW w:w="1400" w:type="dxa"/>
            <w:vAlign w:val="bottom"/>
          </w:tcPr>
          <w:p>
            <w:pPr>
              <w:jc w:val="right"/>
              <w:ind w:right="73"/>
              <w:spacing w:after="0"/>
              <w:rPr>
                <w:sz w:val="20"/>
                <w:szCs w:val="20"/>
                <w:color w:val="auto"/>
              </w:rPr>
            </w:pPr>
            <w:r>
              <w:rPr>
                <w:rFonts w:ascii="Arial" w:cs="Arial" w:eastAsia="Arial" w:hAnsi="Arial"/>
                <w:sz w:val="18"/>
                <w:szCs w:val="18"/>
                <w:b w:val="1"/>
                <w:bCs w:val="1"/>
                <w:color w:val="auto"/>
              </w:rPr>
              <w:t>(77.1)</w:t>
            </w: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113"/>
              <w:spacing w:after="0"/>
              <w:rPr>
                <w:sz w:val="20"/>
                <w:szCs w:val="20"/>
                <w:color w:val="auto"/>
              </w:rPr>
            </w:pPr>
            <w:r>
              <w:rPr>
                <w:rFonts w:ascii="Arial" w:cs="Arial" w:eastAsia="Arial" w:hAnsi="Arial"/>
                <w:sz w:val="18"/>
                <w:szCs w:val="18"/>
                <w:b w:val="1"/>
                <w:bCs w:val="1"/>
                <w:color w:val="auto"/>
              </w:rPr>
              <w:t>562.8</w:t>
            </w: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ind w:right="54"/>
              <w:spacing w:after="0"/>
              <w:rPr>
                <w:sz w:val="20"/>
                <w:szCs w:val="20"/>
                <w:color w:val="auto"/>
              </w:rPr>
            </w:pPr>
            <w:r>
              <w:rPr>
                <w:rFonts w:ascii="Arial" w:cs="Arial" w:eastAsia="Arial" w:hAnsi="Arial"/>
                <w:sz w:val="18"/>
                <w:szCs w:val="18"/>
                <w:b w:val="1"/>
                <w:bCs w:val="1"/>
                <w:color w:val="auto"/>
              </w:rPr>
              <w:t>(254.0)</w:t>
            </w:r>
          </w:p>
        </w:tc>
        <w:tc>
          <w:tcPr>
            <w:tcW w:w="2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ind w:right="14"/>
              <w:spacing w:after="0"/>
              <w:rPr>
                <w:sz w:val="20"/>
                <w:szCs w:val="20"/>
                <w:color w:val="auto"/>
              </w:rPr>
            </w:pPr>
            <w:r>
              <w:rPr>
                <w:rFonts w:ascii="Arial" w:cs="Arial" w:eastAsia="Arial" w:hAnsi="Arial"/>
                <w:sz w:val="18"/>
                <w:szCs w:val="18"/>
                <w:b w:val="1"/>
                <w:bCs w:val="1"/>
                <w:color w:val="auto"/>
              </w:rPr>
              <w:t>785.0</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2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Comprehensive income:</w:t>
            </w:r>
          </w:p>
        </w:tc>
        <w:tc>
          <w:tcPr>
            <w:tcW w:w="620" w:type="dxa"/>
            <w:vAlign w:val="bottom"/>
            <w:shd w:val="clear" w:color="auto" w:fill="E6E6E6"/>
          </w:tcPr>
          <w:p>
            <w:pPr>
              <w:spacing w:after="0"/>
              <w:rPr>
                <w:sz w:val="17"/>
                <w:szCs w:val="17"/>
                <w:color w:val="auto"/>
              </w:rPr>
            </w:pPr>
          </w:p>
        </w:tc>
        <w:tc>
          <w:tcPr>
            <w:tcW w:w="1400" w:type="dxa"/>
            <w:vAlign w:val="bottom"/>
            <w:shd w:val="clear" w:color="auto" w:fill="E6E6E6"/>
          </w:tcPr>
          <w:p>
            <w:pPr>
              <w:spacing w:after="0"/>
              <w:rPr>
                <w:sz w:val="17"/>
                <w:szCs w:val="17"/>
                <w:color w:val="auto"/>
              </w:rPr>
            </w:pPr>
          </w:p>
        </w:tc>
        <w:tc>
          <w:tcPr>
            <w:tcW w:w="280" w:type="dxa"/>
            <w:vAlign w:val="bottom"/>
            <w:shd w:val="clear" w:color="auto" w:fill="E6E6E6"/>
          </w:tcPr>
          <w:p>
            <w:pPr>
              <w:spacing w:after="0"/>
              <w:rPr>
                <w:sz w:val="17"/>
                <w:szCs w:val="17"/>
                <w:color w:val="auto"/>
              </w:rPr>
            </w:pPr>
          </w:p>
        </w:tc>
        <w:tc>
          <w:tcPr>
            <w:tcW w:w="980" w:type="dxa"/>
            <w:vAlign w:val="bottom"/>
            <w:shd w:val="clear" w:color="auto" w:fill="E6E6E6"/>
          </w:tcPr>
          <w:p>
            <w:pPr>
              <w:spacing w:after="0"/>
              <w:rPr>
                <w:sz w:val="17"/>
                <w:szCs w:val="17"/>
                <w:color w:val="auto"/>
              </w:rPr>
            </w:pPr>
          </w:p>
        </w:tc>
        <w:tc>
          <w:tcPr>
            <w:tcW w:w="280" w:type="dxa"/>
            <w:vAlign w:val="bottom"/>
            <w:shd w:val="clear" w:color="auto" w:fill="E6E6E6"/>
          </w:tcPr>
          <w:p>
            <w:pPr>
              <w:spacing w:after="0"/>
              <w:rPr>
                <w:sz w:val="17"/>
                <w:szCs w:val="17"/>
                <w:color w:val="auto"/>
              </w:rPr>
            </w:pPr>
          </w:p>
        </w:tc>
        <w:tc>
          <w:tcPr>
            <w:tcW w:w="960" w:type="dxa"/>
            <w:vAlign w:val="bottom"/>
            <w:shd w:val="clear" w:color="auto" w:fill="E6E6E6"/>
          </w:tcPr>
          <w:p>
            <w:pPr>
              <w:spacing w:after="0"/>
              <w:rPr>
                <w:sz w:val="17"/>
                <w:szCs w:val="17"/>
                <w:color w:val="auto"/>
              </w:rPr>
            </w:pPr>
          </w:p>
        </w:tc>
        <w:tc>
          <w:tcPr>
            <w:tcW w:w="140" w:type="dxa"/>
            <w:vAlign w:val="bottom"/>
            <w:shd w:val="clear" w:color="auto" w:fill="E6E6E6"/>
          </w:tcPr>
          <w:p>
            <w:pPr>
              <w:spacing w:after="0"/>
              <w:rPr>
                <w:sz w:val="17"/>
                <w:szCs w:val="17"/>
                <w:color w:val="auto"/>
              </w:rPr>
            </w:pPr>
          </w:p>
        </w:tc>
        <w:tc>
          <w:tcPr>
            <w:tcW w:w="100" w:type="dxa"/>
            <w:vAlign w:val="bottom"/>
            <w:shd w:val="clear" w:color="auto" w:fill="E6E6E6"/>
          </w:tcPr>
          <w:p>
            <w:pPr>
              <w:spacing w:after="0"/>
              <w:rPr>
                <w:sz w:val="17"/>
                <w:szCs w:val="17"/>
                <w:color w:val="auto"/>
              </w:rPr>
            </w:pPr>
          </w:p>
        </w:tc>
        <w:tc>
          <w:tcPr>
            <w:tcW w:w="1020" w:type="dxa"/>
            <w:vAlign w:val="bottom"/>
            <w:shd w:val="clear" w:color="auto" w:fill="E6E6E6"/>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20" w:type="dxa"/>
            <w:vAlign w:val="bottom"/>
          </w:tcPr>
          <w:p>
            <w:pPr>
              <w:ind w:left="140"/>
              <w:spacing w:after="0" w:line="202" w:lineRule="exact"/>
              <w:rPr>
                <w:sz w:val="20"/>
                <w:szCs w:val="20"/>
                <w:color w:val="auto"/>
              </w:rPr>
            </w:pPr>
            <w:r>
              <w:rPr>
                <w:rFonts w:ascii="Arial" w:cs="Arial" w:eastAsia="Arial" w:hAnsi="Arial"/>
                <w:sz w:val="18"/>
                <w:szCs w:val="18"/>
                <w:color w:val="auto"/>
              </w:rPr>
              <w:t>Net Income</w:t>
            </w:r>
          </w:p>
        </w:tc>
        <w:tc>
          <w:tcPr>
            <w:tcW w:w="620" w:type="dxa"/>
            <w:vAlign w:val="bottom"/>
          </w:tcPr>
          <w:p>
            <w:pPr>
              <w:spacing w:after="0"/>
              <w:rPr>
                <w:sz w:val="17"/>
                <w:szCs w:val="17"/>
                <w:color w:val="auto"/>
              </w:rPr>
            </w:pPr>
          </w:p>
        </w:tc>
        <w:tc>
          <w:tcPr>
            <w:tcW w:w="1400" w:type="dxa"/>
            <w:vAlign w:val="bottom"/>
          </w:tcPr>
          <w:p>
            <w:pPr>
              <w:jc w:val="right"/>
              <w:ind w:right="133"/>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980" w:type="dxa"/>
            <w:vAlign w:val="bottom"/>
          </w:tcPr>
          <w:p>
            <w:pPr>
              <w:jc w:val="right"/>
              <w:ind w:right="113"/>
              <w:spacing w:after="0" w:line="202" w:lineRule="exact"/>
              <w:rPr>
                <w:sz w:val="20"/>
                <w:szCs w:val="20"/>
                <w:color w:val="auto"/>
              </w:rPr>
            </w:pPr>
            <w:r>
              <w:rPr>
                <w:rFonts w:ascii="Arial" w:cs="Arial" w:eastAsia="Arial" w:hAnsi="Arial"/>
                <w:sz w:val="18"/>
                <w:szCs w:val="18"/>
                <w:color w:val="auto"/>
              </w:rPr>
              <w:t>56.1</w:t>
            </w:r>
          </w:p>
        </w:tc>
        <w:tc>
          <w:tcPr>
            <w:tcW w:w="280" w:type="dxa"/>
            <w:vAlign w:val="bottom"/>
          </w:tcPr>
          <w:p>
            <w:pPr>
              <w:spacing w:after="0"/>
              <w:rPr>
                <w:sz w:val="17"/>
                <w:szCs w:val="17"/>
                <w:color w:val="auto"/>
              </w:rPr>
            </w:pPr>
          </w:p>
        </w:tc>
        <w:tc>
          <w:tcPr>
            <w:tcW w:w="960" w:type="dxa"/>
            <w:vAlign w:val="bottom"/>
          </w:tcPr>
          <w:p>
            <w:pPr>
              <w:jc w:val="right"/>
              <w:ind w:right="114"/>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ind w:right="14"/>
              <w:spacing w:after="0" w:line="202" w:lineRule="exact"/>
              <w:rPr>
                <w:sz w:val="20"/>
                <w:szCs w:val="20"/>
                <w:color w:val="auto"/>
              </w:rPr>
            </w:pPr>
            <w:r>
              <w:rPr>
                <w:rFonts w:ascii="Arial" w:cs="Arial" w:eastAsia="Arial" w:hAnsi="Arial"/>
                <w:sz w:val="18"/>
                <w:szCs w:val="18"/>
                <w:color w:val="auto"/>
              </w:rPr>
              <w:t>56.1</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20" w:type="dxa"/>
            <w:vAlign w:val="bottom"/>
            <w:shd w:val="clear" w:color="auto" w:fill="E6E6E6"/>
          </w:tcPr>
          <w:p>
            <w:pPr>
              <w:ind w:left="140"/>
              <w:spacing w:after="0" w:line="202" w:lineRule="exact"/>
              <w:rPr>
                <w:sz w:val="20"/>
                <w:szCs w:val="20"/>
                <w:color w:val="auto"/>
              </w:rPr>
            </w:pPr>
            <w:r>
              <w:rPr>
                <w:rFonts w:ascii="Arial" w:cs="Arial" w:eastAsia="Arial" w:hAnsi="Arial"/>
                <w:sz w:val="18"/>
                <w:szCs w:val="18"/>
                <w:color w:val="auto"/>
              </w:rPr>
              <w:t>Other comprehensive income (loss), net:</w:t>
            </w:r>
          </w:p>
        </w:tc>
        <w:tc>
          <w:tcPr>
            <w:tcW w:w="620" w:type="dxa"/>
            <w:vAlign w:val="bottom"/>
            <w:shd w:val="clear" w:color="auto" w:fill="E6E6E6"/>
          </w:tcPr>
          <w:p>
            <w:pPr>
              <w:spacing w:after="0"/>
              <w:rPr>
                <w:sz w:val="17"/>
                <w:szCs w:val="17"/>
                <w:color w:val="auto"/>
              </w:rPr>
            </w:pPr>
          </w:p>
        </w:tc>
        <w:tc>
          <w:tcPr>
            <w:tcW w:w="1400" w:type="dxa"/>
            <w:vAlign w:val="bottom"/>
            <w:shd w:val="clear" w:color="auto" w:fill="E6E6E6"/>
          </w:tcPr>
          <w:p>
            <w:pPr>
              <w:spacing w:after="0"/>
              <w:rPr>
                <w:sz w:val="17"/>
                <w:szCs w:val="17"/>
                <w:color w:val="auto"/>
              </w:rPr>
            </w:pPr>
          </w:p>
        </w:tc>
        <w:tc>
          <w:tcPr>
            <w:tcW w:w="280" w:type="dxa"/>
            <w:vAlign w:val="bottom"/>
            <w:shd w:val="clear" w:color="auto" w:fill="E6E6E6"/>
          </w:tcPr>
          <w:p>
            <w:pPr>
              <w:spacing w:after="0"/>
              <w:rPr>
                <w:sz w:val="17"/>
                <w:szCs w:val="17"/>
                <w:color w:val="auto"/>
              </w:rPr>
            </w:pPr>
          </w:p>
        </w:tc>
        <w:tc>
          <w:tcPr>
            <w:tcW w:w="980" w:type="dxa"/>
            <w:vAlign w:val="bottom"/>
            <w:shd w:val="clear" w:color="auto" w:fill="E6E6E6"/>
          </w:tcPr>
          <w:p>
            <w:pPr>
              <w:spacing w:after="0"/>
              <w:rPr>
                <w:sz w:val="17"/>
                <w:szCs w:val="17"/>
                <w:color w:val="auto"/>
              </w:rPr>
            </w:pPr>
          </w:p>
        </w:tc>
        <w:tc>
          <w:tcPr>
            <w:tcW w:w="280" w:type="dxa"/>
            <w:vAlign w:val="bottom"/>
            <w:shd w:val="clear" w:color="auto" w:fill="E6E6E6"/>
          </w:tcPr>
          <w:p>
            <w:pPr>
              <w:spacing w:after="0"/>
              <w:rPr>
                <w:sz w:val="17"/>
                <w:szCs w:val="17"/>
                <w:color w:val="auto"/>
              </w:rPr>
            </w:pPr>
          </w:p>
        </w:tc>
        <w:tc>
          <w:tcPr>
            <w:tcW w:w="960" w:type="dxa"/>
            <w:vAlign w:val="bottom"/>
            <w:shd w:val="clear" w:color="auto" w:fill="E6E6E6"/>
          </w:tcPr>
          <w:p>
            <w:pPr>
              <w:spacing w:after="0"/>
              <w:rPr>
                <w:sz w:val="17"/>
                <w:szCs w:val="17"/>
                <w:color w:val="auto"/>
              </w:rPr>
            </w:pPr>
          </w:p>
        </w:tc>
        <w:tc>
          <w:tcPr>
            <w:tcW w:w="140" w:type="dxa"/>
            <w:vAlign w:val="bottom"/>
            <w:shd w:val="clear" w:color="auto" w:fill="E6E6E6"/>
          </w:tcPr>
          <w:p>
            <w:pPr>
              <w:spacing w:after="0"/>
              <w:rPr>
                <w:sz w:val="17"/>
                <w:szCs w:val="17"/>
                <w:color w:val="auto"/>
              </w:rPr>
            </w:pPr>
          </w:p>
        </w:tc>
        <w:tc>
          <w:tcPr>
            <w:tcW w:w="100" w:type="dxa"/>
            <w:vAlign w:val="bottom"/>
            <w:shd w:val="clear" w:color="auto" w:fill="E6E6E6"/>
          </w:tcPr>
          <w:p>
            <w:pPr>
              <w:spacing w:after="0"/>
              <w:rPr>
                <w:sz w:val="17"/>
                <w:szCs w:val="17"/>
                <w:color w:val="auto"/>
              </w:rPr>
            </w:pPr>
          </w:p>
        </w:tc>
        <w:tc>
          <w:tcPr>
            <w:tcW w:w="1020" w:type="dxa"/>
            <w:vAlign w:val="bottom"/>
            <w:shd w:val="clear" w:color="auto" w:fill="E6E6E6"/>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20" w:type="dxa"/>
            <w:vAlign w:val="bottom"/>
          </w:tcPr>
          <w:p>
            <w:pPr>
              <w:ind w:left="300"/>
              <w:spacing w:after="0" w:line="202" w:lineRule="exact"/>
              <w:rPr>
                <w:sz w:val="20"/>
                <w:szCs w:val="20"/>
                <w:color w:val="auto"/>
              </w:rPr>
            </w:pPr>
            <w:r>
              <w:rPr>
                <w:rFonts w:ascii="Arial" w:cs="Arial" w:eastAsia="Arial" w:hAnsi="Arial"/>
                <w:sz w:val="18"/>
                <w:szCs w:val="18"/>
                <w:color w:val="auto"/>
              </w:rPr>
              <w:t>Foreign currency translation adjustment</w:t>
            </w:r>
          </w:p>
        </w:tc>
        <w:tc>
          <w:tcPr>
            <w:tcW w:w="620" w:type="dxa"/>
            <w:vAlign w:val="bottom"/>
          </w:tcPr>
          <w:p>
            <w:pPr>
              <w:spacing w:after="0"/>
              <w:rPr>
                <w:sz w:val="17"/>
                <w:szCs w:val="17"/>
                <w:color w:val="auto"/>
              </w:rPr>
            </w:pPr>
          </w:p>
        </w:tc>
        <w:tc>
          <w:tcPr>
            <w:tcW w:w="1400" w:type="dxa"/>
            <w:vAlign w:val="bottom"/>
          </w:tcPr>
          <w:p>
            <w:pPr>
              <w:jc w:val="right"/>
              <w:ind w:right="133"/>
              <w:spacing w:after="0" w:line="202" w:lineRule="exact"/>
              <w:rPr>
                <w:sz w:val="20"/>
                <w:szCs w:val="20"/>
                <w:color w:val="auto"/>
              </w:rPr>
            </w:pPr>
            <w:r>
              <w:rPr>
                <w:rFonts w:ascii="Arial" w:cs="Arial" w:eastAsia="Arial" w:hAnsi="Arial"/>
                <w:sz w:val="18"/>
                <w:szCs w:val="18"/>
                <w:color w:val="auto"/>
              </w:rPr>
              <w:t>2.8</w:t>
            </w:r>
          </w:p>
        </w:tc>
        <w:tc>
          <w:tcPr>
            <w:tcW w:w="280" w:type="dxa"/>
            <w:vAlign w:val="bottom"/>
          </w:tcPr>
          <w:p>
            <w:pPr>
              <w:spacing w:after="0"/>
              <w:rPr>
                <w:sz w:val="17"/>
                <w:szCs w:val="17"/>
                <w:color w:val="auto"/>
              </w:rPr>
            </w:pPr>
          </w:p>
        </w:tc>
        <w:tc>
          <w:tcPr>
            <w:tcW w:w="980" w:type="dxa"/>
            <w:vAlign w:val="bottom"/>
          </w:tcPr>
          <w:p>
            <w:pPr>
              <w:jc w:val="right"/>
              <w:ind w:right="113"/>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960" w:type="dxa"/>
            <w:vAlign w:val="bottom"/>
          </w:tcPr>
          <w:p>
            <w:pPr>
              <w:jc w:val="right"/>
              <w:ind w:right="114"/>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ind w:right="14"/>
              <w:spacing w:after="0" w:line="202" w:lineRule="exact"/>
              <w:rPr>
                <w:sz w:val="20"/>
                <w:szCs w:val="20"/>
                <w:color w:val="auto"/>
              </w:rPr>
            </w:pPr>
            <w:r>
              <w:rPr>
                <w:rFonts w:ascii="Arial" w:cs="Arial" w:eastAsia="Arial" w:hAnsi="Arial"/>
                <w:sz w:val="18"/>
                <w:szCs w:val="18"/>
                <w:color w:val="auto"/>
              </w:rPr>
              <w:t>2.8</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20" w:type="dxa"/>
            <w:vAlign w:val="bottom"/>
            <w:shd w:val="clear" w:color="auto" w:fill="E6E6E6"/>
          </w:tcPr>
          <w:p>
            <w:pPr>
              <w:ind w:left="300"/>
              <w:spacing w:after="0" w:line="202" w:lineRule="exact"/>
              <w:rPr>
                <w:sz w:val="20"/>
                <w:szCs w:val="20"/>
                <w:color w:val="auto"/>
              </w:rPr>
            </w:pPr>
            <w:r>
              <w:rPr>
                <w:rFonts w:ascii="Arial" w:cs="Arial" w:eastAsia="Arial" w:hAnsi="Arial"/>
                <w:sz w:val="18"/>
                <w:szCs w:val="18"/>
                <w:color w:val="auto"/>
              </w:rPr>
              <w:t>Pension and postretirement adjustments (net of tax of ($9.1))</w:t>
            </w:r>
          </w:p>
        </w:tc>
        <w:tc>
          <w:tcPr>
            <w:tcW w:w="620" w:type="dxa"/>
            <w:vAlign w:val="bottom"/>
            <w:shd w:val="clear" w:color="auto" w:fill="E6E6E6"/>
          </w:tcPr>
          <w:p>
            <w:pPr>
              <w:spacing w:after="0"/>
              <w:rPr>
                <w:sz w:val="17"/>
                <w:szCs w:val="17"/>
                <w:color w:val="auto"/>
              </w:rPr>
            </w:pPr>
          </w:p>
        </w:tc>
        <w:tc>
          <w:tcPr>
            <w:tcW w:w="1400" w:type="dxa"/>
            <w:vAlign w:val="bottom"/>
            <w:shd w:val="clear" w:color="auto" w:fill="E6E6E6"/>
          </w:tcPr>
          <w:p>
            <w:pPr>
              <w:jc w:val="right"/>
              <w:ind w:right="73"/>
              <w:spacing w:after="0" w:line="202" w:lineRule="exact"/>
              <w:rPr>
                <w:sz w:val="20"/>
                <w:szCs w:val="20"/>
                <w:color w:val="auto"/>
              </w:rPr>
            </w:pPr>
            <w:r>
              <w:rPr>
                <w:rFonts w:ascii="Arial" w:cs="Arial" w:eastAsia="Arial" w:hAnsi="Arial"/>
                <w:sz w:val="18"/>
                <w:szCs w:val="18"/>
                <w:color w:val="auto"/>
              </w:rPr>
              <w:t>(11.1)</w:t>
            </w:r>
          </w:p>
        </w:tc>
        <w:tc>
          <w:tcPr>
            <w:tcW w:w="280" w:type="dxa"/>
            <w:vAlign w:val="bottom"/>
            <w:shd w:val="clear" w:color="auto" w:fill="E6E6E6"/>
          </w:tcPr>
          <w:p>
            <w:pPr>
              <w:spacing w:after="0"/>
              <w:rPr>
                <w:sz w:val="17"/>
                <w:szCs w:val="17"/>
                <w:color w:val="auto"/>
              </w:rPr>
            </w:pPr>
          </w:p>
        </w:tc>
        <w:tc>
          <w:tcPr>
            <w:tcW w:w="980" w:type="dxa"/>
            <w:vAlign w:val="bottom"/>
            <w:shd w:val="clear" w:color="auto" w:fill="E6E6E6"/>
          </w:tcPr>
          <w:p>
            <w:pPr>
              <w:jc w:val="right"/>
              <w:ind w:right="113"/>
              <w:spacing w:after="0" w:line="202" w:lineRule="exact"/>
              <w:rPr>
                <w:sz w:val="20"/>
                <w:szCs w:val="20"/>
                <w:color w:val="auto"/>
              </w:rPr>
            </w:pPr>
            <w:r>
              <w:rPr>
                <w:rFonts w:ascii="Arial" w:cs="Arial" w:eastAsia="Arial" w:hAnsi="Arial"/>
                <w:sz w:val="18"/>
                <w:szCs w:val="18"/>
                <w:color w:val="auto"/>
              </w:rPr>
              <w:t>—</w:t>
            </w:r>
          </w:p>
        </w:tc>
        <w:tc>
          <w:tcPr>
            <w:tcW w:w="280" w:type="dxa"/>
            <w:vAlign w:val="bottom"/>
            <w:shd w:val="clear" w:color="auto" w:fill="E6E6E6"/>
          </w:tcPr>
          <w:p>
            <w:pPr>
              <w:spacing w:after="0"/>
              <w:rPr>
                <w:sz w:val="17"/>
                <w:szCs w:val="17"/>
                <w:color w:val="auto"/>
              </w:rPr>
            </w:pPr>
          </w:p>
        </w:tc>
        <w:tc>
          <w:tcPr>
            <w:tcW w:w="960" w:type="dxa"/>
            <w:vAlign w:val="bottom"/>
            <w:shd w:val="clear" w:color="auto" w:fill="E6E6E6"/>
          </w:tcPr>
          <w:p>
            <w:pPr>
              <w:jc w:val="right"/>
              <w:ind w:right="114"/>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E6E6E6"/>
          </w:tcPr>
          <w:p>
            <w:pPr>
              <w:spacing w:after="0"/>
              <w:rPr>
                <w:sz w:val="17"/>
                <w:szCs w:val="17"/>
                <w:color w:val="auto"/>
              </w:rPr>
            </w:pPr>
          </w:p>
        </w:tc>
        <w:tc>
          <w:tcPr>
            <w:tcW w:w="100" w:type="dxa"/>
            <w:vAlign w:val="bottom"/>
            <w:shd w:val="clear" w:color="auto" w:fill="E6E6E6"/>
          </w:tcPr>
          <w:p>
            <w:pPr>
              <w:spacing w:after="0"/>
              <w:rPr>
                <w:sz w:val="17"/>
                <w:szCs w:val="17"/>
                <w:color w:val="auto"/>
              </w:rPr>
            </w:pPr>
          </w:p>
        </w:tc>
        <w:tc>
          <w:tcPr>
            <w:tcW w:w="102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(11.1)</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6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280" w:type="dxa"/>
            <w:vAlign w:val="bottom"/>
          </w:tcPr>
          <w:p>
            <w:pPr>
              <w:spacing w:after="0"/>
              <w:rPr>
                <w:sz w:val="9"/>
                <w:szCs w:val="9"/>
                <w:color w:val="auto"/>
              </w:rPr>
            </w:pPr>
          </w:p>
        </w:tc>
        <w:tc>
          <w:tcPr>
            <w:tcW w:w="980" w:type="dxa"/>
            <w:vAlign w:val="bottom"/>
          </w:tcPr>
          <w:p>
            <w:pPr>
              <w:spacing w:after="0"/>
              <w:rPr>
                <w:sz w:val="9"/>
                <w:szCs w:val="9"/>
                <w:color w:val="auto"/>
              </w:rPr>
            </w:pPr>
          </w:p>
        </w:tc>
        <w:tc>
          <w:tcPr>
            <w:tcW w:w="280" w:type="dxa"/>
            <w:vAlign w:val="bottom"/>
          </w:tcPr>
          <w:p>
            <w:pPr>
              <w:spacing w:after="0"/>
              <w:rPr>
                <w:sz w:val="9"/>
                <w:szCs w:val="9"/>
                <w:color w:val="auto"/>
              </w:rPr>
            </w:pPr>
          </w:p>
        </w:tc>
        <w:tc>
          <w:tcPr>
            <w:tcW w:w="9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5620" w:type="dxa"/>
            <w:vAlign w:val="bottom"/>
          </w:tcPr>
          <w:p>
            <w:pPr>
              <w:ind w:left="140"/>
              <w:spacing w:after="0"/>
              <w:rPr>
                <w:sz w:val="20"/>
                <w:szCs w:val="20"/>
                <w:color w:val="auto"/>
              </w:rPr>
            </w:pPr>
            <w:r>
              <w:rPr>
                <w:rFonts w:ascii="Arial" w:cs="Arial" w:eastAsia="Arial" w:hAnsi="Arial"/>
                <w:sz w:val="18"/>
                <w:szCs w:val="18"/>
                <w:color w:val="auto"/>
              </w:rPr>
              <w:t>Total other comprehensive loss</w:t>
            </w:r>
          </w:p>
        </w:tc>
        <w:tc>
          <w:tcPr>
            <w:tcW w:w="620" w:type="dxa"/>
            <w:vAlign w:val="bottom"/>
          </w:tcPr>
          <w:p>
            <w:pPr>
              <w:spacing w:after="0"/>
              <w:rPr>
                <w:sz w:val="24"/>
                <w:szCs w:val="24"/>
                <w:color w:val="auto"/>
              </w:rPr>
            </w:pPr>
          </w:p>
        </w:tc>
        <w:tc>
          <w:tcPr>
            <w:tcW w:w="1400" w:type="dxa"/>
            <w:vAlign w:val="bottom"/>
          </w:tcPr>
          <w:p>
            <w:pPr>
              <w:jc w:val="right"/>
              <w:ind w:right="133"/>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98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960" w:type="dxa"/>
            <w:vAlign w:val="bottom"/>
          </w:tcPr>
          <w:p>
            <w:pPr>
              <w:jc w:val="right"/>
              <w:ind w:right="114"/>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(8.3)</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5640" w:type="dxa"/>
            <w:vAlign w:val="bottom"/>
            <w:gridSpan w:val="2"/>
          </w:tcPr>
          <w:p>
            <w:pPr>
              <w:spacing w:after="0"/>
              <w:rPr>
                <w:sz w:val="8"/>
                <w:szCs w:val="8"/>
                <w:color w:val="auto"/>
              </w:rPr>
            </w:pPr>
          </w:p>
        </w:tc>
        <w:tc>
          <w:tcPr>
            <w:tcW w:w="620" w:type="dxa"/>
            <w:vAlign w:val="bottom"/>
          </w:tcPr>
          <w:p>
            <w:pPr>
              <w:spacing w:after="0"/>
              <w:rPr>
                <w:sz w:val="8"/>
                <w:szCs w:val="8"/>
                <w:color w:val="auto"/>
              </w:rPr>
            </w:pPr>
          </w:p>
        </w:tc>
        <w:tc>
          <w:tcPr>
            <w:tcW w:w="1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980" w:type="dxa"/>
            <w:vAlign w:val="bottom"/>
          </w:tcPr>
          <w:p>
            <w:pPr>
              <w:spacing w:after="0"/>
              <w:rPr>
                <w:sz w:val="8"/>
                <w:szCs w:val="8"/>
                <w:color w:val="auto"/>
              </w:rPr>
            </w:pPr>
          </w:p>
        </w:tc>
        <w:tc>
          <w:tcPr>
            <w:tcW w:w="280" w:type="dxa"/>
            <w:vAlign w:val="bottom"/>
          </w:tcPr>
          <w:p>
            <w:pPr>
              <w:spacing w:after="0"/>
              <w:rPr>
                <w:sz w:val="8"/>
                <w:szCs w:val="8"/>
                <w:color w:val="auto"/>
              </w:rPr>
            </w:pPr>
          </w:p>
        </w:tc>
        <w:tc>
          <w:tcPr>
            <w:tcW w:w="9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640" w:type="dxa"/>
            <w:vAlign w:val="bottom"/>
            <w:gridSpan w:val="2"/>
          </w:tcPr>
          <w:p>
            <w:pPr>
              <w:spacing w:after="0"/>
              <w:rPr>
                <w:sz w:val="8"/>
                <w:szCs w:val="8"/>
                <w:color w:val="auto"/>
              </w:rPr>
            </w:pPr>
          </w:p>
        </w:tc>
        <w:tc>
          <w:tcPr>
            <w:tcW w:w="620" w:type="dxa"/>
            <w:vAlign w:val="bottom"/>
          </w:tcPr>
          <w:p>
            <w:pPr>
              <w:spacing w:after="0"/>
              <w:rPr>
                <w:sz w:val="8"/>
                <w:szCs w:val="8"/>
                <w:color w:val="auto"/>
              </w:rPr>
            </w:pPr>
          </w:p>
        </w:tc>
        <w:tc>
          <w:tcPr>
            <w:tcW w:w="1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980" w:type="dxa"/>
            <w:vAlign w:val="bottom"/>
          </w:tcPr>
          <w:p>
            <w:pPr>
              <w:spacing w:after="0"/>
              <w:rPr>
                <w:sz w:val="8"/>
                <w:szCs w:val="8"/>
                <w:color w:val="auto"/>
              </w:rPr>
            </w:pPr>
          </w:p>
        </w:tc>
        <w:tc>
          <w:tcPr>
            <w:tcW w:w="280" w:type="dxa"/>
            <w:vAlign w:val="bottom"/>
          </w:tcPr>
          <w:p>
            <w:pPr>
              <w:spacing w:after="0"/>
              <w:rPr>
                <w:sz w:val="8"/>
                <w:szCs w:val="8"/>
                <w:color w:val="auto"/>
              </w:rPr>
            </w:pPr>
          </w:p>
        </w:tc>
        <w:tc>
          <w:tcPr>
            <w:tcW w:w="9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2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Total comprehensive income</w:t>
            </w:r>
          </w:p>
        </w:tc>
        <w:tc>
          <w:tcPr>
            <w:tcW w:w="620" w:type="dxa"/>
            <w:vAlign w:val="bottom"/>
            <w:shd w:val="clear" w:color="auto" w:fill="E6E6E6"/>
          </w:tcPr>
          <w:p>
            <w:pPr>
              <w:spacing w:after="0"/>
              <w:rPr>
                <w:sz w:val="17"/>
                <w:szCs w:val="17"/>
                <w:color w:val="auto"/>
              </w:rPr>
            </w:pPr>
          </w:p>
        </w:tc>
        <w:tc>
          <w:tcPr>
            <w:tcW w:w="1400" w:type="dxa"/>
            <w:vAlign w:val="bottom"/>
            <w:shd w:val="clear" w:color="auto" w:fill="E6E6E6"/>
          </w:tcPr>
          <w:p>
            <w:pPr>
              <w:jc w:val="right"/>
              <w:ind w:right="133"/>
              <w:spacing w:after="0" w:line="202" w:lineRule="exact"/>
              <w:rPr>
                <w:sz w:val="20"/>
                <w:szCs w:val="20"/>
                <w:color w:val="auto"/>
              </w:rPr>
            </w:pPr>
            <w:r>
              <w:rPr>
                <w:rFonts w:ascii="Arial" w:cs="Arial" w:eastAsia="Arial" w:hAnsi="Arial"/>
                <w:sz w:val="18"/>
                <w:szCs w:val="18"/>
                <w:color w:val="auto"/>
              </w:rPr>
              <w:t>—</w:t>
            </w:r>
          </w:p>
        </w:tc>
        <w:tc>
          <w:tcPr>
            <w:tcW w:w="280" w:type="dxa"/>
            <w:vAlign w:val="bottom"/>
            <w:shd w:val="clear" w:color="auto" w:fill="E6E6E6"/>
          </w:tcPr>
          <w:p>
            <w:pPr>
              <w:spacing w:after="0"/>
              <w:rPr>
                <w:sz w:val="17"/>
                <w:szCs w:val="17"/>
                <w:color w:val="auto"/>
              </w:rPr>
            </w:pPr>
          </w:p>
        </w:tc>
        <w:tc>
          <w:tcPr>
            <w:tcW w:w="980" w:type="dxa"/>
            <w:vAlign w:val="bottom"/>
            <w:shd w:val="clear" w:color="auto" w:fill="E6E6E6"/>
          </w:tcPr>
          <w:p>
            <w:pPr>
              <w:jc w:val="right"/>
              <w:ind w:right="113"/>
              <w:spacing w:after="0" w:line="202" w:lineRule="exact"/>
              <w:rPr>
                <w:sz w:val="20"/>
                <w:szCs w:val="20"/>
                <w:color w:val="auto"/>
              </w:rPr>
            </w:pPr>
            <w:r>
              <w:rPr>
                <w:rFonts w:ascii="Arial" w:cs="Arial" w:eastAsia="Arial" w:hAnsi="Arial"/>
                <w:sz w:val="18"/>
                <w:szCs w:val="18"/>
                <w:color w:val="auto"/>
              </w:rPr>
              <w:t>—</w:t>
            </w:r>
          </w:p>
        </w:tc>
        <w:tc>
          <w:tcPr>
            <w:tcW w:w="280" w:type="dxa"/>
            <w:vAlign w:val="bottom"/>
            <w:shd w:val="clear" w:color="auto" w:fill="E6E6E6"/>
          </w:tcPr>
          <w:p>
            <w:pPr>
              <w:spacing w:after="0"/>
              <w:rPr>
                <w:sz w:val="17"/>
                <w:szCs w:val="17"/>
                <w:color w:val="auto"/>
              </w:rPr>
            </w:pPr>
          </w:p>
        </w:tc>
        <w:tc>
          <w:tcPr>
            <w:tcW w:w="960" w:type="dxa"/>
            <w:vAlign w:val="bottom"/>
            <w:shd w:val="clear" w:color="auto" w:fill="E6E6E6"/>
          </w:tcPr>
          <w:p>
            <w:pPr>
              <w:jc w:val="right"/>
              <w:ind w:right="114"/>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E6E6E6"/>
          </w:tcPr>
          <w:p>
            <w:pPr>
              <w:spacing w:after="0"/>
              <w:rPr>
                <w:sz w:val="17"/>
                <w:szCs w:val="17"/>
                <w:color w:val="auto"/>
              </w:rPr>
            </w:pPr>
          </w:p>
        </w:tc>
        <w:tc>
          <w:tcPr>
            <w:tcW w:w="100" w:type="dxa"/>
            <w:vAlign w:val="bottom"/>
            <w:shd w:val="clear" w:color="auto" w:fill="E6E6E6"/>
          </w:tcPr>
          <w:p>
            <w:pPr>
              <w:spacing w:after="0"/>
              <w:rPr>
                <w:sz w:val="17"/>
                <w:szCs w:val="17"/>
                <w:color w:val="auto"/>
              </w:rPr>
            </w:pPr>
          </w:p>
        </w:tc>
        <w:tc>
          <w:tcPr>
            <w:tcW w:w="1020" w:type="dxa"/>
            <w:vAlign w:val="bottom"/>
            <w:shd w:val="clear" w:color="auto" w:fill="E6E6E6"/>
          </w:tcPr>
          <w:p>
            <w:pPr>
              <w:jc w:val="right"/>
              <w:ind w:right="14"/>
              <w:spacing w:after="0" w:line="202" w:lineRule="exact"/>
              <w:rPr>
                <w:sz w:val="20"/>
                <w:szCs w:val="20"/>
                <w:color w:val="auto"/>
              </w:rPr>
            </w:pPr>
            <w:r>
              <w:rPr>
                <w:rFonts w:ascii="Arial" w:cs="Arial" w:eastAsia="Arial" w:hAnsi="Arial"/>
                <w:sz w:val="18"/>
                <w:szCs w:val="18"/>
                <w:color w:val="auto"/>
              </w:rPr>
              <w:t>47.8</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40" w:type="dxa"/>
            <w:vAlign w:val="bottom"/>
            <w:gridSpan w:val="2"/>
          </w:tcPr>
          <w:p>
            <w:pPr>
              <w:spacing w:after="0" w:line="202" w:lineRule="exact"/>
              <w:rPr>
                <w:sz w:val="20"/>
                <w:szCs w:val="20"/>
                <w:color w:val="auto"/>
              </w:rPr>
            </w:pPr>
            <w:r>
              <w:rPr>
                <w:rFonts w:ascii="Arial" w:cs="Arial" w:eastAsia="Arial" w:hAnsi="Arial"/>
                <w:sz w:val="18"/>
                <w:szCs w:val="18"/>
                <w:color w:val="auto"/>
              </w:rPr>
              <w:t>Stock-based compensation</w:t>
            </w:r>
          </w:p>
        </w:tc>
        <w:tc>
          <w:tcPr>
            <w:tcW w:w="620" w:type="dxa"/>
            <w:vAlign w:val="bottom"/>
          </w:tcPr>
          <w:p>
            <w:pPr>
              <w:spacing w:after="0"/>
              <w:rPr>
                <w:sz w:val="17"/>
                <w:szCs w:val="17"/>
                <w:color w:val="auto"/>
              </w:rPr>
            </w:pPr>
          </w:p>
        </w:tc>
        <w:tc>
          <w:tcPr>
            <w:tcW w:w="1400" w:type="dxa"/>
            <w:vAlign w:val="bottom"/>
          </w:tcPr>
          <w:p>
            <w:pPr>
              <w:jc w:val="right"/>
              <w:ind w:right="133"/>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980" w:type="dxa"/>
            <w:vAlign w:val="bottom"/>
          </w:tcPr>
          <w:p>
            <w:pPr>
              <w:jc w:val="right"/>
              <w:ind w:right="113"/>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960" w:type="dxa"/>
            <w:vAlign w:val="bottom"/>
          </w:tcPr>
          <w:p>
            <w:pPr>
              <w:jc w:val="right"/>
              <w:ind w:right="114"/>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ind w:right="14"/>
              <w:spacing w:after="0" w:line="202" w:lineRule="exact"/>
              <w:rPr>
                <w:sz w:val="20"/>
                <w:szCs w:val="20"/>
                <w:color w:val="auto"/>
              </w:rPr>
            </w:pPr>
            <w:r>
              <w:rPr>
                <w:rFonts w:ascii="Arial" w:cs="Arial" w:eastAsia="Arial" w:hAnsi="Arial"/>
                <w:sz w:val="18"/>
                <w:szCs w:val="18"/>
                <w:color w:val="auto"/>
              </w:rPr>
              <w:t>14.0</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620" w:type="dxa"/>
            <w:vAlign w:val="bottom"/>
            <w:shd w:val="clear" w:color="auto" w:fill="E6E6E6"/>
          </w:tcPr>
          <w:p>
            <w:pPr>
              <w:spacing w:after="0" w:line="206" w:lineRule="exact"/>
              <w:rPr>
                <w:sz w:val="20"/>
                <w:szCs w:val="20"/>
                <w:color w:val="auto"/>
              </w:rPr>
            </w:pPr>
            <w:r>
              <w:rPr>
                <w:rFonts w:ascii="Arial" w:cs="Arial" w:eastAsia="Arial" w:hAnsi="Arial"/>
                <w:sz w:val="18"/>
                <w:szCs w:val="18"/>
                <w:color w:val="auto"/>
              </w:rPr>
              <w:t>Proceeds from issuance of common stock pursuant to stock-based</w:t>
            </w:r>
          </w:p>
        </w:tc>
        <w:tc>
          <w:tcPr>
            <w:tcW w:w="620" w:type="dxa"/>
            <w:vAlign w:val="bottom"/>
            <w:shd w:val="clear" w:color="auto" w:fill="E6E6E6"/>
          </w:tcPr>
          <w:p>
            <w:pPr>
              <w:spacing w:after="0"/>
              <w:rPr>
                <w:sz w:val="17"/>
                <w:szCs w:val="17"/>
                <w:color w:val="auto"/>
              </w:rPr>
            </w:pPr>
          </w:p>
        </w:tc>
        <w:tc>
          <w:tcPr>
            <w:tcW w:w="1400" w:type="dxa"/>
            <w:vAlign w:val="bottom"/>
            <w:shd w:val="clear" w:color="auto" w:fill="E6E6E6"/>
          </w:tcPr>
          <w:p>
            <w:pPr>
              <w:spacing w:after="0"/>
              <w:rPr>
                <w:sz w:val="17"/>
                <w:szCs w:val="17"/>
                <w:color w:val="auto"/>
              </w:rPr>
            </w:pPr>
          </w:p>
        </w:tc>
        <w:tc>
          <w:tcPr>
            <w:tcW w:w="280" w:type="dxa"/>
            <w:vAlign w:val="bottom"/>
            <w:shd w:val="clear" w:color="auto" w:fill="E6E6E6"/>
          </w:tcPr>
          <w:p>
            <w:pPr>
              <w:spacing w:after="0"/>
              <w:rPr>
                <w:sz w:val="17"/>
                <w:szCs w:val="17"/>
                <w:color w:val="auto"/>
              </w:rPr>
            </w:pPr>
          </w:p>
        </w:tc>
        <w:tc>
          <w:tcPr>
            <w:tcW w:w="980" w:type="dxa"/>
            <w:vAlign w:val="bottom"/>
            <w:shd w:val="clear" w:color="auto" w:fill="E6E6E6"/>
          </w:tcPr>
          <w:p>
            <w:pPr>
              <w:spacing w:after="0"/>
              <w:rPr>
                <w:sz w:val="17"/>
                <w:szCs w:val="17"/>
                <w:color w:val="auto"/>
              </w:rPr>
            </w:pPr>
          </w:p>
        </w:tc>
        <w:tc>
          <w:tcPr>
            <w:tcW w:w="280" w:type="dxa"/>
            <w:vAlign w:val="bottom"/>
            <w:shd w:val="clear" w:color="auto" w:fill="E6E6E6"/>
          </w:tcPr>
          <w:p>
            <w:pPr>
              <w:spacing w:after="0"/>
              <w:rPr>
                <w:sz w:val="17"/>
                <w:szCs w:val="17"/>
                <w:color w:val="auto"/>
              </w:rPr>
            </w:pPr>
          </w:p>
        </w:tc>
        <w:tc>
          <w:tcPr>
            <w:tcW w:w="960" w:type="dxa"/>
            <w:vAlign w:val="bottom"/>
            <w:shd w:val="clear" w:color="auto" w:fill="E6E6E6"/>
          </w:tcPr>
          <w:p>
            <w:pPr>
              <w:spacing w:after="0"/>
              <w:rPr>
                <w:sz w:val="17"/>
                <w:szCs w:val="17"/>
                <w:color w:val="auto"/>
              </w:rPr>
            </w:pPr>
          </w:p>
        </w:tc>
        <w:tc>
          <w:tcPr>
            <w:tcW w:w="140" w:type="dxa"/>
            <w:vAlign w:val="bottom"/>
            <w:shd w:val="clear" w:color="auto" w:fill="E6E6E6"/>
          </w:tcPr>
          <w:p>
            <w:pPr>
              <w:spacing w:after="0"/>
              <w:rPr>
                <w:sz w:val="17"/>
                <w:szCs w:val="17"/>
                <w:color w:val="auto"/>
              </w:rPr>
            </w:pPr>
          </w:p>
        </w:tc>
        <w:tc>
          <w:tcPr>
            <w:tcW w:w="100" w:type="dxa"/>
            <w:vAlign w:val="bottom"/>
            <w:shd w:val="clear" w:color="auto" w:fill="E6E6E6"/>
          </w:tcPr>
          <w:p>
            <w:pPr>
              <w:spacing w:after="0"/>
              <w:rPr>
                <w:sz w:val="17"/>
                <w:szCs w:val="17"/>
                <w:color w:val="auto"/>
              </w:rPr>
            </w:pPr>
          </w:p>
        </w:tc>
        <w:tc>
          <w:tcPr>
            <w:tcW w:w="1020" w:type="dxa"/>
            <w:vAlign w:val="bottom"/>
            <w:shd w:val="clear" w:color="auto" w:fill="E6E6E6"/>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620" w:type="dxa"/>
            <w:vAlign w:val="bottom"/>
            <w:shd w:val="clear" w:color="auto" w:fill="E6E6E6"/>
          </w:tcPr>
          <w:p>
            <w:pPr>
              <w:ind w:left="140"/>
              <w:spacing w:after="0" w:line="200" w:lineRule="exact"/>
              <w:rPr>
                <w:sz w:val="20"/>
                <w:szCs w:val="20"/>
                <w:color w:val="auto"/>
              </w:rPr>
            </w:pPr>
            <w:r>
              <w:rPr>
                <w:rFonts w:ascii="Arial" w:cs="Arial" w:eastAsia="Arial" w:hAnsi="Arial"/>
                <w:sz w:val="18"/>
                <w:szCs w:val="18"/>
                <w:color w:val="auto"/>
              </w:rPr>
              <w:t>compensation</w:t>
            </w:r>
          </w:p>
        </w:tc>
        <w:tc>
          <w:tcPr>
            <w:tcW w:w="620" w:type="dxa"/>
            <w:vAlign w:val="bottom"/>
            <w:shd w:val="clear" w:color="auto" w:fill="E6E6E6"/>
          </w:tcPr>
          <w:p>
            <w:pPr>
              <w:spacing w:after="0"/>
              <w:rPr>
                <w:sz w:val="17"/>
                <w:szCs w:val="17"/>
                <w:color w:val="auto"/>
              </w:rPr>
            </w:pPr>
          </w:p>
        </w:tc>
        <w:tc>
          <w:tcPr>
            <w:tcW w:w="1400" w:type="dxa"/>
            <w:vAlign w:val="bottom"/>
            <w:shd w:val="clear" w:color="auto" w:fill="E6E6E6"/>
          </w:tcPr>
          <w:p>
            <w:pPr>
              <w:jc w:val="right"/>
              <w:ind w:right="133"/>
              <w:spacing w:after="0" w:line="200" w:lineRule="exact"/>
              <w:rPr>
                <w:sz w:val="20"/>
                <w:szCs w:val="20"/>
                <w:color w:val="auto"/>
              </w:rPr>
            </w:pPr>
            <w:r>
              <w:rPr>
                <w:rFonts w:ascii="Arial" w:cs="Arial" w:eastAsia="Arial" w:hAnsi="Arial"/>
                <w:sz w:val="18"/>
                <w:szCs w:val="18"/>
                <w:color w:val="auto"/>
              </w:rPr>
              <w:t>—</w:t>
            </w:r>
          </w:p>
        </w:tc>
        <w:tc>
          <w:tcPr>
            <w:tcW w:w="280" w:type="dxa"/>
            <w:vAlign w:val="bottom"/>
            <w:shd w:val="clear" w:color="auto" w:fill="E6E6E6"/>
          </w:tcPr>
          <w:p>
            <w:pPr>
              <w:spacing w:after="0"/>
              <w:rPr>
                <w:sz w:val="17"/>
                <w:szCs w:val="17"/>
                <w:color w:val="auto"/>
              </w:rPr>
            </w:pPr>
          </w:p>
        </w:tc>
        <w:tc>
          <w:tcPr>
            <w:tcW w:w="980" w:type="dxa"/>
            <w:vAlign w:val="bottom"/>
            <w:shd w:val="clear" w:color="auto" w:fill="E6E6E6"/>
          </w:tcPr>
          <w:p>
            <w:pPr>
              <w:jc w:val="right"/>
              <w:ind w:right="113"/>
              <w:spacing w:after="0" w:line="200" w:lineRule="exact"/>
              <w:rPr>
                <w:sz w:val="20"/>
                <w:szCs w:val="20"/>
                <w:color w:val="auto"/>
              </w:rPr>
            </w:pPr>
            <w:r>
              <w:rPr>
                <w:rFonts w:ascii="Arial" w:cs="Arial" w:eastAsia="Arial" w:hAnsi="Arial"/>
                <w:sz w:val="18"/>
                <w:szCs w:val="18"/>
                <w:color w:val="auto"/>
              </w:rPr>
              <w:t>—</w:t>
            </w:r>
          </w:p>
        </w:tc>
        <w:tc>
          <w:tcPr>
            <w:tcW w:w="280" w:type="dxa"/>
            <w:vAlign w:val="bottom"/>
            <w:shd w:val="clear" w:color="auto" w:fill="E6E6E6"/>
          </w:tcPr>
          <w:p>
            <w:pPr>
              <w:spacing w:after="0"/>
              <w:rPr>
                <w:sz w:val="17"/>
                <w:szCs w:val="17"/>
                <w:color w:val="auto"/>
              </w:rPr>
            </w:pPr>
          </w:p>
        </w:tc>
        <w:tc>
          <w:tcPr>
            <w:tcW w:w="960" w:type="dxa"/>
            <w:vAlign w:val="bottom"/>
            <w:shd w:val="clear" w:color="auto" w:fill="E6E6E6"/>
          </w:tcPr>
          <w:p>
            <w:pPr>
              <w:jc w:val="right"/>
              <w:ind w:right="114"/>
              <w:spacing w:after="0" w:line="200" w:lineRule="exact"/>
              <w:rPr>
                <w:sz w:val="20"/>
                <w:szCs w:val="20"/>
                <w:color w:val="auto"/>
              </w:rPr>
            </w:pPr>
            <w:r>
              <w:rPr>
                <w:rFonts w:ascii="Arial" w:cs="Arial" w:eastAsia="Arial" w:hAnsi="Arial"/>
                <w:sz w:val="18"/>
                <w:szCs w:val="18"/>
                <w:color w:val="auto"/>
              </w:rPr>
              <w:t>—</w:t>
            </w:r>
          </w:p>
        </w:tc>
        <w:tc>
          <w:tcPr>
            <w:tcW w:w="140" w:type="dxa"/>
            <w:vAlign w:val="bottom"/>
            <w:shd w:val="clear" w:color="auto" w:fill="E6E6E6"/>
          </w:tcPr>
          <w:p>
            <w:pPr>
              <w:spacing w:after="0"/>
              <w:rPr>
                <w:sz w:val="17"/>
                <w:szCs w:val="17"/>
                <w:color w:val="auto"/>
              </w:rPr>
            </w:pPr>
          </w:p>
        </w:tc>
        <w:tc>
          <w:tcPr>
            <w:tcW w:w="100" w:type="dxa"/>
            <w:vAlign w:val="bottom"/>
            <w:shd w:val="clear" w:color="auto" w:fill="E6E6E6"/>
          </w:tcPr>
          <w:p>
            <w:pPr>
              <w:spacing w:after="0"/>
              <w:rPr>
                <w:sz w:val="17"/>
                <w:szCs w:val="17"/>
                <w:color w:val="auto"/>
              </w:rPr>
            </w:pPr>
          </w:p>
        </w:tc>
        <w:tc>
          <w:tcPr>
            <w:tcW w:w="1020" w:type="dxa"/>
            <w:vAlign w:val="bottom"/>
            <w:shd w:val="clear" w:color="auto" w:fill="E6E6E6"/>
          </w:tcPr>
          <w:p>
            <w:pPr>
              <w:jc w:val="right"/>
              <w:ind w:right="14"/>
              <w:spacing w:after="0" w:line="200" w:lineRule="exact"/>
              <w:rPr>
                <w:sz w:val="20"/>
                <w:szCs w:val="20"/>
                <w:color w:val="auto"/>
              </w:rPr>
            </w:pPr>
            <w:r>
              <w:rPr>
                <w:rFonts w:ascii="Arial" w:cs="Arial" w:eastAsia="Arial" w:hAnsi="Arial"/>
                <w:sz w:val="18"/>
                <w:szCs w:val="18"/>
                <w:color w:val="auto"/>
              </w:rPr>
              <w:t>3.2</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40" w:type="dxa"/>
            <w:vAlign w:val="bottom"/>
            <w:gridSpan w:val="2"/>
          </w:tcPr>
          <w:p>
            <w:pPr>
              <w:spacing w:after="0" w:line="202" w:lineRule="exact"/>
              <w:rPr>
                <w:sz w:val="20"/>
                <w:szCs w:val="20"/>
                <w:color w:val="auto"/>
              </w:rPr>
            </w:pPr>
            <w:r>
              <w:rPr>
                <w:rFonts w:ascii="Arial" w:cs="Arial" w:eastAsia="Arial" w:hAnsi="Arial"/>
                <w:sz w:val="18"/>
                <w:szCs w:val="18"/>
                <w:color w:val="auto"/>
              </w:rPr>
              <w:t>Purchases of treasury stock at cost</w:t>
            </w:r>
          </w:p>
        </w:tc>
        <w:tc>
          <w:tcPr>
            <w:tcW w:w="620" w:type="dxa"/>
            <w:vAlign w:val="bottom"/>
          </w:tcPr>
          <w:p>
            <w:pPr>
              <w:spacing w:after="0"/>
              <w:rPr>
                <w:sz w:val="17"/>
                <w:szCs w:val="17"/>
                <w:color w:val="auto"/>
              </w:rPr>
            </w:pPr>
          </w:p>
        </w:tc>
        <w:tc>
          <w:tcPr>
            <w:tcW w:w="1400" w:type="dxa"/>
            <w:vAlign w:val="bottom"/>
          </w:tcPr>
          <w:p>
            <w:pPr>
              <w:jc w:val="right"/>
              <w:ind w:right="133"/>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980" w:type="dxa"/>
            <w:vAlign w:val="bottom"/>
          </w:tcPr>
          <w:p>
            <w:pPr>
              <w:jc w:val="right"/>
              <w:ind w:right="113"/>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960" w:type="dxa"/>
            <w:vAlign w:val="bottom"/>
          </w:tcPr>
          <w:p>
            <w:pPr>
              <w:jc w:val="right"/>
              <w:ind w:right="54"/>
              <w:spacing w:after="0" w:line="202" w:lineRule="exact"/>
              <w:rPr>
                <w:sz w:val="20"/>
                <w:szCs w:val="20"/>
                <w:color w:val="auto"/>
              </w:rPr>
            </w:pPr>
            <w:r>
              <w:rPr>
                <w:rFonts w:ascii="Arial" w:cs="Arial" w:eastAsia="Arial" w:hAnsi="Arial"/>
                <w:sz w:val="18"/>
                <w:szCs w:val="18"/>
                <w:color w:val="auto"/>
              </w:rPr>
              <w:t>(10.8)</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(10.8)</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2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Treasury stock issued pursuant to stock purchase plans</w:t>
            </w:r>
          </w:p>
        </w:tc>
        <w:tc>
          <w:tcPr>
            <w:tcW w:w="620" w:type="dxa"/>
            <w:vAlign w:val="bottom"/>
            <w:shd w:val="clear" w:color="auto" w:fill="E6E6E6"/>
          </w:tcPr>
          <w:p>
            <w:pPr>
              <w:spacing w:after="0"/>
              <w:rPr>
                <w:sz w:val="17"/>
                <w:szCs w:val="17"/>
                <w:color w:val="auto"/>
              </w:rPr>
            </w:pPr>
          </w:p>
        </w:tc>
        <w:tc>
          <w:tcPr>
            <w:tcW w:w="1400" w:type="dxa"/>
            <w:vAlign w:val="bottom"/>
            <w:shd w:val="clear" w:color="auto" w:fill="E6E6E6"/>
          </w:tcPr>
          <w:p>
            <w:pPr>
              <w:jc w:val="right"/>
              <w:ind w:right="133"/>
              <w:spacing w:after="0" w:line="202" w:lineRule="exact"/>
              <w:rPr>
                <w:sz w:val="20"/>
                <w:szCs w:val="20"/>
                <w:color w:val="auto"/>
              </w:rPr>
            </w:pPr>
            <w:r>
              <w:rPr>
                <w:rFonts w:ascii="Arial" w:cs="Arial" w:eastAsia="Arial" w:hAnsi="Arial"/>
                <w:sz w:val="18"/>
                <w:szCs w:val="18"/>
                <w:color w:val="auto"/>
              </w:rPr>
              <w:t>—</w:t>
            </w:r>
          </w:p>
        </w:tc>
        <w:tc>
          <w:tcPr>
            <w:tcW w:w="280" w:type="dxa"/>
            <w:vAlign w:val="bottom"/>
            <w:shd w:val="clear" w:color="auto" w:fill="E6E6E6"/>
          </w:tcPr>
          <w:p>
            <w:pPr>
              <w:spacing w:after="0"/>
              <w:rPr>
                <w:sz w:val="17"/>
                <w:szCs w:val="17"/>
                <w:color w:val="auto"/>
              </w:rPr>
            </w:pPr>
          </w:p>
        </w:tc>
        <w:tc>
          <w:tcPr>
            <w:tcW w:w="980" w:type="dxa"/>
            <w:vAlign w:val="bottom"/>
            <w:shd w:val="clear" w:color="auto" w:fill="E6E6E6"/>
          </w:tcPr>
          <w:p>
            <w:pPr>
              <w:jc w:val="right"/>
              <w:ind w:right="113"/>
              <w:spacing w:after="0" w:line="202" w:lineRule="exact"/>
              <w:rPr>
                <w:sz w:val="20"/>
                <w:szCs w:val="20"/>
                <w:color w:val="auto"/>
              </w:rPr>
            </w:pPr>
            <w:r>
              <w:rPr>
                <w:rFonts w:ascii="Arial" w:cs="Arial" w:eastAsia="Arial" w:hAnsi="Arial"/>
                <w:sz w:val="18"/>
                <w:szCs w:val="18"/>
                <w:color w:val="auto"/>
              </w:rPr>
              <w:t>—</w:t>
            </w:r>
          </w:p>
        </w:tc>
        <w:tc>
          <w:tcPr>
            <w:tcW w:w="280" w:type="dxa"/>
            <w:vAlign w:val="bottom"/>
            <w:shd w:val="clear" w:color="auto" w:fill="E6E6E6"/>
          </w:tcPr>
          <w:p>
            <w:pPr>
              <w:spacing w:after="0"/>
              <w:rPr>
                <w:sz w:val="17"/>
                <w:szCs w:val="17"/>
                <w:color w:val="auto"/>
              </w:rPr>
            </w:pPr>
          </w:p>
        </w:tc>
        <w:tc>
          <w:tcPr>
            <w:tcW w:w="960" w:type="dxa"/>
            <w:vAlign w:val="bottom"/>
            <w:shd w:val="clear" w:color="auto" w:fill="E6E6E6"/>
          </w:tcPr>
          <w:p>
            <w:pPr>
              <w:jc w:val="right"/>
              <w:ind w:right="114"/>
              <w:spacing w:after="0" w:line="202" w:lineRule="exact"/>
              <w:rPr>
                <w:sz w:val="20"/>
                <w:szCs w:val="20"/>
                <w:color w:val="auto"/>
              </w:rPr>
            </w:pPr>
            <w:r>
              <w:rPr>
                <w:rFonts w:ascii="Arial" w:cs="Arial" w:eastAsia="Arial" w:hAnsi="Arial"/>
                <w:sz w:val="18"/>
                <w:szCs w:val="18"/>
                <w:color w:val="auto"/>
              </w:rPr>
              <w:t>3.2</w:t>
            </w:r>
          </w:p>
        </w:tc>
        <w:tc>
          <w:tcPr>
            <w:tcW w:w="140" w:type="dxa"/>
            <w:vAlign w:val="bottom"/>
            <w:shd w:val="clear" w:color="auto" w:fill="E6E6E6"/>
          </w:tcPr>
          <w:p>
            <w:pPr>
              <w:spacing w:after="0"/>
              <w:rPr>
                <w:sz w:val="17"/>
                <w:szCs w:val="17"/>
                <w:color w:val="auto"/>
              </w:rPr>
            </w:pPr>
          </w:p>
        </w:tc>
        <w:tc>
          <w:tcPr>
            <w:tcW w:w="100" w:type="dxa"/>
            <w:vAlign w:val="bottom"/>
            <w:shd w:val="clear" w:color="auto" w:fill="E6E6E6"/>
          </w:tcPr>
          <w:p>
            <w:pPr>
              <w:spacing w:after="0"/>
              <w:rPr>
                <w:sz w:val="17"/>
                <w:szCs w:val="17"/>
                <w:color w:val="auto"/>
              </w:rPr>
            </w:pPr>
          </w:p>
        </w:tc>
        <w:tc>
          <w:tcPr>
            <w:tcW w:w="1020" w:type="dxa"/>
            <w:vAlign w:val="bottom"/>
            <w:shd w:val="clear" w:color="auto" w:fill="E6E6E6"/>
          </w:tcPr>
          <w:p>
            <w:pPr>
              <w:jc w:val="right"/>
              <w:ind w:right="14"/>
              <w:spacing w:after="0" w:line="202" w:lineRule="exact"/>
              <w:rPr>
                <w:sz w:val="20"/>
                <w:szCs w:val="20"/>
                <w:color w:val="auto"/>
              </w:rPr>
            </w:pPr>
            <w:r>
              <w:rPr>
                <w:rFonts w:ascii="Arial" w:cs="Arial" w:eastAsia="Arial" w:hAnsi="Arial"/>
                <w:sz w:val="18"/>
                <w:szCs w:val="18"/>
                <w:color w:val="auto"/>
              </w:rPr>
              <w:t>2.3</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5640" w:type="dxa"/>
            <w:vAlign w:val="bottom"/>
            <w:gridSpan w:val="2"/>
          </w:tcPr>
          <w:p>
            <w:pPr>
              <w:spacing w:after="0"/>
              <w:rPr>
                <w:sz w:val="20"/>
                <w:szCs w:val="20"/>
                <w:color w:val="auto"/>
              </w:rPr>
            </w:pPr>
            <w:r>
              <w:rPr>
                <w:rFonts w:ascii="Arial" w:cs="Arial" w:eastAsia="Arial" w:hAnsi="Arial"/>
                <w:sz w:val="18"/>
                <w:szCs w:val="18"/>
                <w:color w:val="auto"/>
              </w:rPr>
              <w:t>Dividends</w:t>
            </w:r>
          </w:p>
        </w:tc>
        <w:tc>
          <w:tcPr>
            <w:tcW w:w="620" w:type="dxa"/>
            <w:vAlign w:val="bottom"/>
          </w:tcPr>
          <w:p>
            <w:pPr>
              <w:spacing w:after="0"/>
              <w:rPr>
                <w:sz w:val="18"/>
                <w:szCs w:val="18"/>
                <w:color w:val="auto"/>
              </w:rPr>
            </w:pPr>
          </w:p>
        </w:tc>
        <w:tc>
          <w:tcPr>
            <w:tcW w:w="1400" w:type="dxa"/>
            <w:vAlign w:val="bottom"/>
          </w:tcPr>
          <w:p>
            <w:pPr>
              <w:jc w:val="right"/>
              <w:ind w:right="133"/>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980" w:type="dxa"/>
            <w:vAlign w:val="bottom"/>
          </w:tcPr>
          <w:p>
            <w:pPr>
              <w:jc w:val="right"/>
              <w:ind w:right="53"/>
              <w:spacing w:after="0"/>
              <w:rPr>
                <w:sz w:val="20"/>
                <w:szCs w:val="20"/>
                <w:color w:val="auto"/>
              </w:rPr>
            </w:pPr>
            <w:r>
              <w:rPr>
                <w:rFonts w:ascii="Arial" w:cs="Arial" w:eastAsia="Arial" w:hAnsi="Arial"/>
                <w:sz w:val="18"/>
                <w:szCs w:val="18"/>
                <w:color w:val="auto"/>
              </w:rPr>
              <w:t>(11.1)</w:t>
            </w:r>
          </w:p>
        </w:tc>
        <w:tc>
          <w:tcPr>
            <w:tcW w:w="280" w:type="dxa"/>
            <w:vAlign w:val="bottom"/>
          </w:tcPr>
          <w:p>
            <w:pPr>
              <w:spacing w:after="0"/>
              <w:rPr>
                <w:sz w:val="18"/>
                <w:szCs w:val="18"/>
                <w:color w:val="auto"/>
              </w:rPr>
            </w:pPr>
          </w:p>
        </w:tc>
        <w:tc>
          <w:tcPr>
            <w:tcW w:w="960" w:type="dxa"/>
            <w:vAlign w:val="bottom"/>
          </w:tcPr>
          <w:p>
            <w:pPr>
              <w:jc w:val="right"/>
              <w:ind w:right="114"/>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(11.1)</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7"/>
        </w:trPr>
        <w:tc>
          <w:tcPr>
            <w:tcW w:w="5640" w:type="dxa"/>
            <w:vAlign w:val="bottom"/>
            <w:tcBorders>
              <w:bottom w:val="single" w:sz="8" w:color="808080"/>
            </w:tcBorders>
            <w:gridSpan w:val="2"/>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140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gridSpan w:val="2"/>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980" w:type="dxa"/>
            <w:vAlign w:val="bottom"/>
          </w:tcPr>
          <w:p>
            <w:pPr>
              <w:spacing w:after="0"/>
              <w:rPr>
                <w:sz w:val="8"/>
                <w:szCs w:val="8"/>
                <w:color w:val="auto"/>
              </w:rPr>
            </w:pPr>
          </w:p>
        </w:tc>
        <w:tc>
          <w:tcPr>
            <w:tcW w:w="280" w:type="dxa"/>
            <w:vAlign w:val="bottom"/>
          </w:tcPr>
          <w:p>
            <w:pPr>
              <w:spacing w:after="0"/>
              <w:rPr>
                <w:sz w:val="8"/>
                <w:szCs w:val="8"/>
                <w:color w:val="auto"/>
              </w:rPr>
            </w:pPr>
          </w:p>
        </w:tc>
        <w:tc>
          <w:tcPr>
            <w:tcW w:w="960" w:type="dxa"/>
            <w:vAlign w:val="bottom"/>
          </w:tcPr>
          <w:p>
            <w:pPr>
              <w:spacing w:after="0"/>
              <w:rPr>
                <w:sz w:val="8"/>
                <w:szCs w:val="8"/>
                <w:color w:val="auto"/>
              </w:rPr>
            </w:pPr>
          </w:p>
        </w:tc>
        <w:tc>
          <w:tcPr>
            <w:tcW w:w="240" w:type="dxa"/>
            <w:vAlign w:val="bottom"/>
            <w:gridSpan w:val="2"/>
          </w:tcPr>
          <w:p>
            <w:pPr>
              <w:spacing w:after="0"/>
              <w:rPr>
                <w:sz w:val="8"/>
                <w:szCs w:val="8"/>
                <w:color w:val="auto"/>
              </w:rPr>
            </w:pPr>
          </w:p>
        </w:tc>
        <w:tc>
          <w:tcPr>
            <w:tcW w:w="10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620" w:type="dxa"/>
            <w:vAlign w:val="bottom"/>
            <w:shd w:val="clear" w:color="auto" w:fill="E6E6E6"/>
          </w:tcPr>
          <w:p>
            <w:pPr>
              <w:spacing w:after="0" w:line="202" w:lineRule="exact"/>
              <w:rPr>
                <w:sz w:val="20"/>
                <w:szCs w:val="20"/>
                <w:color w:val="auto"/>
              </w:rPr>
            </w:pPr>
            <w:r>
              <w:rPr>
                <w:rFonts w:ascii="Arial" w:cs="Arial" w:eastAsia="Arial" w:hAnsi="Arial"/>
                <w:sz w:val="18"/>
                <w:szCs w:val="18"/>
                <w:b w:val="1"/>
                <w:bCs w:val="1"/>
                <w:color w:val="auto"/>
              </w:rPr>
              <w:t>Balance at May 31, 2010</w:t>
            </w:r>
          </w:p>
        </w:tc>
        <w:tc>
          <w:tcPr>
            <w:tcW w:w="620" w:type="dxa"/>
            <w:vAlign w:val="bottom"/>
            <w:shd w:val="clear" w:color="auto" w:fill="E6E6E6"/>
          </w:tcPr>
          <w:p>
            <w:pPr>
              <w:jc w:val="right"/>
              <w:ind w:right="16"/>
              <w:spacing w:after="0" w:line="202" w:lineRule="exact"/>
              <w:rPr>
                <w:sz w:val="20"/>
                <w:szCs w:val="20"/>
                <w:color w:val="auto"/>
              </w:rPr>
            </w:pPr>
            <w:r>
              <w:rPr>
                <w:rFonts w:ascii="Arial" w:cs="Arial" w:eastAsia="Arial" w:hAnsi="Arial"/>
                <w:sz w:val="18"/>
                <w:szCs w:val="18"/>
                <w:b w:val="1"/>
                <w:bCs w:val="1"/>
                <w:color w:val="auto"/>
              </w:rPr>
              <w:t>$</w:t>
            </w:r>
          </w:p>
        </w:tc>
        <w:tc>
          <w:tcPr>
            <w:tcW w:w="1400" w:type="dxa"/>
            <w:vAlign w:val="bottom"/>
            <w:shd w:val="clear" w:color="auto" w:fill="E6E6E6"/>
          </w:tcPr>
          <w:p>
            <w:pPr>
              <w:jc w:val="right"/>
              <w:ind w:right="73"/>
              <w:spacing w:after="0" w:line="202" w:lineRule="exact"/>
              <w:rPr>
                <w:sz w:val="20"/>
                <w:szCs w:val="20"/>
                <w:color w:val="auto"/>
              </w:rPr>
            </w:pPr>
            <w:r>
              <w:rPr>
                <w:rFonts w:ascii="Arial" w:cs="Arial" w:eastAsia="Arial" w:hAnsi="Arial"/>
                <w:sz w:val="18"/>
                <w:szCs w:val="18"/>
                <w:b w:val="1"/>
                <w:bCs w:val="1"/>
                <w:color w:val="auto"/>
              </w:rPr>
              <w:t>(85.4)</w:t>
            </w:r>
          </w:p>
        </w:tc>
        <w:tc>
          <w:tcPr>
            <w:tcW w:w="28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980" w:type="dxa"/>
            <w:vAlign w:val="bottom"/>
            <w:shd w:val="clear" w:color="auto" w:fill="E6E6E6"/>
          </w:tcPr>
          <w:p>
            <w:pPr>
              <w:jc w:val="right"/>
              <w:ind w:right="113"/>
              <w:spacing w:after="0" w:line="202" w:lineRule="exact"/>
              <w:rPr>
                <w:sz w:val="20"/>
                <w:szCs w:val="20"/>
                <w:color w:val="auto"/>
              </w:rPr>
            </w:pPr>
            <w:r>
              <w:rPr>
                <w:rFonts w:ascii="Arial" w:cs="Arial" w:eastAsia="Arial" w:hAnsi="Arial"/>
                <w:sz w:val="18"/>
                <w:szCs w:val="18"/>
                <w:b w:val="1"/>
                <w:bCs w:val="1"/>
                <w:color w:val="auto"/>
              </w:rPr>
              <w:t>607.8</w:t>
            </w:r>
          </w:p>
        </w:tc>
        <w:tc>
          <w:tcPr>
            <w:tcW w:w="28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960" w:type="dxa"/>
            <w:vAlign w:val="bottom"/>
            <w:shd w:val="clear" w:color="auto" w:fill="E6E6E6"/>
          </w:tcPr>
          <w:p>
            <w:pPr>
              <w:jc w:val="right"/>
              <w:ind w:right="54"/>
              <w:spacing w:after="0" w:line="202" w:lineRule="exact"/>
              <w:rPr>
                <w:sz w:val="20"/>
                <w:szCs w:val="20"/>
                <w:color w:val="auto"/>
              </w:rPr>
            </w:pPr>
            <w:r>
              <w:rPr>
                <w:rFonts w:ascii="Arial" w:cs="Arial" w:eastAsia="Arial" w:hAnsi="Arial"/>
                <w:sz w:val="18"/>
                <w:szCs w:val="18"/>
                <w:b w:val="1"/>
                <w:bCs w:val="1"/>
                <w:color w:val="auto"/>
              </w:rPr>
              <w:t>(261.6)</w:t>
            </w:r>
          </w:p>
        </w:tc>
        <w:tc>
          <w:tcPr>
            <w:tcW w:w="240" w:type="dxa"/>
            <w:vAlign w:val="bottom"/>
            <w:gridSpan w:val="2"/>
            <w:shd w:val="clear" w:color="auto" w:fill="E6E6E6"/>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1020" w:type="dxa"/>
            <w:vAlign w:val="bottom"/>
            <w:shd w:val="clear" w:color="auto" w:fill="E6E6E6"/>
          </w:tcPr>
          <w:p>
            <w:pPr>
              <w:jc w:val="right"/>
              <w:ind w:right="14"/>
              <w:spacing w:after="0" w:line="202" w:lineRule="exact"/>
              <w:rPr>
                <w:sz w:val="20"/>
                <w:szCs w:val="20"/>
                <w:color w:val="auto"/>
              </w:rPr>
            </w:pPr>
            <w:r>
              <w:rPr>
                <w:rFonts w:ascii="Arial" w:cs="Arial" w:eastAsia="Arial" w:hAnsi="Arial"/>
                <w:sz w:val="18"/>
                <w:szCs w:val="18"/>
                <w:b w:val="1"/>
                <w:bCs w:val="1"/>
                <w:color w:val="auto"/>
              </w:rPr>
              <w:t>830.4</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5620" w:type="dxa"/>
            <w:vAlign w:val="bottom"/>
            <w:tcBorders>
              <w:bottom w:val="single" w:sz="8" w:color="808080"/>
            </w:tcBorders>
          </w:tcPr>
          <w:p>
            <w:pPr>
              <w:spacing w:after="0"/>
              <w:rPr>
                <w:sz w:val="11"/>
                <w:szCs w:val="11"/>
                <w:color w:val="auto"/>
              </w:rPr>
            </w:pPr>
          </w:p>
        </w:tc>
        <w:tc>
          <w:tcPr>
            <w:tcW w:w="620" w:type="dxa"/>
            <w:vAlign w:val="bottom"/>
            <w:tcBorders>
              <w:bottom w:val="single" w:sz="8" w:color="808080"/>
            </w:tcBorders>
          </w:tcPr>
          <w:p>
            <w:pPr>
              <w:spacing w:after="0"/>
              <w:rPr>
                <w:sz w:val="11"/>
                <w:szCs w:val="11"/>
                <w:color w:val="auto"/>
              </w:rPr>
            </w:pPr>
          </w:p>
        </w:tc>
        <w:tc>
          <w:tcPr>
            <w:tcW w:w="140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98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96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10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629285</wp:posOffset>
            </wp:positionV>
            <wp:extent cx="7263765"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-29210</wp:posOffset>
            </wp:positionV>
            <wp:extent cx="12700" cy="298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-29210</wp:posOffset>
            </wp:positionV>
            <wp:extent cx="12700" cy="298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3930650</wp:posOffset>
            </wp:positionH>
            <wp:positionV relativeFrom="paragraph">
              <wp:posOffset>-29210</wp:posOffset>
            </wp:positionV>
            <wp:extent cx="12700" cy="298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-29210</wp:posOffset>
            </wp:positionV>
            <wp:extent cx="12700" cy="298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-29210</wp:posOffset>
            </wp:positionV>
            <wp:extent cx="12700" cy="298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-29210</wp:posOffset>
            </wp:positionV>
            <wp:extent cx="12700" cy="298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-29210</wp:posOffset>
            </wp:positionV>
            <wp:extent cx="12700" cy="298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-29210</wp:posOffset>
            </wp:positionV>
            <wp:extent cx="12700" cy="298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-29210</wp:posOffset>
            </wp:positionV>
            <wp:extent cx="12700" cy="298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-29210</wp:posOffset>
            </wp:positionV>
            <wp:extent cx="12700" cy="298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-29210</wp:posOffset>
            </wp:positionV>
            <wp:extent cx="12700" cy="298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6606540</wp:posOffset>
            </wp:positionH>
            <wp:positionV relativeFrom="paragraph">
              <wp:posOffset>-29210</wp:posOffset>
            </wp:positionV>
            <wp:extent cx="12700" cy="298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-29210</wp:posOffset>
            </wp:positionV>
            <wp:extent cx="12700" cy="298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2663825</wp:posOffset>
            </wp:positionH>
            <wp:positionV relativeFrom="paragraph">
              <wp:posOffset>203835</wp:posOffset>
            </wp:positionV>
            <wp:extent cx="1929765" cy="23177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1929765" cy="231775"/>
                    </a:xfrm>
                    <a:prstGeom prst="rect">
                      <a:avLst/>
                    </a:prstGeom>
                    <a:noFill/>
                  </pic:spPr>
                </pic:pic>
              </a:graphicData>
            </a:graphic>
          </wp:anchor>
        </w:drawing>
      </w:r>
    </w:p>
    <w:p>
      <w:pPr>
        <w:sectPr>
          <w:pgSz w:w="11900" w:h="16838" w:orient="portrait"/>
          <w:cols w:equalWidth="0" w:num="1">
            <w:col w:w="11460"/>
          </w:cols>
          <w:pgMar w:left="240" w:top="1087" w:right="1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67575" cy="3873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60"/>
          </w:cols>
          <w:pgMar w:left="240" w:top="1087" w:right="199" w:bottom="1440" w:gutter="0" w:footer="0" w:header="0"/>
          <w:type w:val="continuous"/>
        </w:sectPr>
      </w:pPr>
    </w:p>
    <w:bookmarkStart w:id="42" w:name="page43"/>
    <w:bookmarkEnd w:id="4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263765" cy="8890"/>
                    </a:xfrm>
                    <a:prstGeom prst="rect">
                      <a:avLst/>
                    </a:prstGeom>
                    <a:noFill/>
                  </pic:spPr>
                </pic:pic>
              </a:graphicData>
            </a:graphic>
          </wp:anchor>
        </w:drawing>
        <w:t>Consolidated Statements of Cash Flows</w:t>
      </w:r>
    </w:p>
    <w:p>
      <w:pPr>
        <w:spacing w:after="0" w:line="258" w:lineRule="exact"/>
        <w:rPr>
          <w:sz w:val="20"/>
          <w:szCs w:val="20"/>
          <w:color w:val="auto"/>
        </w:rPr>
      </w:pPr>
    </w:p>
    <w:p>
      <w:pPr>
        <w:ind w:left="10040"/>
        <w:spacing w:after="0"/>
        <w:rPr>
          <w:sz w:val="20"/>
          <w:szCs w:val="20"/>
          <w:color w:val="auto"/>
        </w:rPr>
      </w:pPr>
      <w:r>
        <w:rPr>
          <w:rFonts w:ascii="Arial" w:cs="Arial" w:eastAsia="Arial" w:hAnsi="Arial"/>
          <w:sz w:val="14"/>
          <w:szCs w:val="14"/>
          <w:color w:val="auto"/>
        </w:rPr>
        <w:t>(Amounts in millions)</w:t>
      </w:r>
    </w:p>
    <w:p>
      <w:pPr>
        <w:ind w:left="10020"/>
        <w:spacing w:after="0"/>
        <w:rPr>
          <w:sz w:val="20"/>
          <w:szCs w:val="20"/>
          <w:color w:val="auto"/>
        </w:rPr>
      </w:pPr>
      <w:r>
        <w:rPr>
          <w:rFonts w:ascii="Arial" w:cs="Arial" w:eastAsia="Arial" w:hAnsi="Arial"/>
          <w:sz w:val="14"/>
          <w:szCs w:val="14"/>
          <w:color w:val="auto"/>
        </w:rPr>
        <w:t>Years ended May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7263765" cy="88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6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60" w:type="dxa"/>
            <w:vAlign w:val="bottom"/>
          </w:tcPr>
          <w:p>
            <w:pPr>
              <w:jc w:val="right"/>
              <w:ind w:right="113"/>
              <w:spacing w:after="0"/>
              <w:rPr>
                <w:sz w:val="20"/>
                <w:szCs w:val="20"/>
                <w:color w:val="auto"/>
              </w:rPr>
            </w:pPr>
            <w:r>
              <w:rPr>
                <w:rFonts w:ascii="Arial" w:cs="Arial" w:eastAsia="Arial" w:hAnsi="Arial"/>
                <w:sz w:val="14"/>
                <w:szCs w:val="14"/>
                <w:b w:val="1"/>
                <w:bCs w:val="1"/>
                <w:color w:val="auto"/>
              </w:rPr>
              <w:t>2010</w:t>
            </w:r>
          </w:p>
        </w:tc>
        <w:tc>
          <w:tcPr>
            <w:tcW w:w="380" w:type="dxa"/>
            <w:vAlign w:val="bottom"/>
          </w:tcPr>
          <w:p>
            <w:pPr>
              <w:spacing w:after="0"/>
              <w:rPr>
                <w:sz w:val="15"/>
                <w:szCs w:val="15"/>
                <w:color w:val="auto"/>
              </w:rPr>
            </w:pPr>
          </w:p>
        </w:tc>
        <w:tc>
          <w:tcPr>
            <w:tcW w:w="860" w:type="dxa"/>
            <w:vAlign w:val="bottom"/>
          </w:tcPr>
          <w:p>
            <w:pPr>
              <w:jc w:val="right"/>
              <w:ind w:right="113"/>
              <w:spacing w:after="0"/>
              <w:rPr>
                <w:sz w:val="20"/>
                <w:szCs w:val="20"/>
                <w:color w:val="auto"/>
              </w:rPr>
            </w:pPr>
            <w:r>
              <w:rPr>
                <w:rFonts w:ascii="Arial" w:cs="Arial" w:eastAsia="Arial" w:hAnsi="Arial"/>
                <w:sz w:val="14"/>
                <w:szCs w:val="14"/>
                <w:b w:val="1"/>
                <w:bCs w:val="1"/>
                <w:color w:val="auto"/>
              </w:rPr>
              <w:t>2009</w:t>
            </w:r>
          </w:p>
        </w:tc>
        <w:tc>
          <w:tcPr>
            <w:tcW w:w="420" w:type="dxa"/>
            <w:vAlign w:val="bottom"/>
          </w:tcPr>
          <w:p>
            <w:pPr>
              <w:spacing w:after="0"/>
              <w:rPr>
                <w:sz w:val="15"/>
                <w:szCs w:val="15"/>
                <w:color w:val="auto"/>
              </w:rPr>
            </w:pPr>
          </w:p>
        </w:tc>
        <w:tc>
          <w:tcPr>
            <w:tcW w:w="780" w:type="dxa"/>
            <w:vAlign w:val="bottom"/>
          </w:tcPr>
          <w:p>
            <w:pPr>
              <w:jc w:val="right"/>
              <w:ind w:right="33"/>
              <w:spacing w:after="0"/>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7660" w:type="dxa"/>
            <w:vAlign w:val="bottom"/>
            <w:gridSpan w:val="2"/>
          </w:tcPr>
          <w:p>
            <w:pPr>
              <w:spacing w:after="0"/>
              <w:rPr>
                <w:sz w:val="8"/>
                <w:szCs w:val="8"/>
                <w:color w:val="auto"/>
              </w:rPr>
            </w:pPr>
          </w:p>
        </w:tc>
        <w:tc>
          <w:tcPr>
            <w:tcW w:w="460" w:type="dxa"/>
            <w:vAlign w:val="bottom"/>
          </w:tcPr>
          <w:p>
            <w:pPr>
              <w:spacing w:after="0"/>
              <w:rPr>
                <w:sz w:val="8"/>
                <w:szCs w:val="8"/>
                <w:color w:val="auto"/>
              </w:rPr>
            </w:pPr>
          </w:p>
        </w:tc>
        <w:tc>
          <w:tcPr>
            <w:tcW w:w="860" w:type="dxa"/>
            <w:vAlign w:val="bottom"/>
          </w:tcPr>
          <w:p>
            <w:pPr>
              <w:spacing w:after="0"/>
              <w:rPr>
                <w:sz w:val="8"/>
                <w:szCs w:val="8"/>
                <w:color w:val="auto"/>
              </w:rPr>
            </w:pPr>
          </w:p>
        </w:tc>
        <w:tc>
          <w:tcPr>
            <w:tcW w:w="380" w:type="dxa"/>
            <w:vAlign w:val="bottom"/>
          </w:tcPr>
          <w:p>
            <w:pPr>
              <w:spacing w:after="0"/>
              <w:rPr>
                <w:sz w:val="8"/>
                <w:szCs w:val="8"/>
                <w:color w:val="auto"/>
              </w:rPr>
            </w:pPr>
          </w:p>
        </w:tc>
        <w:tc>
          <w:tcPr>
            <w:tcW w:w="8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640" w:type="dxa"/>
            <w:vAlign w:val="bottom"/>
            <w:tcBorders>
              <w:top w:val="single" w:sz="8" w:color="auto"/>
            </w:tcBorders>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860" w:type="dxa"/>
            <w:vAlign w:val="bottom"/>
            <w:tcBorders>
              <w:top w:val="single" w:sz="8" w:color="auto"/>
            </w:tcBorders>
          </w:tcPr>
          <w:p>
            <w:pPr>
              <w:spacing w:after="0"/>
              <w:rPr>
                <w:sz w:val="8"/>
                <w:szCs w:val="8"/>
                <w:color w:val="auto"/>
              </w:rPr>
            </w:pPr>
          </w:p>
        </w:tc>
        <w:tc>
          <w:tcPr>
            <w:tcW w:w="380" w:type="dxa"/>
            <w:vAlign w:val="bottom"/>
            <w:tcBorders>
              <w:top w:val="single" w:sz="8" w:color="auto"/>
            </w:tcBorders>
          </w:tcPr>
          <w:p>
            <w:pPr>
              <w:spacing w:after="0"/>
              <w:rPr>
                <w:sz w:val="8"/>
                <w:szCs w:val="8"/>
                <w:color w:val="auto"/>
              </w:rPr>
            </w:pPr>
          </w:p>
        </w:tc>
        <w:tc>
          <w:tcPr>
            <w:tcW w:w="860" w:type="dxa"/>
            <w:vAlign w:val="bottom"/>
            <w:tcBorders>
              <w:top w:val="single" w:sz="8" w:color="auto"/>
            </w:tcBorders>
          </w:tcPr>
          <w:p>
            <w:pPr>
              <w:spacing w:after="0"/>
              <w:rPr>
                <w:sz w:val="8"/>
                <w:szCs w:val="8"/>
                <w:color w:val="auto"/>
              </w:rPr>
            </w:pPr>
          </w:p>
        </w:tc>
        <w:tc>
          <w:tcPr>
            <w:tcW w:w="420" w:type="dxa"/>
            <w:vAlign w:val="bottom"/>
            <w:tcBorders>
              <w:top w:val="single" w:sz="8" w:color="auto"/>
            </w:tcBorders>
          </w:tcPr>
          <w:p>
            <w:pPr>
              <w:spacing w:after="0"/>
              <w:rPr>
                <w:sz w:val="8"/>
                <w:szCs w:val="8"/>
                <w:color w:val="auto"/>
              </w:rPr>
            </w:pPr>
          </w:p>
        </w:tc>
        <w:tc>
          <w:tcPr>
            <w:tcW w:w="78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640" w:type="dxa"/>
            <w:vAlign w:val="bottom"/>
            <w:shd w:val="clear" w:color="auto" w:fill="E6E6E6"/>
          </w:tcPr>
          <w:p>
            <w:pPr>
              <w:spacing w:after="0" w:line="202" w:lineRule="exact"/>
              <w:rPr>
                <w:sz w:val="20"/>
                <w:szCs w:val="20"/>
                <w:color w:val="auto"/>
              </w:rPr>
            </w:pPr>
            <w:r>
              <w:rPr>
                <w:rFonts w:ascii="Arial" w:cs="Arial" w:eastAsia="Arial" w:hAnsi="Arial"/>
                <w:sz w:val="18"/>
                <w:szCs w:val="18"/>
                <w:b w:val="1"/>
                <w:bCs w:val="1"/>
                <w:color w:val="auto"/>
              </w:rPr>
              <w:t>Cash flows provided by operating activities:</w:t>
            </w:r>
          </w:p>
        </w:tc>
        <w:tc>
          <w:tcPr>
            <w:tcW w:w="460" w:type="dxa"/>
            <w:vAlign w:val="bottom"/>
            <w:shd w:val="clear" w:color="auto" w:fill="E6E6E6"/>
          </w:tcPr>
          <w:p>
            <w:pPr>
              <w:spacing w:after="0"/>
              <w:rPr>
                <w:sz w:val="17"/>
                <w:szCs w:val="17"/>
                <w:color w:val="auto"/>
              </w:rPr>
            </w:pPr>
          </w:p>
        </w:tc>
        <w:tc>
          <w:tcPr>
            <w:tcW w:w="860" w:type="dxa"/>
            <w:vAlign w:val="bottom"/>
            <w:shd w:val="clear" w:color="auto" w:fill="E6E6E6"/>
          </w:tcPr>
          <w:p>
            <w:pPr>
              <w:spacing w:after="0"/>
              <w:rPr>
                <w:sz w:val="17"/>
                <w:szCs w:val="17"/>
                <w:color w:val="auto"/>
              </w:rPr>
            </w:pPr>
          </w:p>
        </w:tc>
        <w:tc>
          <w:tcPr>
            <w:tcW w:w="380" w:type="dxa"/>
            <w:vAlign w:val="bottom"/>
            <w:shd w:val="clear" w:color="auto" w:fill="E6E6E6"/>
          </w:tcPr>
          <w:p>
            <w:pPr>
              <w:spacing w:after="0"/>
              <w:rPr>
                <w:sz w:val="17"/>
                <w:szCs w:val="17"/>
                <w:color w:val="auto"/>
              </w:rPr>
            </w:pPr>
          </w:p>
        </w:tc>
        <w:tc>
          <w:tcPr>
            <w:tcW w:w="860" w:type="dxa"/>
            <w:vAlign w:val="bottom"/>
            <w:shd w:val="clear" w:color="auto" w:fill="E6E6E6"/>
          </w:tcPr>
          <w:p>
            <w:pPr>
              <w:spacing w:after="0"/>
              <w:rPr>
                <w:sz w:val="17"/>
                <w:szCs w:val="17"/>
                <w:color w:val="auto"/>
              </w:rPr>
            </w:pPr>
          </w:p>
        </w:tc>
        <w:tc>
          <w:tcPr>
            <w:tcW w:w="420" w:type="dxa"/>
            <w:vAlign w:val="bottom"/>
            <w:shd w:val="clear" w:color="auto" w:fill="E6E6E6"/>
          </w:tcPr>
          <w:p>
            <w:pPr>
              <w:spacing w:after="0"/>
              <w:rPr>
                <w:sz w:val="17"/>
                <w:szCs w:val="17"/>
                <w:color w:val="auto"/>
              </w:rPr>
            </w:pPr>
          </w:p>
        </w:tc>
        <w:tc>
          <w:tcPr>
            <w:tcW w:w="780" w:type="dxa"/>
            <w:vAlign w:val="bottom"/>
            <w:shd w:val="clear" w:color="auto" w:fill="E6E6E6"/>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40" w:type="dxa"/>
            <w:vAlign w:val="bottom"/>
          </w:tcPr>
          <w:p>
            <w:pPr>
              <w:ind w:left="140"/>
              <w:spacing w:after="0" w:line="202" w:lineRule="exact"/>
              <w:rPr>
                <w:sz w:val="20"/>
                <w:szCs w:val="20"/>
                <w:color w:val="auto"/>
              </w:rPr>
            </w:pPr>
            <w:r>
              <w:rPr>
                <w:rFonts w:ascii="Arial" w:cs="Arial" w:eastAsia="Arial" w:hAnsi="Arial"/>
                <w:sz w:val="18"/>
                <w:szCs w:val="18"/>
                <w:color w:val="auto"/>
              </w:rPr>
              <w:t>Net income (loss)</w:t>
            </w:r>
          </w:p>
        </w:tc>
        <w:tc>
          <w:tcPr>
            <w:tcW w:w="460" w:type="dxa"/>
            <w:vAlign w:val="bottom"/>
          </w:tcPr>
          <w:p>
            <w:pPr>
              <w:jc w:val="right"/>
              <w:ind w:right="72"/>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ind w:right="113"/>
              <w:spacing w:after="0" w:line="202" w:lineRule="exact"/>
              <w:rPr>
                <w:sz w:val="20"/>
                <w:szCs w:val="20"/>
                <w:color w:val="auto"/>
              </w:rPr>
            </w:pPr>
            <w:r>
              <w:rPr>
                <w:rFonts w:ascii="Arial" w:cs="Arial" w:eastAsia="Arial" w:hAnsi="Arial"/>
                <w:sz w:val="18"/>
                <w:szCs w:val="18"/>
                <w:color w:val="auto"/>
              </w:rPr>
              <w:t>56.1</w:t>
            </w:r>
          </w:p>
        </w:tc>
        <w:tc>
          <w:tcPr>
            <w:tcW w:w="380" w:type="dxa"/>
            <w:vAlign w:val="bottom"/>
          </w:tcPr>
          <w:p>
            <w:pPr>
              <w:jc w:val="right"/>
              <w:ind w:right="72"/>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ind w:right="53"/>
              <w:spacing w:after="0" w:line="202" w:lineRule="exact"/>
              <w:rPr>
                <w:sz w:val="20"/>
                <w:szCs w:val="20"/>
                <w:color w:val="auto"/>
              </w:rPr>
            </w:pPr>
            <w:r>
              <w:rPr>
                <w:rFonts w:ascii="Arial" w:cs="Arial" w:eastAsia="Arial" w:hAnsi="Arial"/>
                <w:sz w:val="18"/>
                <w:szCs w:val="18"/>
                <w:color w:val="auto"/>
              </w:rPr>
              <w:t>(14.3)</w:t>
            </w:r>
          </w:p>
        </w:tc>
        <w:tc>
          <w:tcPr>
            <w:tcW w:w="420" w:type="dxa"/>
            <w:vAlign w:val="bottom"/>
          </w:tcPr>
          <w:p>
            <w:pPr>
              <w:jc w:val="right"/>
              <w:ind w:right="92"/>
              <w:spacing w:after="0" w:line="202" w:lineRule="exact"/>
              <w:rPr>
                <w:sz w:val="20"/>
                <w:szCs w:val="20"/>
                <w:color w:val="auto"/>
              </w:rPr>
            </w:pPr>
            <w:r>
              <w:rPr>
                <w:rFonts w:ascii="Arial" w:cs="Arial" w:eastAsia="Arial" w:hAnsi="Arial"/>
                <w:sz w:val="18"/>
                <w:szCs w:val="18"/>
                <w:color w:val="auto"/>
              </w:rPr>
              <w:t>$</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(17.2)</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40" w:type="dxa"/>
            <w:vAlign w:val="bottom"/>
            <w:shd w:val="clear" w:color="auto" w:fill="E6E6E6"/>
          </w:tcPr>
          <w:p>
            <w:pPr>
              <w:ind w:left="140"/>
              <w:spacing w:after="0" w:line="202" w:lineRule="exact"/>
              <w:rPr>
                <w:sz w:val="20"/>
                <w:szCs w:val="20"/>
                <w:color w:val="auto"/>
              </w:rPr>
            </w:pPr>
            <w:r>
              <w:rPr>
                <w:rFonts w:ascii="Arial" w:cs="Arial" w:eastAsia="Arial" w:hAnsi="Arial"/>
                <w:sz w:val="18"/>
                <w:szCs w:val="18"/>
                <w:color w:val="auto"/>
              </w:rPr>
              <w:t>Loss from discontinued operations, net of tax</w:t>
            </w:r>
          </w:p>
        </w:tc>
        <w:tc>
          <w:tcPr>
            <w:tcW w:w="460" w:type="dxa"/>
            <w:vAlign w:val="bottom"/>
            <w:shd w:val="clear" w:color="auto" w:fill="E6E6E6"/>
          </w:tcPr>
          <w:p>
            <w:pPr>
              <w:spacing w:after="0"/>
              <w:rPr>
                <w:sz w:val="17"/>
                <w:szCs w:val="17"/>
                <w:color w:val="auto"/>
              </w:rPr>
            </w:pPr>
          </w:p>
        </w:tc>
        <w:tc>
          <w:tcPr>
            <w:tcW w:w="860" w:type="dxa"/>
            <w:vAlign w:val="bottom"/>
            <w:shd w:val="clear" w:color="auto" w:fill="E6E6E6"/>
          </w:tcPr>
          <w:p>
            <w:pPr>
              <w:jc w:val="right"/>
              <w:ind w:right="53"/>
              <w:spacing w:after="0" w:line="202" w:lineRule="exact"/>
              <w:rPr>
                <w:sz w:val="20"/>
                <w:szCs w:val="20"/>
                <w:color w:val="auto"/>
              </w:rPr>
            </w:pPr>
            <w:r>
              <w:rPr>
                <w:rFonts w:ascii="Arial" w:cs="Arial" w:eastAsia="Arial" w:hAnsi="Arial"/>
                <w:sz w:val="18"/>
                <w:szCs w:val="18"/>
                <w:color w:val="auto"/>
              </w:rPr>
              <w:t>(2.6)</w:t>
            </w:r>
          </w:p>
        </w:tc>
        <w:tc>
          <w:tcPr>
            <w:tcW w:w="380" w:type="dxa"/>
            <w:vAlign w:val="bottom"/>
            <w:shd w:val="clear" w:color="auto" w:fill="E6E6E6"/>
          </w:tcPr>
          <w:p>
            <w:pPr>
              <w:spacing w:after="0"/>
              <w:rPr>
                <w:sz w:val="17"/>
                <w:szCs w:val="17"/>
                <w:color w:val="auto"/>
              </w:rPr>
            </w:pPr>
          </w:p>
        </w:tc>
        <w:tc>
          <w:tcPr>
            <w:tcW w:w="860" w:type="dxa"/>
            <w:vAlign w:val="bottom"/>
            <w:shd w:val="clear" w:color="auto" w:fill="E6E6E6"/>
          </w:tcPr>
          <w:p>
            <w:pPr>
              <w:jc w:val="right"/>
              <w:ind w:right="53"/>
              <w:spacing w:after="0" w:line="202" w:lineRule="exact"/>
              <w:rPr>
                <w:sz w:val="20"/>
                <w:szCs w:val="20"/>
                <w:color w:val="auto"/>
              </w:rPr>
            </w:pPr>
            <w:r>
              <w:rPr>
                <w:rFonts w:ascii="Arial" w:cs="Arial" w:eastAsia="Arial" w:hAnsi="Arial"/>
                <w:sz w:val="18"/>
                <w:szCs w:val="18"/>
                <w:color w:val="auto"/>
              </w:rPr>
              <w:t>(27.5)</w:t>
            </w:r>
          </w:p>
        </w:tc>
        <w:tc>
          <w:tcPr>
            <w:tcW w:w="420" w:type="dxa"/>
            <w:vAlign w:val="bottom"/>
            <w:shd w:val="clear" w:color="auto" w:fill="E6E6E6"/>
          </w:tcPr>
          <w:p>
            <w:pPr>
              <w:spacing w:after="0"/>
              <w:rPr>
                <w:sz w:val="17"/>
                <w:szCs w:val="17"/>
                <w:color w:val="auto"/>
              </w:rPr>
            </w:pPr>
          </w:p>
        </w:tc>
        <w:tc>
          <w:tcPr>
            <w:tcW w:w="78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(134.5)</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64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7640" w:type="dxa"/>
            <w:vAlign w:val="bottom"/>
          </w:tcPr>
          <w:p>
            <w:pPr>
              <w:ind w:left="140"/>
              <w:spacing w:after="0"/>
              <w:rPr>
                <w:sz w:val="20"/>
                <w:szCs w:val="20"/>
                <w:color w:val="auto"/>
              </w:rPr>
            </w:pPr>
            <w:r>
              <w:rPr>
                <w:rFonts w:ascii="Arial" w:cs="Arial" w:eastAsia="Arial" w:hAnsi="Arial"/>
                <w:sz w:val="18"/>
                <w:szCs w:val="18"/>
                <w:color w:val="auto"/>
              </w:rPr>
              <w:t>Earnings from continuing operations</w:t>
            </w:r>
          </w:p>
        </w:tc>
        <w:tc>
          <w:tcPr>
            <w:tcW w:w="460" w:type="dxa"/>
            <w:vAlign w:val="bottom"/>
          </w:tcPr>
          <w:p>
            <w:pPr>
              <w:spacing w:after="0"/>
              <w:rPr>
                <w:sz w:val="24"/>
                <w:szCs w:val="24"/>
                <w:color w:val="auto"/>
              </w:rPr>
            </w:pPr>
          </w:p>
        </w:tc>
        <w:tc>
          <w:tcPr>
            <w:tcW w:w="860" w:type="dxa"/>
            <w:vAlign w:val="bottom"/>
          </w:tcPr>
          <w:p>
            <w:pPr>
              <w:jc w:val="right"/>
              <w:ind w:right="113"/>
              <w:spacing w:after="0"/>
              <w:rPr>
                <w:sz w:val="20"/>
                <w:szCs w:val="20"/>
                <w:color w:val="auto"/>
              </w:rPr>
            </w:pPr>
            <w:r>
              <w:rPr>
                <w:rFonts w:ascii="Arial" w:cs="Arial" w:eastAsia="Arial" w:hAnsi="Arial"/>
                <w:sz w:val="18"/>
                <w:szCs w:val="18"/>
                <w:color w:val="auto"/>
              </w:rPr>
              <w:t>58.7</w:t>
            </w:r>
          </w:p>
        </w:tc>
        <w:tc>
          <w:tcPr>
            <w:tcW w:w="380" w:type="dxa"/>
            <w:vAlign w:val="bottom"/>
          </w:tcPr>
          <w:p>
            <w:pPr>
              <w:spacing w:after="0"/>
              <w:rPr>
                <w:sz w:val="24"/>
                <w:szCs w:val="24"/>
                <w:color w:val="auto"/>
              </w:rPr>
            </w:pPr>
          </w:p>
        </w:tc>
        <w:tc>
          <w:tcPr>
            <w:tcW w:w="860" w:type="dxa"/>
            <w:vAlign w:val="bottom"/>
          </w:tcPr>
          <w:p>
            <w:pPr>
              <w:jc w:val="right"/>
              <w:ind w:right="113"/>
              <w:spacing w:after="0"/>
              <w:rPr>
                <w:sz w:val="20"/>
                <w:szCs w:val="20"/>
                <w:color w:val="auto"/>
              </w:rPr>
            </w:pPr>
            <w:r>
              <w:rPr>
                <w:rFonts w:ascii="Arial" w:cs="Arial" w:eastAsia="Arial" w:hAnsi="Arial"/>
                <w:sz w:val="18"/>
                <w:szCs w:val="18"/>
                <w:color w:val="auto"/>
              </w:rPr>
              <w:t>13.2</w:t>
            </w:r>
          </w:p>
        </w:tc>
        <w:tc>
          <w:tcPr>
            <w:tcW w:w="420" w:type="dxa"/>
            <w:vAlign w:val="bottom"/>
          </w:tcPr>
          <w:p>
            <w:pPr>
              <w:spacing w:after="0"/>
              <w:rPr>
                <w:sz w:val="24"/>
                <w:szCs w:val="24"/>
                <w:color w:val="auto"/>
              </w:rPr>
            </w:pPr>
          </w:p>
        </w:tc>
        <w:tc>
          <w:tcPr>
            <w:tcW w:w="780" w:type="dxa"/>
            <w:vAlign w:val="bottom"/>
          </w:tcPr>
          <w:p>
            <w:pPr>
              <w:jc w:val="right"/>
              <w:ind w:right="33"/>
              <w:spacing w:after="0"/>
              <w:rPr>
                <w:sz w:val="20"/>
                <w:szCs w:val="20"/>
                <w:color w:val="auto"/>
              </w:rPr>
            </w:pPr>
            <w:r>
              <w:rPr>
                <w:rFonts w:ascii="Arial" w:cs="Arial" w:eastAsia="Arial" w:hAnsi="Arial"/>
                <w:sz w:val="18"/>
                <w:szCs w:val="18"/>
                <w:color w:val="auto"/>
              </w:rPr>
              <w:t>117.3</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640" w:type="dxa"/>
            <w:vAlign w:val="bottom"/>
            <w:shd w:val="clear" w:color="auto" w:fill="E6E6E6"/>
          </w:tcPr>
          <w:p>
            <w:pPr>
              <w:spacing w:after="0" w:line="206" w:lineRule="exact"/>
              <w:rPr>
                <w:sz w:val="20"/>
                <w:szCs w:val="20"/>
                <w:color w:val="auto"/>
              </w:rPr>
            </w:pPr>
            <w:r>
              <w:rPr>
                <w:rFonts w:ascii="Arial" w:cs="Arial" w:eastAsia="Arial" w:hAnsi="Arial"/>
                <w:sz w:val="18"/>
                <w:szCs w:val="18"/>
                <w:color w:val="auto"/>
              </w:rPr>
              <w:t>Adjustments to reconcile earnings from continuing operations to net cash provided by operating</w:t>
            </w:r>
          </w:p>
        </w:tc>
        <w:tc>
          <w:tcPr>
            <w:tcW w:w="460" w:type="dxa"/>
            <w:vAlign w:val="bottom"/>
            <w:shd w:val="clear" w:color="auto" w:fill="E6E6E6"/>
          </w:tcPr>
          <w:p>
            <w:pPr>
              <w:spacing w:after="0"/>
              <w:rPr>
                <w:sz w:val="17"/>
                <w:szCs w:val="17"/>
                <w:color w:val="auto"/>
              </w:rPr>
            </w:pPr>
          </w:p>
        </w:tc>
        <w:tc>
          <w:tcPr>
            <w:tcW w:w="860" w:type="dxa"/>
            <w:vAlign w:val="bottom"/>
            <w:shd w:val="clear" w:color="auto" w:fill="E6E6E6"/>
          </w:tcPr>
          <w:p>
            <w:pPr>
              <w:spacing w:after="0"/>
              <w:rPr>
                <w:sz w:val="17"/>
                <w:szCs w:val="17"/>
                <w:color w:val="auto"/>
              </w:rPr>
            </w:pPr>
          </w:p>
        </w:tc>
        <w:tc>
          <w:tcPr>
            <w:tcW w:w="380" w:type="dxa"/>
            <w:vAlign w:val="bottom"/>
            <w:shd w:val="clear" w:color="auto" w:fill="E6E6E6"/>
          </w:tcPr>
          <w:p>
            <w:pPr>
              <w:spacing w:after="0"/>
              <w:rPr>
                <w:sz w:val="17"/>
                <w:szCs w:val="17"/>
                <w:color w:val="auto"/>
              </w:rPr>
            </w:pPr>
          </w:p>
        </w:tc>
        <w:tc>
          <w:tcPr>
            <w:tcW w:w="860" w:type="dxa"/>
            <w:vAlign w:val="bottom"/>
            <w:shd w:val="clear" w:color="auto" w:fill="E6E6E6"/>
          </w:tcPr>
          <w:p>
            <w:pPr>
              <w:spacing w:after="0"/>
              <w:rPr>
                <w:sz w:val="17"/>
                <w:szCs w:val="17"/>
                <w:color w:val="auto"/>
              </w:rPr>
            </w:pPr>
          </w:p>
        </w:tc>
        <w:tc>
          <w:tcPr>
            <w:tcW w:w="420" w:type="dxa"/>
            <w:vAlign w:val="bottom"/>
            <w:shd w:val="clear" w:color="auto" w:fill="E6E6E6"/>
          </w:tcPr>
          <w:p>
            <w:pPr>
              <w:spacing w:after="0"/>
              <w:rPr>
                <w:sz w:val="17"/>
                <w:szCs w:val="17"/>
                <w:color w:val="auto"/>
              </w:rPr>
            </w:pPr>
          </w:p>
        </w:tc>
        <w:tc>
          <w:tcPr>
            <w:tcW w:w="780" w:type="dxa"/>
            <w:vAlign w:val="bottom"/>
            <w:shd w:val="clear" w:color="auto" w:fill="E6E6E6"/>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640" w:type="dxa"/>
            <w:vAlign w:val="bottom"/>
            <w:shd w:val="clear" w:color="auto" w:fill="E6E6E6"/>
          </w:tcPr>
          <w:p>
            <w:pPr>
              <w:ind w:left="140"/>
              <w:spacing w:after="0" w:line="200" w:lineRule="exact"/>
              <w:rPr>
                <w:sz w:val="20"/>
                <w:szCs w:val="20"/>
                <w:color w:val="auto"/>
              </w:rPr>
            </w:pPr>
            <w:r>
              <w:rPr>
                <w:rFonts w:ascii="Arial" w:cs="Arial" w:eastAsia="Arial" w:hAnsi="Arial"/>
                <w:sz w:val="18"/>
                <w:szCs w:val="18"/>
                <w:color w:val="auto"/>
              </w:rPr>
              <w:t>activities of continuing operations:</w:t>
            </w:r>
          </w:p>
        </w:tc>
        <w:tc>
          <w:tcPr>
            <w:tcW w:w="460" w:type="dxa"/>
            <w:vAlign w:val="bottom"/>
            <w:shd w:val="clear" w:color="auto" w:fill="E6E6E6"/>
          </w:tcPr>
          <w:p>
            <w:pPr>
              <w:spacing w:after="0"/>
              <w:rPr>
                <w:sz w:val="17"/>
                <w:szCs w:val="17"/>
                <w:color w:val="auto"/>
              </w:rPr>
            </w:pPr>
          </w:p>
        </w:tc>
        <w:tc>
          <w:tcPr>
            <w:tcW w:w="860" w:type="dxa"/>
            <w:vAlign w:val="bottom"/>
            <w:shd w:val="clear" w:color="auto" w:fill="E6E6E6"/>
          </w:tcPr>
          <w:p>
            <w:pPr>
              <w:spacing w:after="0"/>
              <w:rPr>
                <w:sz w:val="17"/>
                <w:szCs w:val="17"/>
                <w:color w:val="auto"/>
              </w:rPr>
            </w:pPr>
          </w:p>
        </w:tc>
        <w:tc>
          <w:tcPr>
            <w:tcW w:w="380" w:type="dxa"/>
            <w:vAlign w:val="bottom"/>
            <w:shd w:val="clear" w:color="auto" w:fill="E6E6E6"/>
          </w:tcPr>
          <w:p>
            <w:pPr>
              <w:spacing w:after="0"/>
              <w:rPr>
                <w:sz w:val="17"/>
                <w:szCs w:val="17"/>
                <w:color w:val="auto"/>
              </w:rPr>
            </w:pPr>
          </w:p>
        </w:tc>
        <w:tc>
          <w:tcPr>
            <w:tcW w:w="860" w:type="dxa"/>
            <w:vAlign w:val="bottom"/>
            <w:shd w:val="clear" w:color="auto" w:fill="E6E6E6"/>
          </w:tcPr>
          <w:p>
            <w:pPr>
              <w:spacing w:after="0"/>
              <w:rPr>
                <w:sz w:val="17"/>
                <w:szCs w:val="17"/>
                <w:color w:val="auto"/>
              </w:rPr>
            </w:pPr>
          </w:p>
        </w:tc>
        <w:tc>
          <w:tcPr>
            <w:tcW w:w="420" w:type="dxa"/>
            <w:vAlign w:val="bottom"/>
            <w:shd w:val="clear" w:color="auto" w:fill="E6E6E6"/>
          </w:tcPr>
          <w:p>
            <w:pPr>
              <w:spacing w:after="0"/>
              <w:rPr>
                <w:sz w:val="17"/>
                <w:szCs w:val="17"/>
                <w:color w:val="auto"/>
              </w:rPr>
            </w:pPr>
          </w:p>
        </w:tc>
        <w:tc>
          <w:tcPr>
            <w:tcW w:w="780" w:type="dxa"/>
            <w:vAlign w:val="bottom"/>
            <w:shd w:val="clear" w:color="auto" w:fill="E6E6E6"/>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40" w:type="dxa"/>
            <w:vAlign w:val="bottom"/>
          </w:tcPr>
          <w:p>
            <w:pPr>
              <w:ind w:left="300"/>
              <w:spacing w:after="0" w:line="202" w:lineRule="exact"/>
              <w:rPr>
                <w:sz w:val="20"/>
                <w:szCs w:val="20"/>
                <w:color w:val="auto"/>
              </w:rPr>
            </w:pPr>
            <w:r>
              <w:rPr>
                <w:rFonts w:ascii="Arial" w:cs="Arial" w:eastAsia="Arial" w:hAnsi="Arial"/>
                <w:sz w:val="18"/>
                <w:szCs w:val="18"/>
                <w:color w:val="auto"/>
              </w:rPr>
              <w:t>Provision for losses on accounts receivable</w:t>
            </w:r>
          </w:p>
        </w:tc>
        <w:tc>
          <w:tcPr>
            <w:tcW w:w="460" w:type="dxa"/>
            <w:vAlign w:val="bottom"/>
          </w:tcPr>
          <w:p>
            <w:pPr>
              <w:spacing w:after="0"/>
              <w:rPr>
                <w:sz w:val="17"/>
                <w:szCs w:val="17"/>
                <w:color w:val="auto"/>
              </w:rPr>
            </w:pPr>
          </w:p>
        </w:tc>
        <w:tc>
          <w:tcPr>
            <w:tcW w:w="860" w:type="dxa"/>
            <w:vAlign w:val="bottom"/>
          </w:tcPr>
          <w:p>
            <w:pPr>
              <w:jc w:val="right"/>
              <w:ind w:right="113"/>
              <w:spacing w:after="0" w:line="202" w:lineRule="exact"/>
              <w:rPr>
                <w:sz w:val="20"/>
                <w:szCs w:val="20"/>
                <w:color w:val="auto"/>
              </w:rPr>
            </w:pPr>
            <w:r>
              <w:rPr>
                <w:rFonts w:ascii="Arial" w:cs="Arial" w:eastAsia="Arial" w:hAnsi="Arial"/>
                <w:sz w:val="18"/>
                <w:szCs w:val="18"/>
                <w:color w:val="auto"/>
              </w:rPr>
              <w:t>9.5</w:t>
            </w:r>
          </w:p>
        </w:tc>
        <w:tc>
          <w:tcPr>
            <w:tcW w:w="380" w:type="dxa"/>
            <w:vAlign w:val="bottom"/>
          </w:tcPr>
          <w:p>
            <w:pPr>
              <w:spacing w:after="0"/>
              <w:rPr>
                <w:sz w:val="17"/>
                <w:szCs w:val="17"/>
                <w:color w:val="auto"/>
              </w:rPr>
            </w:pPr>
          </w:p>
        </w:tc>
        <w:tc>
          <w:tcPr>
            <w:tcW w:w="860" w:type="dxa"/>
            <w:vAlign w:val="bottom"/>
          </w:tcPr>
          <w:p>
            <w:pPr>
              <w:jc w:val="right"/>
              <w:ind w:right="113"/>
              <w:spacing w:after="0" w:line="202" w:lineRule="exact"/>
              <w:rPr>
                <w:sz w:val="20"/>
                <w:szCs w:val="20"/>
                <w:color w:val="auto"/>
              </w:rPr>
            </w:pPr>
            <w:r>
              <w:rPr>
                <w:rFonts w:ascii="Arial" w:cs="Arial" w:eastAsia="Arial" w:hAnsi="Arial"/>
                <w:sz w:val="18"/>
                <w:szCs w:val="18"/>
                <w:color w:val="auto"/>
              </w:rPr>
              <w:t>15.8</w:t>
            </w:r>
          </w:p>
        </w:tc>
        <w:tc>
          <w:tcPr>
            <w:tcW w:w="420" w:type="dxa"/>
            <w:vAlign w:val="bottom"/>
          </w:tcPr>
          <w:p>
            <w:pPr>
              <w:spacing w:after="0"/>
              <w:rPr>
                <w:sz w:val="17"/>
                <w:szCs w:val="17"/>
                <w:color w:val="auto"/>
              </w:rPr>
            </w:pPr>
          </w:p>
        </w:tc>
        <w:tc>
          <w:tcPr>
            <w:tcW w:w="780" w:type="dxa"/>
            <w:vAlign w:val="bottom"/>
          </w:tcPr>
          <w:p>
            <w:pPr>
              <w:jc w:val="right"/>
              <w:ind w:right="33"/>
              <w:spacing w:after="0" w:line="202" w:lineRule="exact"/>
              <w:rPr>
                <w:sz w:val="20"/>
                <w:szCs w:val="20"/>
                <w:color w:val="auto"/>
              </w:rPr>
            </w:pPr>
            <w:r>
              <w:rPr>
                <w:rFonts w:ascii="Arial" w:cs="Arial" w:eastAsia="Arial" w:hAnsi="Arial"/>
                <w:sz w:val="18"/>
                <w:szCs w:val="18"/>
                <w:color w:val="auto"/>
              </w:rPr>
              <w:t>8.5</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40" w:type="dxa"/>
            <w:vAlign w:val="bottom"/>
            <w:shd w:val="clear" w:color="auto" w:fill="E6E6E6"/>
          </w:tcPr>
          <w:p>
            <w:pPr>
              <w:ind w:left="300"/>
              <w:spacing w:after="0" w:line="202" w:lineRule="exact"/>
              <w:rPr>
                <w:sz w:val="20"/>
                <w:szCs w:val="20"/>
                <w:color w:val="auto"/>
              </w:rPr>
            </w:pPr>
            <w:r>
              <w:rPr>
                <w:rFonts w:ascii="Arial" w:cs="Arial" w:eastAsia="Arial" w:hAnsi="Arial"/>
                <w:sz w:val="18"/>
                <w:szCs w:val="18"/>
                <w:color w:val="auto"/>
              </w:rPr>
              <w:t>Provision for losses on inventory</w:t>
            </w:r>
          </w:p>
        </w:tc>
        <w:tc>
          <w:tcPr>
            <w:tcW w:w="460" w:type="dxa"/>
            <w:vAlign w:val="bottom"/>
            <w:shd w:val="clear" w:color="auto" w:fill="E6E6E6"/>
          </w:tcPr>
          <w:p>
            <w:pPr>
              <w:spacing w:after="0"/>
              <w:rPr>
                <w:sz w:val="17"/>
                <w:szCs w:val="17"/>
                <w:color w:val="auto"/>
              </w:rPr>
            </w:pPr>
          </w:p>
        </w:tc>
        <w:tc>
          <w:tcPr>
            <w:tcW w:w="860" w:type="dxa"/>
            <w:vAlign w:val="bottom"/>
            <w:shd w:val="clear" w:color="auto" w:fill="E6E6E6"/>
          </w:tcPr>
          <w:p>
            <w:pPr>
              <w:jc w:val="right"/>
              <w:ind w:right="113"/>
              <w:spacing w:after="0" w:line="202" w:lineRule="exact"/>
              <w:rPr>
                <w:sz w:val="20"/>
                <w:szCs w:val="20"/>
                <w:color w:val="auto"/>
              </w:rPr>
            </w:pPr>
            <w:r>
              <w:rPr>
                <w:rFonts w:ascii="Arial" w:cs="Arial" w:eastAsia="Arial" w:hAnsi="Arial"/>
                <w:sz w:val="18"/>
                <w:szCs w:val="18"/>
                <w:color w:val="auto"/>
              </w:rPr>
              <w:t>27.2</w:t>
            </w:r>
          </w:p>
        </w:tc>
        <w:tc>
          <w:tcPr>
            <w:tcW w:w="380" w:type="dxa"/>
            <w:vAlign w:val="bottom"/>
            <w:shd w:val="clear" w:color="auto" w:fill="E6E6E6"/>
          </w:tcPr>
          <w:p>
            <w:pPr>
              <w:spacing w:after="0"/>
              <w:rPr>
                <w:sz w:val="17"/>
                <w:szCs w:val="17"/>
                <w:color w:val="auto"/>
              </w:rPr>
            </w:pPr>
          </w:p>
        </w:tc>
        <w:tc>
          <w:tcPr>
            <w:tcW w:w="860" w:type="dxa"/>
            <w:vAlign w:val="bottom"/>
            <w:shd w:val="clear" w:color="auto" w:fill="E6E6E6"/>
          </w:tcPr>
          <w:p>
            <w:pPr>
              <w:jc w:val="right"/>
              <w:ind w:right="113"/>
              <w:spacing w:after="0" w:line="202" w:lineRule="exact"/>
              <w:rPr>
                <w:sz w:val="20"/>
                <w:szCs w:val="20"/>
                <w:color w:val="auto"/>
              </w:rPr>
            </w:pPr>
            <w:r>
              <w:rPr>
                <w:rFonts w:ascii="Arial" w:cs="Arial" w:eastAsia="Arial" w:hAnsi="Arial"/>
                <w:sz w:val="18"/>
                <w:szCs w:val="18"/>
                <w:color w:val="auto"/>
              </w:rPr>
              <w:t>28.4</w:t>
            </w:r>
          </w:p>
        </w:tc>
        <w:tc>
          <w:tcPr>
            <w:tcW w:w="420" w:type="dxa"/>
            <w:vAlign w:val="bottom"/>
            <w:shd w:val="clear" w:color="auto" w:fill="E6E6E6"/>
          </w:tcPr>
          <w:p>
            <w:pPr>
              <w:spacing w:after="0"/>
              <w:rPr>
                <w:sz w:val="17"/>
                <w:szCs w:val="17"/>
                <w:color w:val="auto"/>
              </w:rPr>
            </w:pPr>
          </w:p>
        </w:tc>
        <w:tc>
          <w:tcPr>
            <w:tcW w:w="780" w:type="dxa"/>
            <w:vAlign w:val="bottom"/>
            <w:shd w:val="clear" w:color="auto" w:fill="E6E6E6"/>
          </w:tcPr>
          <w:p>
            <w:pPr>
              <w:jc w:val="right"/>
              <w:ind w:right="33"/>
              <w:spacing w:after="0" w:line="202" w:lineRule="exact"/>
              <w:rPr>
                <w:sz w:val="20"/>
                <w:szCs w:val="20"/>
                <w:color w:val="auto"/>
              </w:rPr>
            </w:pPr>
            <w:r>
              <w:rPr>
                <w:rFonts w:ascii="Arial" w:cs="Arial" w:eastAsia="Arial" w:hAnsi="Arial"/>
                <w:sz w:val="18"/>
                <w:szCs w:val="18"/>
                <w:color w:val="auto"/>
              </w:rPr>
              <w:t>28.4</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40" w:type="dxa"/>
            <w:vAlign w:val="bottom"/>
          </w:tcPr>
          <w:p>
            <w:pPr>
              <w:ind w:left="300"/>
              <w:spacing w:after="0" w:line="202" w:lineRule="exact"/>
              <w:rPr>
                <w:sz w:val="20"/>
                <w:szCs w:val="20"/>
                <w:color w:val="auto"/>
              </w:rPr>
            </w:pPr>
            <w:r>
              <w:rPr>
                <w:rFonts w:ascii="Arial" w:cs="Arial" w:eastAsia="Arial" w:hAnsi="Arial"/>
                <w:sz w:val="18"/>
                <w:szCs w:val="18"/>
                <w:color w:val="auto"/>
              </w:rPr>
              <w:t>Provision for losses on royalty</w:t>
            </w:r>
          </w:p>
        </w:tc>
        <w:tc>
          <w:tcPr>
            <w:tcW w:w="460" w:type="dxa"/>
            <w:vAlign w:val="bottom"/>
          </w:tcPr>
          <w:p>
            <w:pPr>
              <w:spacing w:after="0"/>
              <w:rPr>
                <w:sz w:val="17"/>
                <w:szCs w:val="17"/>
                <w:color w:val="auto"/>
              </w:rPr>
            </w:pPr>
          </w:p>
        </w:tc>
        <w:tc>
          <w:tcPr>
            <w:tcW w:w="860" w:type="dxa"/>
            <w:vAlign w:val="bottom"/>
          </w:tcPr>
          <w:p>
            <w:pPr>
              <w:jc w:val="right"/>
              <w:ind w:right="113"/>
              <w:spacing w:after="0" w:line="202" w:lineRule="exact"/>
              <w:rPr>
                <w:sz w:val="20"/>
                <w:szCs w:val="20"/>
                <w:color w:val="auto"/>
              </w:rPr>
            </w:pPr>
            <w:r>
              <w:rPr>
                <w:rFonts w:ascii="Arial" w:cs="Arial" w:eastAsia="Arial" w:hAnsi="Arial"/>
                <w:sz w:val="18"/>
                <w:szCs w:val="18"/>
                <w:color w:val="auto"/>
              </w:rPr>
              <w:t>6.8</w:t>
            </w:r>
          </w:p>
        </w:tc>
        <w:tc>
          <w:tcPr>
            <w:tcW w:w="380" w:type="dxa"/>
            <w:vAlign w:val="bottom"/>
          </w:tcPr>
          <w:p>
            <w:pPr>
              <w:spacing w:after="0"/>
              <w:rPr>
                <w:sz w:val="17"/>
                <w:szCs w:val="17"/>
                <w:color w:val="auto"/>
              </w:rPr>
            </w:pPr>
          </w:p>
        </w:tc>
        <w:tc>
          <w:tcPr>
            <w:tcW w:w="860" w:type="dxa"/>
            <w:vAlign w:val="bottom"/>
          </w:tcPr>
          <w:p>
            <w:pPr>
              <w:jc w:val="right"/>
              <w:ind w:right="113"/>
              <w:spacing w:after="0" w:line="202" w:lineRule="exact"/>
              <w:rPr>
                <w:sz w:val="20"/>
                <w:szCs w:val="20"/>
                <w:color w:val="auto"/>
              </w:rPr>
            </w:pPr>
            <w:r>
              <w:rPr>
                <w:rFonts w:ascii="Arial" w:cs="Arial" w:eastAsia="Arial" w:hAnsi="Arial"/>
                <w:sz w:val="18"/>
                <w:szCs w:val="18"/>
                <w:color w:val="auto"/>
              </w:rPr>
              <w:t>12.6</w:t>
            </w:r>
          </w:p>
        </w:tc>
        <w:tc>
          <w:tcPr>
            <w:tcW w:w="420" w:type="dxa"/>
            <w:vAlign w:val="bottom"/>
          </w:tcPr>
          <w:p>
            <w:pPr>
              <w:spacing w:after="0"/>
              <w:rPr>
                <w:sz w:val="17"/>
                <w:szCs w:val="17"/>
                <w:color w:val="auto"/>
              </w:rPr>
            </w:pPr>
          </w:p>
        </w:tc>
        <w:tc>
          <w:tcPr>
            <w:tcW w:w="780" w:type="dxa"/>
            <w:vAlign w:val="bottom"/>
          </w:tcPr>
          <w:p>
            <w:pPr>
              <w:jc w:val="right"/>
              <w:ind w:right="33"/>
              <w:spacing w:after="0" w:line="202" w:lineRule="exact"/>
              <w:rPr>
                <w:sz w:val="20"/>
                <w:szCs w:val="20"/>
                <w:color w:val="auto"/>
              </w:rPr>
            </w:pPr>
            <w:r>
              <w:rPr>
                <w:rFonts w:ascii="Arial" w:cs="Arial" w:eastAsia="Arial" w:hAnsi="Arial"/>
                <w:sz w:val="18"/>
                <w:szCs w:val="18"/>
                <w:color w:val="auto"/>
              </w:rPr>
              <w:t>6.8</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40" w:type="dxa"/>
            <w:vAlign w:val="bottom"/>
            <w:shd w:val="clear" w:color="auto" w:fill="E6E6E6"/>
          </w:tcPr>
          <w:p>
            <w:pPr>
              <w:ind w:left="300"/>
              <w:spacing w:after="0" w:line="202" w:lineRule="exact"/>
              <w:rPr>
                <w:sz w:val="20"/>
                <w:szCs w:val="20"/>
                <w:color w:val="auto"/>
              </w:rPr>
            </w:pPr>
            <w:r>
              <w:rPr>
                <w:rFonts w:ascii="Arial" w:cs="Arial" w:eastAsia="Arial" w:hAnsi="Arial"/>
                <w:sz w:val="18"/>
                <w:szCs w:val="18"/>
                <w:color w:val="auto"/>
              </w:rPr>
              <w:t>Amortization of prepublication and production costs</w:t>
            </w:r>
          </w:p>
        </w:tc>
        <w:tc>
          <w:tcPr>
            <w:tcW w:w="460" w:type="dxa"/>
            <w:vAlign w:val="bottom"/>
            <w:shd w:val="clear" w:color="auto" w:fill="E6E6E6"/>
          </w:tcPr>
          <w:p>
            <w:pPr>
              <w:spacing w:after="0"/>
              <w:rPr>
                <w:sz w:val="17"/>
                <w:szCs w:val="17"/>
                <w:color w:val="auto"/>
              </w:rPr>
            </w:pPr>
          </w:p>
        </w:tc>
        <w:tc>
          <w:tcPr>
            <w:tcW w:w="860" w:type="dxa"/>
            <w:vAlign w:val="bottom"/>
            <w:shd w:val="clear" w:color="auto" w:fill="E6E6E6"/>
          </w:tcPr>
          <w:p>
            <w:pPr>
              <w:jc w:val="right"/>
              <w:ind w:right="113"/>
              <w:spacing w:after="0" w:line="202" w:lineRule="exact"/>
              <w:rPr>
                <w:sz w:val="20"/>
                <w:szCs w:val="20"/>
                <w:color w:val="auto"/>
              </w:rPr>
            </w:pPr>
            <w:r>
              <w:rPr>
                <w:rFonts w:ascii="Arial" w:cs="Arial" w:eastAsia="Arial" w:hAnsi="Arial"/>
                <w:sz w:val="18"/>
                <w:szCs w:val="18"/>
                <w:color w:val="auto"/>
              </w:rPr>
              <w:t>51.0</w:t>
            </w:r>
          </w:p>
        </w:tc>
        <w:tc>
          <w:tcPr>
            <w:tcW w:w="380" w:type="dxa"/>
            <w:vAlign w:val="bottom"/>
            <w:shd w:val="clear" w:color="auto" w:fill="E6E6E6"/>
          </w:tcPr>
          <w:p>
            <w:pPr>
              <w:spacing w:after="0"/>
              <w:rPr>
                <w:sz w:val="17"/>
                <w:szCs w:val="17"/>
                <w:color w:val="auto"/>
              </w:rPr>
            </w:pPr>
          </w:p>
        </w:tc>
        <w:tc>
          <w:tcPr>
            <w:tcW w:w="860" w:type="dxa"/>
            <w:vAlign w:val="bottom"/>
            <w:shd w:val="clear" w:color="auto" w:fill="E6E6E6"/>
          </w:tcPr>
          <w:p>
            <w:pPr>
              <w:jc w:val="right"/>
              <w:ind w:right="113"/>
              <w:spacing w:after="0" w:line="202" w:lineRule="exact"/>
              <w:rPr>
                <w:sz w:val="20"/>
                <w:szCs w:val="20"/>
                <w:color w:val="auto"/>
              </w:rPr>
            </w:pPr>
            <w:r>
              <w:rPr>
                <w:rFonts w:ascii="Arial" w:cs="Arial" w:eastAsia="Arial" w:hAnsi="Arial"/>
                <w:sz w:val="18"/>
                <w:szCs w:val="18"/>
                <w:color w:val="auto"/>
              </w:rPr>
              <w:t>44.8</w:t>
            </w:r>
          </w:p>
        </w:tc>
        <w:tc>
          <w:tcPr>
            <w:tcW w:w="420" w:type="dxa"/>
            <w:vAlign w:val="bottom"/>
            <w:shd w:val="clear" w:color="auto" w:fill="E6E6E6"/>
          </w:tcPr>
          <w:p>
            <w:pPr>
              <w:spacing w:after="0"/>
              <w:rPr>
                <w:sz w:val="17"/>
                <w:szCs w:val="17"/>
                <w:color w:val="auto"/>
              </w:rPr>
            </w:pPr>
          </w:p>
        </w:tc>
        <w:tc>
          <w:tcPr>
            <w:tcW w:w="780" w:type="dxa"/>
            <w:vAlign w:val="bottom"/>
            <w:shd w:val="clear" w:color="auto" w:fill="E6E6E6"/>
          </w:tcPr>
          <w:p>
            <w:pPr>
              <w:jc w:val="right"/>
              <w:ind w:right="33"/>
              <w:spacing w:after="0" w:line="202" w:lineRule="exact"/>
              <w:rPr>
                <w:sz w:val="20"/>
                <w:szCs w:val="20"/>
                <w:color w:val="auto"/>
              </w:rPr>
            </w:pPr>
            <w:r>
              <w:rPr>
                <w:rFonts w:ascii="Arial" w:cs="Arial" w:eastAsia="Arial" w:hAnsi="Arial"/>
                <w:sz w:val="18"/>
                <w:szCs w:val="18"/>
                <w:color w:val="auto"/>
              </w:rPr>
              <w:t>46.1</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40" w:type="dxa"/>
            <w:vAlign w:val="bottom"/>
          </w:tcPr>
          <w:p>
            <w:pPr>
              <w:ind w:left="300"/>
              <w:spacing w:after="0" w:line="202" w:lineRule="exact"/>
              <w:rPr>
                <w:sz w:val="20"/>
                <w:szCs w:val="20"/>
                <w:color w:val="auto"/>
              </w:rPr>
            </w:pPr>
            <w:r>
              <w:rPr>
                <w:rFonts w:ascii="Arial" w:cs="Arial" w:eastAsia="Arial" w:hAnsi="Arial"/>
                <w:sz w:val="18"/>
                <w:szCs w:val="18"/>
                <w:color w:val="auto"/>
              </w:rPr>
              <w:t>Depreciation and amortization</w:t>
            </w:r>
          </w:p>
        </w:tc>
        <w:tc>
          <w:tcPr>
            <w:tcW w:w="460" w:type="dxa"/>
            <w:vAlign w:val="bottom"/>
          </w:tcPr>
          <w:p>
            <w:pPr>
              <w:spacing w:after="0"/>
              <w:rPr>
                <w:sz w:val="17"/>
                <w:szCs w:val="17"/>
                <w:color w:val="auto"/>
              </w:rPr>
            </w:pPr>
          </w:p>
        </w:tc>
        <w:tc>
          <w:tcPr>
            <w:tcW w:w="860" w:type="dxa"/>
            <w:vAlign w:val="bottom"/>
          </w:tcPr>
          <w:p>
            <w:pPr>
              <w:jc w:val="right"/>
              <w:ind w:right="113"/>
              <w:spacing w:after="0" w:line="202" w:lineRule="exact"/>
              <w:rPr>
                <w:sz w:val="20"/>
                <w:szCs w:val="20"/>
                <w:color w:val="auto"/>
              </w:rPr>
            </w:pPr>
            <w:r>
              <w:rPr>
                <w:rFonts w:ascii="Arial" w:cs="Arial" w:eastAsia="Arial" w:hAnsi="Arial"/>
                <w:sz w:val="18"/>
                <w:szCs w:val="18"/>
                <w:color w:val="auto"/>
              </w:rPr>
              <w:t>59.5</w:t>
            </w:r>
          </w:p>
        </w:tc>
        <w:tc>
          <w:tcPr>
            <w:tcW w:w="380" w:type="dxa"/>
            <w:vAlign w:val="bottom"/>
          </w:tcPr>
          <w:p>
            <w:pPr>
              <w:spacing w:after="0"/>
              <w:rPr>
                <w:sz w:val="17"/>
                <w:szCs w:val="17"/>
                <w:color w:val="auto"/>
              </w:rPr>
            </w:pPr>
          </w:p>
        </w:tc>
        <w:tc>
          <w:tcPr>
            <w:tcW w:w="860" w:type="dxa"/>
            <w:vAlign w:val="bottom"/>
          </w:tcPr>
          <w:p>
            <w:pPr>
              <w:jc w:val="right"/>
              <w:ind w:right="113"/>
              <w:spacing w:after="0" w:line="202" w:lineRule="exact"/>
              <w:rPr>
                <w:sz w:val="20"/>
                <w:szCs w:val="20"/>
                <w:color w:val="auto"/>
              </w:rPr>
            </w:pPr>
            <w:r>
              <w:rPr>
                <w:rFonts w:ascii="Arial" w:cs="Arial" w:eastAsia="Arial" w:hAnsi="Arial"/>
                <w:sz w:val="18"/>
                <w:szCs w:val="18"/>
                <w:color w:val="auto"/>
              </w:rPr>
              <w:t>60.7</w:t>
            </w:r>
          </w:p>
        </w:tc>
        <w:tc>
          <w:tcPr>
            <w:tcW w:w="420" w:type="dxa"/>
            <w:vAlign w:val="bottom"/>
          </w:tcPr>
          <w:p>
            <w:pPr>
              <w:spacing w:after="0"/>
              <w:rPr>
                <w:sz w:val="17"/>
                <w:szCs w:val="17"/>
                <w:color w:val="auto"/>
              </w:rPr>
            </w:pPr>
          </w:p>
        </w:tc>
        <w:tc>
          <w:tcPr>
            <w:tcW w:w="780" w:type="dxa"/>
            <w:vAlign w:val="bottom"/>
          </w:tcPr>
          <w:p>
            <w:pPr>
              <w:jc w:val="right"/>
              <w:ind w:right="33"/>
              <w:spacing w:after="0" w:line="202" w:lineRule="exact"/>
              <w:rPr>
                <w:sz w:val="20"/>
                <w:szCs w:val="20"/>
                <w:color w:val="auto"/>
              </w:rPr>
            </w:pPr>
            <w:r>
              <w:rPr>
                <w:rFonts w:ascii="Arial" w:cs="Arial" w:eastAsia="Arial" w:hAnsi="Arial"/>
                <w:sz w:val="18"/>
                <w:szCs w:val="18"/>
                <w:color w:val="auto"/>
              </w:rPr>
              <w:t>62.2</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40" w:type="dxa"/>
            <w:vAlign w:val="bottom"/>
            <w:shd w:val="clear" w:color="auto" w:fill="E6E6E6"/>
          </w:tcPr>
          <w:p>
            <w:pPr>
              <w:ind w:left="300"/>
              <w:spacing w:after="0" w:line="202" w:lineRule="exact"/>
              <w:rPr>
                <w:sz w:val="20"/>
                <w:szCs w:val="20"/>
                <w:color w:val="auto"/>
              </w:rPr>
            </w:pPr>
            <w:r>
              <w:rPr>
                <w:rFonts w:ascii="Arial" w:cs="Arial" w:eastAsia="Arial" w:hAnsi="Arial"/>
                <w:sz w:val="18"/>
                <w:szCs w:val="18"/>
                <w:color w:val="auto"/>
              </w:rPr>
              <w:t>Deferred income taxes</w:t>
            </w:r>
          </w:p>
        </w:tc>
        <w:tc>
          <w:tcPr>
            <w:tcW w:w="460" w:type="dxa"/>
            <w:vAlign w:val="bottom"/>
            <w:shd w:val="clear" w:color="auto" w:fill="E6E6E6"/>
          </w:tcPr>
          <w:p>
            <w:pPr>
              <w:spacing w:after="0"/>
              <w:rPr>
                <w:sz w:val="17"/>
                <w:szCs w:val="17"/>
                <w:color w:val="auto"/>
              </w:rPr>
            </w:pPr>
          </w:p>
        </w:tc>
        <w:tc>
          <w:tcPr>
            <w:tcW w:w="860" w:type="dxa"/>
            <w:vAlign w:val="bottom"/>
            <w:shd w:val="clear" w:color="auto" w:fill="E6E6E6"/>
          </w:tcPr>
          <w:p>
            <w:pPr>
              <w:jc w:val="right"/>
              <w:ind w:right="113"/>
              <w:spacing w:after="0" w:line="202" w:lineRule="exact"/>
              <w:rPr>
                <w:sz w:val="20"/>
                <w:szCs w:val="20"/>
                <w:color w:val="auto"/>
              </w:rPr>
            </w:pPr>
            <w:r>
              <w:rPr>
                <w:rFonts w:ascii="Arial" w:cs="Arial" w:eastAsia="Arial" w:hAnsi="Arial"/>
                <w:sz w:val="18"/>
                <w:szCs w:val="18"/>
                <w:color w:val="auto"/>
              </w:rPr>
              <w:t>29.4</w:t>
            </w:r>
          </w:p>
        </w:tc>
        <w:tc>
          <w:tcPr>
            <w:tcW w:w="380" w:type="dxa"/>
            <w:vAlign w:val="bottom"/>
            <w:shd w:val="clear" w:color="auto" w:fill="E6E6E6"/>
          </w:tcPr>
          <w:p>
            <w:pPr>
              <w:spacing w:after="0"/>
              <w:rPr>
                <w:sz w:val="17"/>
                <w:szCs w:val="17"/>
                <w:color w:val="auto"/>
              </w:rPr>
            </w:pPr>
          </w:p>
        </w:tc>
        <w:tc>
          <w:tcPr>
            <w:tcW w:w="860" w:type="dxa"/>
            <w:vAlign w:val="bottom"/>
            <w:shd w:val="clear" w:color="auto" w:fill="E6E6E6"/>
          </w:tcPr>
          <w:p>
            <w:pPr>
              <w:jc w:val="right"/>
              <w:ind w:right="113"/>
              <w:spacing w:after="0" w:line="202" w:lineRule="exact"/>
              <w:rPr>
                <w:sz w:val="20"/>
                <w:szCs w:val="20"/>
                <w:color w:val="auto"/>
              </w:rPr>
            </w:pPr>
            <w:r>
              <w:rPr>
                <w:rFonts w:ascii="Arial" w:cs="Arial" w:eastAsia="Arial" w:hAnsi="Arial"/>
                <w:sz w:val="18"/>
                <w:szCs w:val="18"/>
                <w:color w:val="auto"/>
              </w:rPr>
              <w:t>38.7</w:t>
            </w:r>
          </w:p>
        </w:tc>
        <w:tc>
          <w:tcPr>
            <w:tcW w:w="420" w:type="dxa"/>
            <w:vAlign w:val="bottom"/>
            <w:shd w:val="clear" w:color="auto" w:fill="E6E6E6"/>
          </w:tcPr>
          <w:p>
            <w:pPr>
              <w:spacing w:after="0"/>
              <w:rPr>
                <w:sz w:val="17"/>
                <w:szCs w:val="17"/>
                <w:color w:val="auto"/>
              </w:rPr>
            </w:pPr>
          </w:p>
        </w:tc>
        <w:tc>
          <w:tcPr>
            <w:tcW w:w="780" w:type="dxa"/>
            <w:vAlign w:val="bottom"/>
            <w:shd w:val="clear" w:color="auto" w:fill="E6E6E6"/>
          </w:tcPr>
          <w:p>
            <w:pPr>
              <w:jc w:val="right"/>
              <w:ind w:right="33"/>
              <w:spacing w:after="0" w:line="202" w:lineRule="exact"/>
              <w:rPr>
                <w:sz w:val="20"/>
                <w:szCs w:val="20"/>
                <w:color w:val="auto"/>
              </w:rPr>
            </w:pPr>
            <w:r>
              <w:rPr>
                <w:rFonts w:ascii="Arial" w:cs="Arial" w:eastAsia="Arial" w:hAnsi="Arial"/>
                <w:sz w:val="18"/>
                <w:szCs w:val="18"/>
                <w:color w:val="auto"/>
              </w:rPr>
              <w:t>14.4</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40" w:type="dxa"/>
            <w:vAlign w:val="bottom"/>
          </w:tcPr>
          <w:p>
            <w:pPr>
              <w:ind w:left="300"/>
              <w:spacing w:after="0" w:line="202" w:lineRule="exact"/>
              <w:rPr>
                <w:sz w:val="20"/>
                <w:szCs w:val="20"/>
                <w:color w:val="auto"/>
              </w:rPr>
            </w:pPr>
            <w:r>
              <w:rPr>
                <w:rFonts w:ascii="Arial" w:cs="Arial" w:eastAsia="Arial" w:hAnsi="Arial"/>
                <w:sz w:val="18"/>
                <w:szCs w:val="18"/>
                <w:color w:val="auto"/>
              </w:rPr>
              <w:t>Stock-based compensation</w:t>
            </w:r>
          </w:p>
        </w:tc>
        <w:tc>
          <w:tcPr>
            <w:tcW w:w="460" w:type="dxa"/>
            <w:vAlign w:val="bottom"/>
          </w:tcPr>
          <w:p>
            <w:pPr>
              <w:spacing w:after="0"/>
              <w:rPr>
                <w:sz w:val="17"/>
                <w:szCs w:val="17"/>
                <w:color w:val="auto"/>
              </w:rPr>
            </w:pPr>
          </w:p>
        </w:tc>
        <w:tc>
          <w:tcPr>
            <w:tcW w:w="860" w:type="dxa"/>
            <w:vAlign w:val="bottom"/>
          </w:tcPr>
          <w:p>
            <w:pPr>
              <w:jc w:val="right"/>
              <w:ind w:right="113"/>
              <w:spacing w:after="0" w:line="202" w:lineRule="exact"/>
              <w:rPr>
                <w:sz w:val="20"/>
                <w:szCs w:val="20"/>
                <w:color w:val="auto"/>
              </w:rPr>
            </w:pPr>
            <w:r>
              <w:rPr>
                <w:rFonts w:ascii="Arial" w:cs="Arial" w:eastAsia="Arial" w:hAnsi="Arial"/>
                <w:sz w:val="18"/>
                <w:szCs w:val="18"/>
                <w:color w:val="auto"/>
              </w:rPr>
              <w:t>14.0</w:t>
            </w:r>
          </w:p>
        </w:tc>
        <w:tc>
          <w:tcPr>
            <w:tcW w:w="380" w:type="dxa"/>
            <w:vAlign w:val="bottom"/>
          </w:tcPr>
          <w:p>
            <w:pPr>
              <w:spacing w:after="0"/>
              <w:rPr>
                <w:sz w:val="17"/>
                <w:szCs w:val="17"/>
                <w:color w:val="auto"/>
              </w:rPr>
            </w:pPr>
          </w:p>
        </w:tc>
        <w:tc>
          <w:tcPr>
            <w:tcW w:w="860" w:type="dxa"/>
            <w:vAlign w:val="bottom"/>
          </w:tcPr>
          <w:p>
            <w:pPr>
              <w:jc w:val="right"/>
              <w:ind w:right="113"/>
              <w:spacing w:after="0" w:line="202" w:lineRule="exact"/>
              <w:rPr>
                <w:sz w:val="20"/>
                <w:szCs w:val="20"/>
                <w:color w:val="auto"/>
              </w:rPr>
            </w:pPr>
            <w:r>
              <w:rPr>
                <w:rFonts w:ascii="Arial" w:cs="Arial" w:eastAsia="Arial" w:hAnsi="Arial"/>
                <w:sz w:val="18"/>
                <w:szCs w:val="18"/>
                <w:color w:val="auto"/>
              </w:rPr>
              <w:t>11.6</w:t>
            </w:r>
          </w:p>
        </w:tc>
        <w:tc>
          <w:tcPr>
            <w:tcW w:w="420" w:type="dxa"/>
            <w:vAlign w:val="bottom"/>
          </w:tcPr>
          <w:p>
            <w:pPr>
              <w:spacing w:after="0"/>
              <w:rPr>
                <w:sz w:val="17"/>
                <w:szCs w:val="17"/>
                <w:color w:val="auto"/>
              </w:rPr>
            </w:pPr>
          </w:p>
        </w:tc>
        <w:tc>
          <w:tcPr>
            <w:tcW w:w="780" w:type="dxa"/>
            <w:vAlign w:val="bottom"/>
          </w:tcPr>
          <w:p>
            <w:pPr>
              <w:jc w:val="right"/>
              <w:ind w:right="33"/>
              <w:spacing w:after="0" w:line="202" w:lineRule="exact"/>
              <w:rPr>
                <w:sz w:val="20"/>
                <w:szCs w:val="20"/>
                <w:color w:val="auto"/>
              </w:rPr>
            </w:pPr>
            <w:r>
              <w:rPr>
                <w:rFonts w:ascii="Arial" w:cs="Arial" w:eastAsia="Arial" w:hAnsi="Arial"/>
                <w:sz w:val="18"/>
                <w:szCs w:val="18"/>
                <w:color w:val="auto"/>
              </w:rPr>
              <w:t>7.0</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40" w:type="dxa"/>
            <w:vAlign w:val="bottom"/>
            <w:shd w:val="clear" w:color="auto" w:fill="E6E6E6"/>
          </w:tcPr>
          <w:p>
            <w:pPr>
              <w:ind w:left="300"/>
              <w:spacing w:after="0" w:line="202" w:lineRule="exact"/>
              <w:rPr>
                <w:sz w:val="20"/>
                <w:szCs w:val="20"/>
                <w:color w:val="auto"/>
              </w:rPr>
            </w:pPr>
            <w:r>
              <w:rPr>
                <w:rFonts w:ascii="Arial" w:cs="Arial" w:eastAsia="Arial" w:hAnsi="Arial"/>
                <w:sz w:val="18"/>
                <w:szCs w:val="18"/>
                <w:color w:val="auto"/>
              </w:rPr>
              <w:t>Non cash write off related to asset impairment</w:t>
            </w:r>
          </w:p>
        </w:tc>
        <w:tc>
          <w:tcPr>
            <w:tcW w:w="460" w:type="dxa"/>
            <w:vAlign w:val="bottom"/>
            <w:shd w:val="clear" w:color="auto" w:fill="E6E6E6"/>
          </w:tcPr>
          <w:p>
            <w:pPr>
              <w:spacing w:after="0"/>
              <w:rPr>
                <w:sz w:val="17"/>
                <w:szCs w:val="17"/>
                <w:color w:val="auto"/>
              </w:rPr>
            </w:pPr>
          </w:p>
        </w:tc>
        <w:tc>
          <w:tcPr>
            <w:tcW w:w="860" w:type="dxa"/>
            <w:vAlign w:val="bottom"/>
            <w:shd w:val="clear" w:color="auto" w:fill="E6E6E6"/>
          </w:tcPr>
          <w:p>
            <w:pPr>
              <w:jc w:val="right"/>
              <w:ind w:right="113"/>
              <w:spacing w:after="0" w:line="202" w:lineRule="exact"/>
              <w:rPr>
                <w:sz w:val="20"/>
                <w:szCs w:val="20"/>
                <w:color w:val="auto"/>
              </w:rPr>
            </w:pPr>
            <w:r>
              <w:rPr>
                <w:rFonts w:ascii="Arial" w:cs="Arial" w:eastAsia="Arial" w:hAnsi="Arial"/>
                <w:sz w:val="18"/>
                <w:szCs w:val="18"/>
                <w:color w:val="auto"/>
              </w:rPr>
              <w:t>43.1</w:t>
            </w:r>
          </w:p>
        </w:tc>
        <w:tc>
          <w:tcPr>
            <w:tcW w:w="380" w:type="dxa"/>
            <w:vAlign w:val="bottom"/>
            <w:shd w:val="clear" w:color="auto" w:fill="E6E6E6"/>
          </w:tcPr>
          <w:p>
            <w:pPr>
              <w:spacing w:after="0"/>
              <w:rPr>
                <w:sz w:val="17"/>
                <w:szCs w:val="17"/>
                <w:color w:val="auto"/>
              </w:rPr>
            </w:pPr>
          </w:p>
        </w:tc>
        <w:tc>
          <w:tcPr>
            <w:tcW w:w="860" w:type="dxa"/>
            <w:vAlign w:val="bottom"/>
            <w:shd w:val="clear" w:color="auto" w:fill="E6E6E6"/>
          </w:tcPr>
          <w:p>
            <w:pPr>
              <w:jc w:val="right"/>
              <w:ind w:right="113"/>
              <w:spacing w:after="0" w:line="202" w:lineRule="exact"/>
              <w:rPr>
                <w:sz w:val="20"/>
                <w:szCs w:val="20"/>
                <w:color w:val="auto"/>
              </w:rPr>
            </w:pPr>
            <w:r>
              <w:rPr>
                <w:rFonts w:ascii="Arial" w:cs="Arial" w:eastAsia="Arial" w:hAnsi="Arial"/>
                <w:sz w:val="18"/>
                <w:szCs w:val="18"/>
                <w:color w:val="auto"/>
              </w:rPr>
              <w:t>17.0</w:t>
            </w:r>
          </w:p>
        </w:tc>
        <w:tc>
          <w:tcPr>
            <w:tcW w:w="420" w:type="dxa"/>
            <w:vAlign w:val="bottom"/>
            <w:shd w:val="clear" w:color="auto" w:fill="E6E6E6"/>
          </w:tcPr>
          <w:p>
            <w:pPr>
              <w:spacing w:after="0"/>
              <w:rPr>
                <w:sz w:val="17"/>
                <w:szCs w:val="17"/>
                <w:color w:val="auto"/>
              </w:rPr>
            </w:pPr>
          </w:p>
        </w:tc>
        <w:tc>
          <w:tcPr>
            <w:tcW w:w="780" w:type="dxa"/>
            <w:vAlign w:val="bottom"/>
            <w:shd w:val="clear" w:color="auto" w:fill="E6E6E6"/>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40" w:type="dxa"/>
            <w:vAlign w:val="bottom"/>
          </w:tcPr>
          <w:p>
            <w:pPr>
              <w:ind w:left="300"/>
              <w:spacing w:after="0" w:line="202" w:lineRule="exact"/>
              <w:rPr>
                <w:sz w:val="20"/>
                <w:szCs w:val="20"/>
                <w:color w:val="auto"/>
              </w:rPr>
            </w:pPr>
            <w:r>
              <w:rPr>
                <w:rFonts w:ascii="Arial" w:cs="Arial" w:eastAsia="Arial" w:hAnsi="Arial"/>
                <w:sz w:val="18"/>
                <w:szCs w:val="18"/>
                <w:color w:val="auto"/>
              </w:rPr>
              <w:t>Unrealized loss on investments</w:t>
            </w:r>
          </w:p>
        </w:tc>
        <w:tc>
          <w:tcPr>
            <w:tcW w:w="460" w:type="dxa"/>
            <w:vAlign w:val="bottom"/>
          </w:tcPr>
          <w:p>
            <w:pPr>
              <w:spacing w:after="0"/>
              <w:rPr>
                <w:sz w:val="17"/>
                <w:szCs w:val="17"/>
                <w:color w:val="auto"/>
              </w:rPr>
            </w:pPr>
          </w:p>
        </w:tc>
        <w:tc>
          <w:tcPr>
            <w:tcW w:w="860" w:type="dxa"/>
            <w:vAlign w:val="bottom"/>
          </w:tcPr>
          <w:p>
            <w:pPr>
              <w:jc w:val="right"/>
              <w:ind w:right="113"/>
              <w:spacing w:after="0" w:line="202" w:lineRule="exact"/>
              <w:rPr>
                <w:sz w:val="20"/>
                <w:szCs w:val="20"/>
                <w:color w:val="auto"/>
              </w:rPr>
            </w:pPr>
            <w:r>
              <w:rPr>
                <w:rFonts w:ascii="Arial" w:cs="Arial" w:eastAsia="Arial" w:hAnsi="Arial"/>
                <w:sz w:val="18"/>
                <w:szCs w:val="18"/>
                <w:color w:val="auto"/>
              </w:rPr>
              <w:t>1.5</w:t>
            </w:r>
          </w:p>
        </w:tc>
        <w:tc>
          <w:tcPr>
            <w:tcW w:w="380" w:type="dxa"/>
            <w:vAlign w:val="bottom"/>
          </w:tcPr>
          <w:p>
            <w:pPr>
              <w:spacing w:after="0"/>
              <w:rPr>
                <w:sz w:val="17"/>
                <w:szCs w:val="17"/>
                <w:color w:val="auto"/>
              </w:rPr>
            </w:pPr>
          </w:p>
        </w:tc>
        <w:tc>
          <w:tcPr>
            <w:tcW w:w="860" w:type="dxa"/>
            <w:vAlign w:val="bottom"/>
          </w:tcPr>
          <w:p>
            <w:pPr>
              <w:jc w:val="right"/>
              <w:ind w:right="113"/>
              <w:spacing w:after="0" w:line="202" w:lineRule="exact"/>
              <w:rPr>
                <w:sz w:val="20"/>
                <w:szCs w:val="20"/>
                <w:color w:val="auto"/>
              </w:rPr>
            </w:pPr>
            <w:r>
              <w:rPr>
                <w:rFonts w:ascii="Arial" w:cs="Arial" w:eastAsia="Arial" w:hAnsi="Arial"/>
                <w:sz w:val="18"/>
                <w:szCs w:val="18"/>
                <w:color w:val="auto"/>
              </w:rPr>
              <w:t>13.5</w:t>
            </w:r>
          </w:p>
        </w:tc>
        <w:tc>
          <w:tcPr>
            <w:tcW w:w="420" w:type="dxa"/>
            <w:vAlign w:val="bottom"/>
          </w:tcPr>
          <w:p>
            <w:pPr>
              <w:spacing w:after="0"/>
              <w:rPr>
                <w:sz w:val="17"/>
                <w:szCs w:val="17"/>
                <w:color w:val="auto"/>
              </w:rPr>
            </w:pPr>
          </w:p>
        </w:tc>
        <w:tc>
          <w:tcPr>
            <w:tcW w:w="8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40" w:type="dxa"/>
            <w:vAlign w:val="bottom"/>
            <w:shd w:val="clear" w:color="auto" w:fill="E6E6E6"/>
          </w:tcPr>
          <w:p>
            <w:pPr>
              <w:ind w:left="300"/>
              <w:spacing w:after="0" w:line="202" w:lineRule="exact"/>
              <w:rPr>
                <w:sz w:val="20"/>
                <w:szCs w:val="20"/>
                <w:color w:val="auto"/>
              </w:rPr>
            </w:pPr>
            <w:r>
              <w:rPr>
                <w:rFonts w:ascii="Arial" w:cs="Arial" w:eastAsia="Arial" w:hAnsi="Arial"/>
                <w:sz w:val="18"/>
                <w:szCs w:val="18"/>
                <w:color w:val="auto"/>
              </w:rPr>
              <w:t>Changes in assets and liabilities:</w:t>
            </w:r>
          </w:p>
        </w:tc>
        <w:tc>
          <w:tcPr>
            <w:tcW w:w="460" w:type="dxa"/>
            <w:vAlign w:val="bottom"/>
            <w:shd w:val="clear" w:color="auto" w:fill="E6E6E6"/>
          </w:tcPr>
          <w:p>
            <w:pPr>
              <w:spacing w:after="0"/>
              <w:rPr>
                <w:sz w:val="17"/>
                <w:szCs w:val="17"/>
                <w:color w:val="auto"/>
              </w:rPr>
            </w:pPr>
          </w:p>
        </w:tc>
        <w:tc>
          <w:tcPr>
            <w:tcW w:w="860" w:type="dxa"/>
            <w:vAlign w:val="bottom"/>
            <w:shd w:val="clear" w:color="auto" w:fill="E6E6E6"/>
          </w:tcPr>
          <w:p>
            <w:pPr>
              <w:spacing w:after="0"/>
              <w:rPr>
                <w:sz w:val="17"/>
                <w:szCs w:val="17"/>
                <w:color w:val="auto"/>
              </w:rPr>
            </w:pPr>
          </w:p>
        </w:tc>
        <w:tc>
          <w:tcPr>
            <w:tcW w:w="380" w:type="dxa"/>
            <w:vAlign w:val="bottom"/>
            <w:shd w:val="clear" w:color="auto" w:fill="E6E6E6"/>
          </w:tcPr>
          <w:p>
            <w:pPr>
              <w:spacing w:after="0"/>
              <w:rPr>
                <w:sz w:val="17"/>
                <w:szCs w:val="17"/>
                <w:color w:val="auto"/>
              </w:rPr>
            </w:pPr>
          </w:p>
        </w:tc>
        <w:tc>
          <w:tcPr>
            <w:tcW w:w="860" w:type="dxa"/>
            <w:vAlign w:val="bottom"/>
            <w:shd w:val="clear" w:color="auto" w:fill="E6E6E6"/>
          </w:tcPr>
          <w:p>
            <w:pPr>
              <w:spacing w:after="0"/>
              <w:rPr>
                <w:sz w:val="17"/>
                <w:szCs w:val="17"/>
                <w:color w:val="auto"/>
              </w:rPr>
            </w:pPr>
          </w:p>
        </w:tc>
        <w:tc>
          <w:tcPr>
            <w:tcW w:w="420" w:type="dxa"/>
            <w:vAlign w:val="bottom"/>
            <w:shd w:val="clear" w:color="auto" w:fill="E6E6E6"/>
          </w:tcPr>
          <w:p>
            <w:pPr>
              <w:spacing w:after="0"/>
              <w:rPr>
                <w:sz w:val="17"/>
                <w:szCs w:val="17"/>
                <w:color w:val="auto"/>
              </w:rPr>
            </w:pPr>
          </w:p>
        </w:tc>
        <w:tc>
          <w:tcPr>
            <w:tcW w:w="780" w:type="dxa"/>
            <w:vAlign w:val="bottom"/>
            <w:shd w:val="clear" w:color="auto" w:fill="E6E6E6"/>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40" w:type="dxa"/>
            <w:vAlign w:val="bottom"/>
          </w:tcPr>
          <w:p>
            <w:pPr>
              <w:ind w:left="460"/>
              <w:spacing w:after="0" w:line="202" w:lineRule="exact"/>
              <w:rPr>
                <w:sz w:val="20"/>
                <w:szCs w:val="20"/>
                <w:color w:val="auto"/>
              </w:rPr>
            </w:pPr>
            <w:r>
              <w:rPr>
                <w:rFonts w:ascii="Arial" w:cs="Arial" w:eastAsia="Arial" w:hAnsi="Arial"/>
                <w:sz w:val="18"/>
                <w:szCs w:val="18"/>
                <w:color w:val="auto"/>
              </w:rPr>
              <w:t>Accounts receivable</w:t>
            </w:r>
          </w:p>
        </w:tc>
        <w:tc>
          <w:tcPr>
            <w:tcW w:w="460" w:type="dxa"/>
            <w:vAlign w:val="bottom"/>
          </w:tcPr>
          <w:p>
            <w:pPr>
              <w:spacing w:after="0"/>
              <w:rPr>
                <w:sz w:val="17"/>
                <w:szCs w:val="17"/>
                <w:color w:val="auto"/>
              </w:rPr>
            </w:pPr>
          </w:p>
        </w:tc>
        <w:tc>
          <w:tcPr>
            <w:tcW w:w="860" w:type="dxa"/>
            <w:vAlign w:val="bottom"/>
          </w:tcPr>
          <w:p>
            <w:pPr>
              <w:jc w:val="right"/>
              <w:ind w:right="53"/>
              <w:spacing w:after="0" w:line="202" w:lineRule="exact"/>
              <w:rPr>
                <w:sz w:val="20"/>
                <w:szCs w:val="20"/>
                <w:color w:val="auto"/>
              </w:rPr>
            </w:pPr>
            <w:r>
              <w:rPr>
                <w:rFonts w:ascii="Arial" w:cs="Arial" w:eastAsia="Arial" w:hAnsi="Arial"/>
                <w:sz w:val="18"/>
                <w:szCs w:val="18"/>
                <w:color w:val="auto"/>
              </w:rPr>
              <w:t>(22.4)</w:t>
            </w:r>
          </w:p>
        </w:tc>
        <w:tc>
          <w:tcPr>
            <w:tcW w:w="380" w:type="dxa"/>
            <w:vAlign w:val="bottom"/>
          </w:tcPr>
          <w:p>
            <w:pPr>
              <w:spacing w:after="0"/>
              <w:rPr>
                <w:sz w:val="17"/>
                <w:szCs w:val="17"/>
                <w:color w:val="auto"/>
              </w:rPr>
            </w:pPr>
          </w:p>
        </w:tc>
        <w:tc>
          <w:tcPr>
            <w:tcW w:w="860" w:type="dxa"/>
            <w:vAlign w:val="bottom"/>
          </w:tcPr>
          <w:p>
            <w:pPr>
              <w:jc w:val="right"/>
              <w:ind w:right="53"/>
              <w:spacing w:after="0" w:line="202" w:lineRule="exact"/>
              <w:rPr>
                <w:sz w:val="20"/>
                <w:szCs w:val="20"/>
                <w:color w:val="auto"/>
              </w:rPr>
            </w:pPr>
            <w:r>
              <w:rPr>
                <w:rFonts w:ascii="Arial" w:cs="Arial" w:eastAsia="Arial" w:hAnsi="Arial"/>
                <w:sz w:val="18"/>
                <w:szCs w:val="18"/>
                <w:color w:val="auto"/>
              </w:rPr>
              <w:t>(17.7)</w:t>
            </w:r>
          </w:p>
        </w:tc>
        <w:tc>
          <w:tcPr>
            <w:tcW w:w="420" w:type="dxa"/>
            <w:vAlign w:val="bottom"/>
          </w:tcPr>
          <w:p>
            <w:pPr>
              <w:spacing w:after="0"/>
              <w:rPr>
                <w:sz w:val="17"/>
                <w:szCs w:val="17"/>
                <w:color w:val="auto"/>
              </w:rPr>
            </w:pPr>
          </w:p>
        </w:tc>
        <w:tc>
          <w:tcPr>
            <w:tcW w:w="780" w:type="dxa"/>
            <w:vAlign w:val="bottom"/>
          </w:tcPr>
          <w:p>
            <w:pPr>
              <w:jc w:val="right"/>
              <w:ind w:right="33"/>
              <w:spacing w:after="0" w:line="202" w:lineRule="exact"/>
              <w:rPr>
                <w:sz w:val="20"/>
                <w:szCs w:val="20"/>
                <w:color w:val="auto"/>
              </w:rPr>
            </w:pPr>
            <w:r>
              <w:rPr>
                <w:rFonts w:ascii="Arial" w:cs="Arial" w:eastAsia="Arial" w:hAnsi="Arial"/>
                <w:sz w:val="18"/>
                <w:szCs w:val="18"/>
                <w:color w:val="auto"/>
              </w:rPr>
              <w:t>3.5</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40" w:type="dxa"/>
            <w:vAlign w:val="bottom"/>
            <w:shd w:val="clear" w:color="auto" w:fill="E6E6E6"/>
          </w:tcPr>
          <w:p>
            <w:pPr>
              <w:ind w:left="460"/>
              <w:spacing w:after="0" w:line="202" w:lineRule="exact"/>
              <w:rPr>
                <w:sz w:val="20"/>
                <w:szCs w:val="20"/>
                <w:color w:val="auto"/>
              </w:rPr>
            </w:pPr>
            <w:r>
              <w:rPr>
                <w:rFonts w:ascii="Arial" w:cs="Arial" w:eastAsia="Arial" w:hAnsi="Arial"/>
                <w:sz w:val="18"/>
                <w:szCs w:val="18"/>
                <w:color w:val="auto"/>
              </w:rPr>
              <w:t>Inventories</w:t>
            </w:r>
          </w:p>
        </w:tc>
        <w:tc>
          <w:tcPr>
            <w:tcW w:w="460" w:type="dxa"/>
            <w:vAlign w:val="bottom"/>
            <w:shd w:val="clear" w:color="auto" w:fill="E6E6E6"/>
          </w:tcPr>
          <w:p>
            <w:pPr>
              <w:spacing w:after="0"/>
              <w:rPr>
                <w:sz w:val="17"/>
                <w:szCs w:val="17"/>
                <w:color w:val="auto"/>
              </w:rPr>
            </w:pPr>
          </w:p>
        </w:tc>
        <w:tc>
          <w:tcPr>
            <w:tcW w:w="860" w:type="dxa"/>
            <w:vAlign w:val="bottom"/>
            <w:shd w:val="clear" w:color="auto" w:fill="E6E6E6"/>
          </w:tcPr>
          <w:p>
            <w:pPr>
              <w:jc w:val="right"/>
              <w:ind w:right="113"/>
              <w:spacing w:after="0" w:line="202" w:lineRule="exact"/>
              <w:rPr>
                <w:sz w:val="20"/>
                <w:szCs w:val="20"/>
                <w:color w:val="auto"/>
              </w:rPr>
            </w:pPr>
            <w:r>
              <w:rPr>
                <w:rFonts w:ascii="Arial" w:cs="Arial" w:eastAsia="Arial" w:hAnsi="Arial"/>
                <w:sz w:val="18"/>
                <w:szCs w:val="18"/>
                <w:color w:val="auto"/>
              </w:rPr>
              <w:t>3.4</w:t>
            </w:r>
          </w:p>
        </w:tc>
        <w:tc>
          <w:tcPr>
            <w:tcW w:w="380" w:type="dxa"/>
            <w:vAlign w:val="bottom"/>
            <w:shd w:val="clear" w:color="auto" w:fill="E6E6E6"/>
          </w:tcPr>
          <w:p>
            <w:pPr>
              <w:spacing w:after="0"/>
              <w:rPr>
                <w:sz w:val="17"/>
                <w:szCs w:val="17"/>
                <w:color w:val="auto"/>
              </w:rPr>
            </w:pPr>
          </w:p>
        </w:tc>
        <w:tc>
          <w:tcPr>
            <w:tcW w:w="860" w:type="dxa"/>
            <w:vAlign w:val="bottom"/>
            <w:shd w:val="clear" w:color="auto" w:fill="E6E6E6"/>
          </w:tcPr>
          <w:p>
            <w:pPr>
              <w:jc w:val="right"/>
              <w:ind w:right="53"/>
              <w:spacing w:after="0" w:line="202" w:lineRule="exact"/>
              <w:rPr>
                <w:sz w:val="20"/>
                <w:szCs w:val="20"/>
                <w:color w:val="auto"/>
              </w:rPr>
            </w:pPr>
            <w:r>
              <w:rPr>
                <w:rFonts w:ascii="Arial" w:cs="Arial" w:eastAsia="Arial" w:hAnsi="Arial"/>
                <w:sz w:val="18"/>
                <w:szCs w:val="18"/>
                <w:color w:val="auto"/>
              </w:rPr>
              <w:t>(25.8)</w:t>
            </w:r>
          </w:p>
        </w:tc>
        <w:tc>
          <w:tcPr>
            <w:tcW w:w="420" w:type="dxa"/>
            <w:vAlign w:val="bottom"/>
            <w:shd w:val="clear" w:color="auto" w:fill="E6E6E6"/>
          </w:tcPr>
          <w:p>
            <w:pPr>
              <w:spacing w:after="0"/>
              <w:rPr>
                <w:sz w:val="17"/>
                <w:szCs w:val="17"/>
                <w:color w:val="auto"/>
              </w:rPr>
            </w:pPr>
          </w:p>
        </w:tc>
        <w:tc>
          <w:tcPr>
            <w:tcW w:w="78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(17.9)</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40" w:type="dxa"/>
            <w:vAlign w:val="bottom"/>
          </w:tcPr>
          <w:p>
            <w:pPr>
              <w:ind w:left="460"/>
              <w:spacing w:after="0" w:line="202" w:lineRule="exact"/>
              <w:rPr>
                <w:sz w:val="20"/>
                <w:szCs w:val="20"/>
                <w:color w:val="auto"/>
              </w:rPr>
            </w:pPr>
            <w:r>
              <w:rPr>
                <w:rFonts w:ascii="Arial" w:cs="Arial" w:eastAsia="Arial" w:hAnsi="Arial"/>
                <w:sz w:val="18"/>
                <w:szCs w:val="18"/>
                <w:color w:val="auto"/>
              </w:rPr>
              <w:t>Prepaid expenses and other current assets</w:t>
            </w:r>
          </w:p>
        </w:tc>
        <w:tc>
          <w:tcPr>
            <w:tcW w:w="460" w:type="dxa"/>
            <w:vAlign w:val="bottom"/>
          </w:tcPr>
          <w:p>
            <w:pPr>
              <w:spacing w:after="0"/>
              <w:rPr>
                <w:sz w:val="17"/>
                <w:szCs w:val="17"/>
                <w:color w:val="auto"/>
              </w:rPr>
            </w:pPr>
          </w:p>
        </w:tc>
        <w:tc>
          <w:tcPr>
            <w:tcW w:w="860" w:type="dxa"/>
            <w:vAlign w:val="bottom"/>
          </w:tcPr>
          <w:p>
            <w:pPr>
              <w:jc w:val="right"/>
              <w:ind w:right="113"/>
              <w:spacing w:after="0" w:line="202" w:lineRule="exact"/>
              <w:rPr>
                <w:sz w:val="20"/>
                <w:szCs w:val="20"/>
                <w:color w:val="auto"/>
              </w:rPr>
            </w:pPr>
            <w:r>
              <w:rPr>
                <w:rFonts w:ascii="Arial" w:cs="Arial" w:eastAsia="Arial" w:hAnsi="Arial"/>
                <w:sz w:val="18"/>
                <w:szCs w:val="18"/>
                <w:color w:val="auto"/>
              </w:rPr>
              <w:t>2.4</w:t>
            </w:r>
          </w:p>
        </w:tc>
        <w:tc>
          <w:tcPr>
            <w:tcW w:w="380" w:type="dxa"/>
            <w:vAlign w:val="bottom"/>
          </w:tcPr>
          <w:p>
            <w:pPr>
              <w:spacing w:after="0"/>
              <w:rPr>
                <w:sz w:val="17"/>
                <w:szCs w:val="17"/>
                <w:color w:val="auto"/>
              </w:rPr>
            </w:pPr>
          </w:p>
        </w:tc>
        <w:tc>
          <w:tcPr>
            <w:tcW w:w="860" w:type="dxa"/>
            <w:vAlign w:val="bottom"/>
          </w:tcPr>
          <w:p>
            <w:pPr>
              <w:jc w:val="right"/>
              <w:ind w:right="113"/>
              <w:spacing w:after="0" w:line="202" w:lineRule="exact"/>
              <w:rPr>
                <w:sz w:val="20"/>
                <w:szCs w:val="20"/>
                <w:color w:val="auto"/>
              </w:rPr>
            </w:pPr>
            <w:r>
              <w:rPr>
                <w:rFonts w:ascii="Arial" w:cs="Arial" w:eastAsia="Arial" w:hAnsi="Arial"/>
                <w:sz w:val="18"/>
                <w:szCs w:val="18"/>
                <w:color w:val="auto"/>
              </w:rPr>
              <w:t>7.3</w:t>
            </w:r>
          </w:p>
        </w:tc>
        <w:tc>
          <w:tcPr>
            <w:tcW w:w="420" w:type="dxa"/>
            <w:vAlign w:val="bottom"/>
          </w:tcPr>
          <w:p>
            <w:pPr>
              <w:spacing w:after="0"/>
              <w:rPr>
                <w:sz w:val="17"/>
                <w:szCs w:val="17"/>
                <w:color w:val="auto"/>
              </w:rPr>
            </w:pPr>
          </w:p>
        </w:tc>
        <w:tc>
          <w:tcPr>
            <w:tcW w:w="780" w:type="dxa"/>
            <w:vAlign w:val="bottom"/>
          </w:tcPr>
          <w:p>
            <w:pPr>
              <w:jc w:val="right"/>
              <w:ind w:right="33"/>
              <w:spacing w:after="0" w:line="202" w:lineRule="exact"/>
              <w:rPr>
                <w:sz w:val="20"/>
                <w:szCs w:val="20"/>
                <w:color w:val="auto"/>
              </w:rPr>
            </w:pPr>
            <w:r>
              <w:rPr>
                <w:rFonts w:ascii="Arial" w:cs="Arial" w:eastAsia="Arial" w:hAnsi="Arial"/>
                <w:sz w:val="18"/>
                <w:szCs w:val="18"/>
                <w:color w:val="auto"/>
              </w:rPr>
              <w:t>10.0</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40" w:type="dxa"/>
            <w:vAlign w:val="bottom"/>
            <w:shd w:val="clear" w:color="auto" w:fill="E6E6E6"/>
          </w:tcPr>
          <w:p>
            <w:pPr>
              <w:ind w:left="460"/>
              <w:spacing w:after="0" w:line="202" w:lineRule="exact"/>
              <w:rPr>
                <w:sz w:val="20"/>
                <w:szCs w:val="20"/>
                <w:color w:val="auto"/>
              </w:rPr>
            </w:pPr>
            <w:r>
              <w:rPr>
                <w:rFonts w:ascii="Arial" w:cs="Arial" w:eastAsia="Arial" w:hAnsi="Arial"/>
                <w:sz w:val="18"/>
                <w:szCs w:val="18"/>
                <w:color w:val="auto"/>
              </w:rPr>
              <w:t>Deferred promotion costs</w:t>
            </w:r>
          </w:p>
        </w:tc>
        <w:tc>
          <w:tcPr>
            <w:tcW w:w="460" w:type="dxa"/>
            <w:vAlign w:val="bottom"/>
            <w:shd w:val="clear" w:color="auto" w:fill="E6E6E6"/>
          </w:tcPr>
          <w:p>
            <w:pPr>
              <w:spacing w:after="0"/>
              <w:rPr>
                <w:sz w:val="17"/>
                <w:szCs w:val="17"/>
                <w:color w:val="auto"/>
              </w:rPr>
            </w:pPr>
          </w:p>
        </w:tc>
        <w:tc>
          <w:tcPr>
            <w:tcW w:w="860" w:type="dxa"/>
            <w:vAlign w:val="bottom"/>
            <w:shd w:val="clear" w:color="auto" w:fill="E6E6E6"/>
          </w:tcPr>
          <w:p>
            <w:pPr>
              <w:jc w:val="right"/>
              <w:ind w:right="113"/>
              <w:spacing w:after="0" w:line="202" w:lineRule="exact"/>
              <w:rPr>
                <w:sz w:val="20"/>
                <w:szCs w:val="20"/>
                <w:color w:val="auto"/>
              </w:rPr>
            </w:pPr>
            <w:r>
              <w:rPr>
                <w:rFonts w:ascii="Arial" w:cs="Arial" w:eastAsia="Arial" w:hAnsi="Arial"/>
                <w:sz w:val="18"/>
                <w:szCs w:val="18"/>
                <w:color w:val="auto"/>
              </w:rPr>
              <w:t>0.8</w:t>
            </w:r>
          </w:p>
        </w:tc>
        <w:tc>
          <w:tcPr>
            <w:tcW w:w="380" w:type="dxa"/>
            <w:vAlign w:val="bottom"/>
            <w:shd w:val="clear" w:color="auto" w:fill="E6E6E6"/>
          </w:tcPr>
          <w:p>
            <w:pPr>
              <w:spacing w:after="0"/>
              <w:rPr>
                <w:sz w:val="17"/>
                <w:szCs w:val="17"/>
                <w:color w:val="auto"/>
              </w:rPr>
            </w:pPr>
          </w:p>
        </w:tc>
        <w:tc>
          <w:tcPr>
            <w:tcW w:w="860" w:type="dxa"/>
            <w:vAlign w:val="bottom"/>
            <w:shd w:val="clear" w:color="auto" w:fill="E6E6E6"/>
          </w:tcPr>
          <w:p>
            <w:pPr>
              <w:jc w:val="right"/>
              <w:ind w:right="113"/>
              <w:spacing w:after="0" w:line="202" w:lineRule="exact"/>
              <w:rPr>
                <w:sz w:val="20"/>
                <w:szCs w:val="20"/>
                <w:color w:val="auto"/>
              </w:rPr>
            </w:pPr>
            <w:r>
              <w:rPr>
                <w:rFonts w:ascii="Arial" w:cs="Arial" w:eastAsia="Arial" w:hAnsi="Arial"/>
                <w:sz w:val="18"/>
                <w:szCs w:val="18"/>
                <w:color w:val="auto"/>
              </w:rPr>
              <w:t>0.3</w:t>
            </w:r>
          </w:p>
        </w:tc>
        <w:tc>
          <w:tcPr>
            <w:tcW w:w="420" w:type="dxa"/>
            <w:vAlign w:val="bottom"/>
            <w:shd w:val="clear" w:color="auto" w:fill="E6E6E6"/>
          </w:tcPr>
          <w:p>
            <w:pPr>
              <w:spacing w:after="0"/>
              <w:rPr>
                <w:sz w:val="17"/>
                <w:szCs w:val="17"/>
                <w:color w:val="auto"/>
              </w:rPr>
            </w:pPr>
          </w:p>
        </w:tc>
        <w:tc>
          <w:tcPr>
            <w:tcW w:w="780" w:type="dxa"/>
            <w:vAlign w:val="bottom"/>
            <w:shd w:val="clear" w:color="auto" w:fill="E6E6E6"/>
          </w:tcPr>
          <w:p>
            <w:pPr>
              <w:jc w:val="right"/>
              <w:ind w:right="33"/>
              <w:spacing w:after="0" w:line="202" w:lineRule="exact"/>
              <w:rPr>
                <w:sz w:val="20"/>
                <w:szCs w:val="20"/>
                <w:color w:val="auto"/>
              </w:rPr>
            </w:pPr>
            <w:r>
              <w:rPr>
                <w:rFonts w:ascii="Arial" w:cs="Arial" w:eastAsia="Arial" w:hAnsi="Arial"/>
                <w:sz w:val="18"/>
                <w:szCs w:val="18"/>
                <w:color w:val="auto"/>
              </w:rPr>
              <w:t>0.2</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40" w:type="dxa"/>
            <w:vAlign w:val="bottom"/>
          </w:tcPr>
          <w:p>
            <w:pPr>
              <w:ind w:left="460"/>
              <w:spacing w:after="0" w:line="202" w:lineRule="exact"/>
              <w:rPr>
                <w:sz w:val="20"/>
                <w:szCs w:val="20"/>
                <w:color w:val="auto"/>
              </w:rPr>
            </w:pPr>
            <w:r>
              <w:rPr>
                <w:rFonts w:ascii="Arial" w:cs="Arial" w:eastAsia="Arial" w:hAnsi="Arial"/>
                <w:sz w:val="18"/>
                <w:szCs w:val="18"/>
                <w:color w:val="auto"/>
              </w:rPr>
              <w:t>Royalty advances</w:t>
            </w:r>
          </w:p>
        </w:tc>
        <w:tc>
          <w:tcPr>
            <w:tcW w:w="460" w:type="dxa"/>
            <w:vAlign w:val="bottom"/>
          </w:tcPr>
          <w:p>
            <w:pPr>
              <w:spacing w:after="0"/>
              <w:rPr>
                <w:sz w:val="17"/>
                <w:szCs w:val="17"/>
                <w:color w:val="auto"/>
              </w:rPr>
            </w:pPr>
          </w:p>
        </w:tc>
        <w:tc>
          <w:tcPr>
            <w:tcW w:w="860" w:type="dxa"/>
            <w:vAlign w:val="bottom"/>
          </w:tcPr>
          <w:p>
            <w:pPr>
              <w:jc w:val="right"/>
              <w:ind w:right="53"/>
              <w:spacing w:after="0" w:line="202" w:lineRule="exact"/>
              <w:rPr>
                <w:sz w:val="20"/>
                <w:szCs w:val="20"/>
                <w:color w:val="auto"/>
              </w:rPr>
            </w:pPr>
            <w:r>
              <w:rPr>
                <w:rFonts w:ascii="Arial" w:cs="Arial" w:eastAsia="Arial" w:hAnsi="Arial"/>
                <w:sz w:val="18"/>
                <w:szCs w:val="18"/>
                <w:color w:val="auto"/>
              </w:rPr>
              <w:t>(3.7)</w:t>
            </w:r>
          </w:p>
        </w:tc>
        <w:tc>
          <w:tcPr>
            <w:tcW w:w="380" w:type="dxa"/>
            <w:vAlign w:val="bottom"/>
          </w:tcPr>
          <w:p>
            <w:pPr>
              <w:spacing w:after="0"/>
              <w:rPr>
                <w:sz w:val="17"/>
                <w:szCs w:val="17"/>
                <w:color w:val="auto"/>
              </w:rPr>
            </w:pPr>
          </w:p>
        </w:tc>
        <w:tc>
          <w:tcPr>
            <w:tcW w:w="860" w:type="dxa"/>
            <w:vAlign w:val="bottom"/>
          </w:tcPr>
          <w:p>
            <w:pPr>
              <w:jc w:val="right"/>
              <w:ind w:right="53"/>
              <w:spacing w:after="0" w:line="202" w:lineRule="exact"/>
              <w:rPr>
                <w:sz w:val="20"/>
                <w:szCs w:val="20"/>
                <w:color w:val="auto"/>
              </w:rPr>
            </w:pPr>
            <w:r>
              <w:rPr>
                <w:rFonts w:ascii="Arial" w:cs="Arial" w:eastAsia="Arial" w:hAnsi="Arial"/>
                <w:sz w:val="18"/>
                <w:szCs w:val="18"/>
                <w:color w:val="auto"/>
              </w:rPr>
              <w:t>(6.6)</w:t>
            </w:r>
          </w:p>
        </w:tc>
        <w:tc>
          <w:tcPr>
            <w:tcW w:w="42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(5.0)</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40" w:type="dxa"/>
            <w:vAlign w:val="bottom"/>
            <w:shd w:val="clear" w:color="auto" w:fill="E6E6E6"/>
          </w:tcPr>
          <w:p>
            <w:pPr>
              <w:ind w:left="460"/>
              <w:spacing w:after="0" w:line="202" w:lineRule="exact"/>
              <w:rPr>
                <w:sz w:val="20"/>
                <w:szCs w:val="20"/>
                <w:color w:val="auto"/>
              </w:rPr>
            </w:pPr>
            <w:r>
              <w:rPr>
                <w:rFonts w:ascii="Arial" w:cs="Arial" w:eastAsia="Arial" w:hAnsi="Arial"/>
                <w:sz w:val="18"/>
                <w:szCs w:val="18"/>
                <w:color w:val="auto"/>
              </w:rPr>
              <w:t>Accounts payable</w:t>
            </w:r>
          </w:p>
        </w:tc>
        <w:tc>
          <w:tcPr>
            <w:tcW w:w="460" w:type="dxa"/>
            <w:vAlign w:val="bottom"/>
            <w:shd w:val="clear" w:color="auto" w:fill="E6E6E6"/>
          </w:tcPr>
          <w:p>
            <w:pPr>
              <w:spacing w:after="0"/>
              <w:rPr>
                <w:sz w:val="17"/>
                <w:szCs w:val="17"/>
                <w:color w:val="auto"/>
              </w:rPr>
            </w:pPr>
          </w:p>
        </w:tc>
        <w:tc>
          <w:tcPr>
            <w:tcW w:w="860" w:type="dxa"/>
            <w:vAlign w:val="bottom"/>
            <w:shd w:val="clear" w:color="auto" w:fill="E6E6E6"/>
          </w:tcPr>
          <w:p>
            <w:pPr>
              <w:jc w:val="right"/>
              <w:ind w:right="53"/>
              <w:spacing w:after="0" w:line="202" w:lineRule="exact"/>
              <w:rPr>
                <w:sz w:val="20"/>
                <w:szCs w:val="20"/>
                <w:color w:val="auto"/>
              </w:rPr>
            </w:pPr>
            <w:r>
              <w:rPr>
                <w:rFonts w:ascii="Arial" w:cs="Arial" w:eastAsia="Arial" w:hAnsi="Arial"/>
                <w:sz w:val="18"/>
                <w:szCs w:val="18"/>
                <w:color w:val="auto"/>
              </w:rPr>
              <w:t>(27.0)</w:t>
            </w:r>
          </w:p>
        </w:tc>
        <w:tc>
          <w:tcPr>
            <w:tcW w:w="380" w:type="dxa"/>
            <w:vAlign w:val="bottom"/>
            <w:shd w:val="clear" w:color="auto" w:fill="E6E6E6"/>
          </w:tcPr>
          <w:p>
            <w:pPr>
              <w:spacing w:after="0"/>
              <w:rPr>
                <w:sz w:val="17"/>
                <w:szCs w:val="17"/>
                <w:color w:val="auto"/>
              </w:rPr>
            </w:pPr>
          </w:p>
        </w:tc>
        <w:tc>
          <w:tcPr>
            <w:tcW w:w="860" w:type="dxa"/>
            <w:vAlign w:val="bottom"/>
            <w:shd w:val="clear" w:color="auto" w:fill="E6E6E6"/>
          </w:tcPr>
          <w:p>
            <w:pPr>
              <w:jc w:val="right"/>
              <w:ind w:right="113"/>
              <w:spacing w:after="0" w:line="202" w:lineRule="exact"/>
              <w:rPr>
                <w:sz w:val="20"/>
                <w:szCs w:val="20"/>
                <w:color w:val="auto"/>
              </w:rPr>
            </w:pPr>
            <w:r>
              <w:rPr>
                <w:rFonts w:ascii="Arial" w:cs="Arial" w:eastAsia="Arial" w:hAnsi="Arial"/>
                <w:sz w:val="18"/>
                <w:szCs w:val="18"/>
                <w:color w:val="auto"/>
              </w:rPr>
              <w:t>25.6</w:t>
            </w:r>
          </w:p>
        </w:tc>
        <w:tc>
          <w:tcPr>
            <w:tcW w:w="420" w:type="dxa"/>
            <w:vAlign w:val="bottom"/>
            <w:shd w:val="clear" w:color="auto" w:fill="E6E6E6"/>
          </w:tcPr>
          <w:p>
            <w:pPr>
              <w:spacing w:after="0"/>
              <w:rPr>
                <w:sz w:val="17"/>
                <w:szCs w:val="17"/>
                <w:color w:val="auto"/>
              </w:rPr>
            </w:pPr>
          </w:p>
        </w:tc>
        <w:tc>
          <w:tcPr>
            <w:tcW w:w="78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(13.8)</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40" w:type="dxa"/>
            <w:vAlign w:val="bottom"/>
          </w:tcPr>
          <w:p>
            <w:pPr>
              <w:ind w:left="460"/>
              <w:spacing w:after="0" w:line="202" w:lineRule="exact"/>
              <w:rPr>
                <w:sz w:val="20"/>
                <w:szCs w:val="20"/>
                <w:color w:val="auto"/>
              </w:rPr>
            </w:pPr>
            <w:r>
              <w:rPr>
                <w:rFonts w:ascii="Arial" w:cs="Arial" w:eastAsia="Arial" w:hAnsi="Arial"/>
                <w:sz w:val="18"/>
                <w:szCs w:val="18"/>
                <w:color w:val="auto"/>
              </w:rPr>
              <w:t>Other accrued expenses</w:t>
            </w:r>
          </w:p>
        </w:tc>
        <w:tc>
          <w:tcPr>
            <w:tcW w:w="460" w:type="dxa"/>
            <w:vAlign w:val="bottom"/>
          </w:tcPr>
          <w:p>
            <w:pPr>
              <w:spacing w:after="0"/>
              <w:rPr>
                <w:sz w:val="17"/>
                <w:szCs w:val="17"/>
                <w:color w:val="auto"/>
              </w:rPr>
            </w:pPr>
          </w:p>
        </w:tc>
        <w:tc>
          <w:tcPr>
            <w:tcW w:w="860" w:type="dxa"/>
            <w:vAlign w:val="bottom"/>
          </w:tcPr>
          <w:p>
            <w:pPr>
              <w:jc w:val="right"/>
              <w:ind w:right="113"/>
              <w:spacing w:after="0" w:line="202" w:lineRule="exact"/>
              <w:rPr>
                <w:sz w:val="20"/>
                <w:szCs w:val="20"/>
                <w:color w:val="auto"/>
              </w:rPr>
            </w:pPr>
            <w:r>
              <w:rPr>
                <w:rFonts w:ascii="Arial" w:cs="Arial" w:eastAsia="Arial" w:hAnsi="Arial"/>
                <w:sz w:val="18"/>
                <w:szCs w:val="18"/>
                <w:color w:val="auto"/>
              </w:rPr>
              <w:t>18.8</w:t>
            </w:r>
          </w:p>
        </w:tc>
        <w:tc>
          <w:tcPr>
            <w:tcW w:w="380" w:type="dxa"/>
            <w:vAlign w:val="bottom"/>
          </w:tcPr>
          <w:p>
            <w:pPr>
              <w:spacing w:after="0"/>
              <w:rPr>
                <w:sz w:val="17"/>
                <w:szCs w:val="17"/>
                <w:color w:val="auto"/>
              </w:rPr>
            </w:pPr>
          </w:p>
        </w:tc>
        <w:tc>
          <w:tcPr>
            <w:tcW w:w="860" w:type="dxa"/>
            <w:vAlign w:val="bottom"/>
          </w:tcPr>
          <w:p>
            <w:pPr>
              <w:jc w:val="right"/>
              <w:ind w:right="53"/>
              <w:spacing w:after="0" w:line="202" w:lineRule="exact"/>
              <w:rPr>
                <w:sz w:val="20"/>
                <w:szCs w:val="20"/>
                <w:color w:val="auto"/>
              </w:rPr>
            </w:pPr>
            <w:r>
              <w:rPr>
                <w:rFonts w:ascii="Arial" w:cs="Arial" w:eastAsia="Arial" w:hAnsi="Arial"/>
                <w:sz w:val="18"/>
                <w:szCs w:val="18"/>
                <w:color w:val="auto"/>
              </w:rPr>
              <w:t>(28.3)</w:t>
            </w:r>
          </w:p>
        </w:tc>
        <w:tc>
          <w:tcPr>
            <w:tcW w:w="420" w:type="dxa"/>
            <w:vAlign w:val="bottom"/>
          </w:tcPr>
          <w:p>
            <w:pPr>
              <w:spacing w:after="0"/>
              <w:rPr>
                <w:sz w:val="17"/>
                <w:szCs w:val="17"/>
                <w:color w:val="auto"/>
              </w:rPr>
            </w:pPr>
          </w:p>
        </w:tc>
        <w:tc>
          <w:tcPr>
            <w:tcW w:w="780" w:type="dxa"/>
            <w:vAlign w:val="bottom"/>
          </w:tcPr>
          <w:p>
            <w:pPr>
              <w:jc w:val="right"/>
              <w:ind w:right="33"/>
              <w:spacing w:after="0" w:line="202" w:lineRule="exact"/>
              <w:rPr>
                <w:sz w:val="20"/>
                <w:szCs w:val="20"/>
                <w:color w:val="auto"/>
              </w:rPr>
            </w:pPr>
            <w:r>
              <w:rPr>
                <w:rFonts w:ascii="Arial" w:cs="Arial" w:eastAsia="Arial" w:hAnsi="Arial"/>
                <w:sz w:val="18"/>
                <w:szCs w:val="18"/>
                <w:color w:val="auto"/>
              </w:rPr>
              <w:t>27.3</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40" w:type="dxa"/>
            <w:vAlign w:val="bottom"/>
            <w:shd w:val="clear" w:color="auto" w:fill="E6E6E6"/>
          </w:tcPr>
          <w:p>
            <w:pPr>
              <w:ind w:left="460"/>
              <w:spacing w:after="0" w:line="202" w:lineRule="exact"/>
              <w:rPr>
                <w:sz w:val="20"/>
                <w:szCs w:val="20"/>
                <w:color w:val="auto"/>
              </w:rPr>
            </w:pPr>
            <w:r>
              <w:rPr>
                <w:rFonts w:ascii="Arial" w:cs="Arial" w:eastAsia="Arial" w:hAnsi="Arial"/>
                <w:sz w:val="18"/>
                <w:szCs w:val="18"/>
                <w:color w:val="auto"/>
              </w:rPr>
              <w:t>Accrued royalties</w:t>
            </w:r>
          </w:p>
        </w:tc>
        <w:tc>
          <w:tcPr>
            <w:tcW w:w="460" w:type="dxa"/>
            <w:vAlign w:val="bottom"/>
            <w:shd w:val="clear" w:color="auto" w:fill="E6E6E6"/>
          </w:tcPr>
          <w:p>
            <w:pPr>
              <w:spacing w:after="0"/>
              <w:rPr>
                <w:sz w:val="17"/>
                <w:szCs w:val="17"/>
                <w:color w:val="auto"/>
              </w:rPr>
            </w:pPr>
          </w:p>
        </w:tc>
        <w:tc>
          <w:tcPr>
            <w:tcW w:w="860" w:type="dxa"/>
            <w:vAlign w:val="bottom"/>
            <w:shd w:val="clear" w:color="auto" w:fill="E6E6E6"/>
          </w:tcPr>
          <w:p>
            <w:pPr>
              <w:jc w:val="right"/>
              <w:ind w:right="113"/>
              <w:spacing w:after="0" w:line="202" w:lineRule="exact"/>
              <w:rPr>
                <w:sz w:val="20"/>
                <w:szCs w:val="20"/>
                <w:color w:val="auto"/>
              </w:rPr>
            </w:pPr>
            <w:r>
              <w:rPr>
                <w:rFonts w:ascii="Arial" w:cs="Arial" w:eastAsia="Arial" w:hAnsi="Arial"/>
                <w:sz w:val="18"/>
                <w:szCs w:val="18"/>
                <w:color w:val="auto"/>
              </w:rPr>
              <w:t>0.4</w:t>
            </w:r>
          </w:p>
        </w:tc>
        <w:tc>
          <w:tcPr>
            <w:tcW w:w="380" w:type="dxa"/>
            <w:vAlign w:val="bottom"/>
            <w:shd w:val="clear" w:color="auto" w:fill="E6E6E6"/>
          </w:tcPr>
          <w:p>
            <w:pPr>
              <w:spacing w:after="0"/>
              <w:rPr>
                <w:sz w:val="17"/>
                <w:szCs w:val="17"/>
                <w:color w:val="auto"/>
              </w:rPr>
            </w:pPr>
          </w:p>
        </w:tc>
        <w:tc>
          <w:tcPr>
            <w:tcW w:w="860" w:type="dxa"/>
            <w:vAlign w:val="bottom"/>
            <w:shd w:val="clear" w:color="auto" w:fill="E6E6E6"/>
          </w:tcPr>
          <w:p>
            <w:pPr>
              <w:jc w:val="right"/>
              <w:ind w:right="53"/>
              <w:spacing w:after="0" w:line="202" w:lineRule="exact"/>
              <w:rPr>
                <w:sz w:val="20"/>
                <w:szCs w:val="20"/>
                <w:color w:val="auto"/>
              </w:rPr>
            </w:pPr>
            <w:r>
              <w:rPr>
                <w:rFonts w:ascii="Arial" w:cs="Arial" w:eastAsia="Arial" w:hAnsi="Arial"/>
                <w:sz w:val="18"/>
                <w:szCs w:val="18"/>
                <w:color w:val="auto"/>
              </w:rPr>
              <w:t>(2.5)</w:t>
            </w:r>
          </w:p>
        </w:tc>
        <w:tc>
          <w:tcPr>
            <w:tcW w:w="420" w:type="dxa"/>
            <w:vAlign w:val="bottom"/>
            <w:shd w:val="clear" w:color="auto" w:fill="E6E6E6"/>
          </w:tcPr>
          <w:p>
            <w:pPr>
              <w:spacing w:after="0"/>
              <w:rPr>
                <w:sz w:val="17"/>
                <w:szCs w:val="17"/>
                <w:color w:val="auto"/>
              </w:rPr>
            </w:pPr>
          </w:p>
        </w:tc>
        <w:tc>
          <w:tcPr>
            <w:tcW w:w="780" w:type="dxa"/>
            <w:vAlign w:val="bottom"/>
            <w:shd w:val="clear" w:color="auto" w:fill="E6E6E6"/>
          </w:tcPr>
          <w:p>
            <w:pPr>
              <w:jc w:val="right"/>
              <w:ind w:right="33"/>
              <w:spacing w:after="0" w:line="202" w:lineRule="exact"/>
              <w:rPr>
                <w:sz w:val="20"/>
                <w:szCs w:val="20"/>
                <w:color w:val="auto"/>
              </w:rPr>
            </w:pPr>
            <w:r>
              <w:rPr>
                <w:rFonts w:ascii="Arial" w:cs="Arial" w:eastAsia="Arial" w:hAnsi="Arial"/>
                <w:sz w:val="18"/>
                <w:szCs w:val="18"/>
                <w:color w:val="auto"/>
              </w:rPr>
              <w:t>11.1</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40" w:type="dxa"/>
            <w:vAlign w:val="bottom"/>
          </w:tcPr>
          <w:p>
            <w:pPr>
              <w:ind w:left="460"/>
              <w:spacing w:after="0" w:line="202" w:lineRule="exact"/>
              <w:rPr>
                <w:sz w:val="20"/>
                <w:szCs w:val="20"/>
                <w:color w:val="auto"/>
              </w:rPr>
            </w:pPr>
            <w:r>
              <w:rPr>
                <w:rFonts w:ascii="Arial" w:cs="Arial" w:eastAsia="Arial" w:hAnsi="Arial"/>
                <w:sz w:val="18"/>
                <w:szCs w:val="18"/>
                <w:color w:val="auto"/>
              </w:rPr>
              <w:t>Deferred revenue</w:t>
            </w:r>
          </w:p>
        </w:tc>
        <w:tc>
          <w:tcPr>
            <w:tcW w:w="460" w:type="dxa"/>
            <w:vAlign w:val="bottom"/>
          </w:tcPr>
          <w:p>
            <w:pPr>
              <w:spacing w:after="0"/>
              <w:rPr>
                <w:sz w:val="17"/>
                <w:szCs w:val="17"/>
                <w:color w:val="auto"/>
              </w:rPr>
            </w:pPr>
          </w:p>
        </w:tc>
        <w:tc>
          <w:tcPr>
            <w:tcW w:w="860" w:type="dxa"/>
            <w:vAlign w:val="bottom"/>
          </w:tcPr>
          <w:p>
            <w:pPr>
              <w:jc w:val="right"/>
              <w:ind w:right="113"/>
              <w:spacing w:after="0" w:line="202" w:lineRule="exact"/>
              <w:rPr>
                <w:sz w:val="20"/>
                <w:szCs w:val="20"/>
                <w:color w:val="auto"/>
              </w:rPr>
            </w:pPr>
            <w:r>
              <w:rPr>
                <w:rFonts w:ascii="Arial" w:cs="Arial" w:eastAsia="Arial" w:hAnsi="Arial"/>
                <w:sz w:val="18"/>
                <w:szCs w:val="18"/>
                <w:color w:val="auto"/>
              </w:rPr>
              <w:t>5.6</w:t>
            </w:r>
          </w:p>
        </w:tc>
        <w:tc>
          <w:tcPr>
            <w:tcW w:w="380" w:type="dxa"/>
            <w:vAlign w:val="bottom"/>
          </w:tcPr>
          <w:p>
            <w:pPr>
              <w:spacing w:after="0"/>
              <w:rPr>
                <w:sz w:val="17"/>
                <w:szCs w:val="17"/>
                <w:color w:val="auto"/>
              </w:rPr>
            </w:pPr>
          </w:p>
        </w:tc>
        <w:tc>
          <w:tcPr>
            <w:tcW w:w="860" w:type="dxa"/>
            <w:vAlign w:val="bottom"/>
          </w:tcPr>
          <w:p>
            <w:pPr>
              <w:jc w:val="right"/>
              <w:ind w:right="53"/>
              <w:spacing w:after="0" w:line="202" w:lineRule="exact"/>
              <w:rPr>
                <w:sz w:val="20"/>
                <w:szCs w:val="20"/>
                <w:color w:val="auto"/>
              </w:rPr>
            </w:pPr>
            <w:r>
              <w:rPr>
                <w:rFonts w:ascii="Arial" w:cs="Arial" w:eastAsia="Arial" w:hAnsi="Arial"/>
                <w:sz w:val="18"/>
                <w:szCs w:val="18"/>
                <w:color w:val="auto"/>
              </w:rPr>
              <w:t>(0.5)</w:t>
            </w:r>
          </w:p>
        </w:tc>
        <w:tc>
          <w:tcPr>
            <w:tcW w:w="420" w:type="dxa"/>
            <w:vAlign w:val="bottom"/>
          </w:tcPr>
          <w:p>
            <w:pPr>
              <w:spacing w:after="0"/>
              <w:rPr>
                <w:sz w:val="17"/>
                <w:szCs w:val="17"/>
                <w:color w:val="auto"/>
              </w:rPr>
            </w:pPr>
          </w:p>
        </w:tc>
        <w:tc>
          <w:tcPr>
            <w:tcW w:w="780" w:type="dxa"/>
            <w:vAlign w:val="bottom"/>
          </w:tcPr>
          <w:p>
            <w:pPr>
              <w:jc w:val="right"/>
              <w:ind w:right="33"/>
              <w:spacing w:after="0" w:line="202" w:lineRule="exact"/>
              <w:rPr>
                <w:sz w:val="20"/>
                <w:szCs w:val="20"/>
                <w:color w:val="auto"/>
              </w:rPr>
            </w:pPr>
            <w:r>
              <w:rPr>
                <w:rFonts w:ascii="Arial" w:cs="Arial" w:eastAsia="Arial" w:hAnsi="Arial"/>
                <w:sz w:val="18"/>
                <w:szCs w:val="18"/>
                <w:color w:val="auto"/>
              </w:rPr>
              <w:t>12.5</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40" w:type="dxa"/>
            <w:vAlign w:val="bottom"/>
            <w:shd w:val="clear" w:color="auto" w:fill="E6E6E6"/>
          </w:tcPr>
          <w:p>
            <w:pPr>
              <w:ind w:left="460"/>
              <w:spacing w:after="0" w:line="202" w:lineRule="exact"/>
              <w:rPr>
                <w:sz w:val="20"/>
                <w:szCs w:val="20"/>
                <w:color w:val="auto"/>
              </w:rPr>
            </w:pPr>
            <w:r>
              <w:rPr>
                <w:rFonts w:ascii="Arial" w:cs="Arial" w:eastAsia="Arial" w:hAnsi="Arial"/>
                <w:sz w:val="18"/>
                <w:szCs w:val="18"/>
                <w:color w:val="auto"/>
              </w:rPr>
              <w:t>Pension and post-retirement liabilities</w:t>
            </w:r>
          </w:p>
        </w:tc>
        <w:tc>
          <w:tcPr>
            <w:tcW w:w="460" w:type="dxa"/>
            <w:vAlign w:val="bottom"/>
            <w:shd w:val="clear" w:color="auto" w:fill="E6E6E6"/>
          </w:tcPr>
          <w:p>
            <w:pPr>
              <w:spacing w:after="0"/>
              <w:rPr>
                <w:sz w:val="17"/>
                <w:szCs w:val="17"/>
                <w:color w:val="auto"/>
              </w:rPr>
            </w:pPr>
          </w:p>
        </w:tc>
        <w:tc>
          <w:tcPr>
            <w:tcW w:w="860" w:type="dxa"/>
            <w:vAlign w:val="bottom"/>
            <w:shd w:val="clear" w:color="auto" w:fill="E6E6E6"/>
          </w:tcPr>
          <w:p>
            <w:pPr>
              <w:jc w:val="right"/>
              <w:ind w:right="53"/>
              <w:spacing w:after="0" w:line="202" w:lineRule="exact"/>
              <w:rPr>
                <w:sz w:val="20"/>
                <w:szCs w:val="20"/>
                <w:color w:val="auto"/>
              </w:rPr>
            </w:pPr>
            <w:r>
              <w:rPr>
                <w:rFonts w:ascii="Arial" w:cs="Arial" w:eastAsia="Arial" w:hAnsi="Arial"/>
                <w:sz w:val="18"/>
                <w:szCs w:val="18"/>
                <w:color w:val="auto"/>
              </w:rPr>
              <w:t>(3.6)</w:t>
            </w:r>
          </w:p>
        </w:tc>
        <w:tc>
          <w:tcPr>
            <w:tcW w:w="380" w:type="dxa"/>
            <w:vAlign w:val="bottom"/>
            <w:shd w:val="clear" w:color="auto" w:fill="E6E6E6"/>
          </w:tcPr>
          <w:p>
            <w:pPr>
              <w:spacing w:after="0"/>
              <w:rPr>
                <w:sz w:val="17"/>
                <w:szCs w:val="17"/>
                <w:color w:val="auto"/>
              </w:rPr>
            </w:pPr>
          </w:p>
        </w:tc>
        <w:tc>
          <w:tcPr>
            <w:tcW w:w="860" w:type="dxa"/>
            <w:vAlign w:val="bottom"/>
            <w:shd w:val="clear" w:color="auto" w:fill="E6E6E6"/>
          </w:tcPr>
          <w:p>
            <w:pPr>
              <w:jc w:val="right"/>
              <w:ind w:right="53"/>
              <w:spacing w:after="0" w:line="202" w:lineRule="exact"/>
              <w:rPr>
                <w:sz w:val="20"/>
                <w:szCs w:val="20"/>
                <w:color w:val="auto"/>
              </w:rPr>
            </w:pPr>
            <w:r>
              <w:rPr>
                <w:rFonts w:ascii="Arial" w:cs="Arial" w:eastAsia="Arial" w:hAnsi="Arial"/>
                <w:sz w:val="18"/>
                <w:szCs w:val="18"/>
                <w:color w:val="auto"/>
              </w:rPr>
              <w:t>(4.4)</w:t>
            </w:r>
          </w:p>
        </w:tc>
        <w:tc>
          <w:tcPr>
            <w:tcW w:w="420" w:type="dxa"/>
            <w:vAlign w:val="bottom"/>
            <w:shd w:val="clear" w:color="auto" w:fill="E6E6E6"/>
          </w:tcPr>
          <w:p>
            <w:pPr>
              <w:spacing w:after="0"/>
              <w:rPr>
                <w:sz w:val="17"/>
                <w:szCs w:val="17"/>
                <w:color w:val="auto"/>
              </w:rPr>
            </w:pPr>
          </w:p>
        </w:tc>
        <w:tc>
          <w:tcPr>
            <w:tcW w:w="78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(7.3)</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640" w:type="dxa"/>
            <w:vAlign w:val="bottom"/>
          </w:tcPr>
          <w:p>
            <w:pPr>
              <w:ind w:left="460"/>
              <w:spacing w:after="0"/>
              <w:rPr>
                <w:sz w:val="20"/>
                <w:szCs w:val="20"/>
                <w:color w:val="auto"/>
              </w:rPr>
            </w:pPr>
            <w:r>
              <w:rPr>
                <w:rFonts w:ascii="Arial" w:cs="Arial" w:eastAsia="Arial" w:hAnsi="Arial"/>
                <w:sz w:val="18"/>
                <w:szCs w:val="18"/>
                <w:color w:val="auto"/>
              </w:rPr>
              <w:t>Other, net</w:t>
            </w:r>
          </w:p>
        </w:tc>
        <w:tc>
          <w:tcPr>
            <w:tcW w:w="460" w:type="dxa"/>
            <w:vAlign w:val="bottom"/>
          </w:tcPr>
          <w:p>
            <w:pPr>
              <w:spacing w:after="0"/>
              <w:rPr>
                <w:sz w:val="18"/>
                <w:szCs w:val="18"/>
                <w:color w:val="auto"/>
              </w:rPr>
            </w:pPr>
          </w:p>
        </w:tc>
        <w:tc>
          <w:tcPr>
            <w:tcW w:w="860" w:type="dxa"/>
            <w:vAlign w:val="bottom"/>
          </w:tcPr>
          <w:p>
            <w:pPr>
              <w:jc w:val="right"/>
              <w:ind w:right="53"/>
              <w:spacing w:after="0"/>
              <w:rPr>
                <w:sz w:val="20"/>
                <w:szCs w:val="20"/>
                <w:color w:val="auto"/>
              </w:rPr>
            </w:pPr>
            <w:r>
              <w:rPr>
                <w:rFonts w:ascii="Arial" w:cs="Arial" w:eastAsia="Arial" w:hAnsi="Arial"/>
                <w:sz w:val="18"/>
                <w:szCs w:val="18"/>
                <w:color w:val="auto"/>
              </w:rPr>
              <w:t>(1.8)</w:t>
            </w:r>
          </w:p>
        </w:tc>
        <w:tc>
          <w:tcPr>
            <w:tcW w:w="380" w:type="dxa"/>
            <w:vAlign w:val="bottom"/>
          </w:tcPr>
          <w:p>
            <w:pPr>
              <w:spacing w:after="0"/>
              <w:rPr>
                <w:sz w:val="18"/>
                <w:szCs w:val="18"/>
                <w:color w:val="auto"/>
              </w:rPr>
            </w:pPr>
          </w:p>
        </w:tc>
        <w:tc>
          <w:tcPr>
            <w:tcW w:w="860" w:type="dxa"/>
            <w:vAlign w:val="bottom"/>
          </w:tcPr>
          <w:p>
            <w:pPr>
              <w:jc w:val="right"/>
              <w:ind w:right="113"/>
              <w:spacing w:after="0"/>
              <w:rPr>
                <w:sz w:val="20"/>
                <w:szCs w:val="20"/>
                <w:color w:val="auto"/>
              </w:rPr>
            </w:pPr>
            <w:r>
              <w:rPr>
                <w:rFonts w:ascii="Arial" w:cs="Arial" w:eastAsia="Arial" w:hAnsi="Arial"/>
                <w:sz w:val="18"/>
                <w:szCs w:val="18"/>
                <w:color w:val="auto"/>
              </w:rPr>
              <w:t>1.9</w:t>
            </w:r>
          </w:p>
        </w:tc>
        <w:tc>
          <w:tcPr>
            <w:tcW w:w="420" w:type="dxa"/>
            <w:vAlign w:val="bottom"/>
          </w:tcPr>
          <w:p>
            <w:pPr>
              <w:spacing w:after="0"/>
              <w:rPr>
                <w:sz w:val="18"/>
                <w:szCs w:val="18"/>
                <w:color w:val="auto"/>
              </w:rPr>
            </w:pPr>
          </w:p>
        </w:tc>
        <w:tc>
          <w:tcPr>
            <w:tcW w:w="780" w:type="dxa"/>
            <w:vAlign w:val="bottom"/>
          </w:tcPr>
          <w:p>
            <w:pPr>
              <w:jc w:val="right"/>
              <w:ind w:right="33"/>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764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640" w:type="dxa"/>
            <w:vAlign w:val="bottom"/>
          </w:tcPr>
          <w:p>
            <w:pPr>
              <w:spacing w:after="0"/>
              <w:rPr>
                <w:sz w:val="8"/>
                <w:szCs w:val="8"/>
                <w:color w:val="auto"/>
              </w:rPr>
            </w:pPr>
          </w:p>
        </w:tc>
        <w:tc>
          <w:tcPr>
            <w:tcW w:w="460" w:type="dxa"/>
            <w:vAlign w:val="bottom"/>
          </w:tcPr>
          <w:p>
            <w:pPr>
              <w:spacing w:after="0"/>
              <w:rPr>
                <w:sz w:val="8"/>
                <w:szCs w:val="8"/>
                <w:color w:val="auto"/>
              </w:rPr>
            </w:pPr>
          </w:p>
        </w:tc>
        <w:tc>
          <w:tcPr>
            <w:tcW w:w="860" w:type="dxa"/>
            <w:vAlign w:val="bottom"/>
          </w:tcPr>
          <w:p>
            <w:pPr>
              <w:spacing w:after="0"/>
              <w:rPr>
                <w:sz w:val="8"/>
                <w:szCs w:val="8"/>
                <w:color w:val="auto"/>
              </w:rPr>
            </w:pPr>
          </w:p>
        </w:tc>
        <w:tc>
          <w:tcPr>
            <w:tcW w:w="380" w:type="dxa"/>
            <w:vAlign w:val="bottom"/>
          </w:tcPr>
          <w:p>
            <w:pPr>
              <w:spacing w:after="0"/>
              <w:rPr>
                <w:sz w:val="8"/>
                <w:szCs w:val="8"/>
                <w:color w:val="auto"/>
              </w:rPr>
            </w:pPr>
          </w:p>
        </w:tc>
        <w:tc>
          <w:tcPr>
            <w:tcW w:w="8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40" w:type="dxa"/>
            <w:vAlign w:val="bottom"/>
            <w:shd w:val="clear" w:color="auto" w:fill="E6E6E6"/>
          </w:tcPr>
          <w:p>
            <w:pPr>
              <w:ind w:left="140"/>
              <w:spacing w:after="0" w:line="202" w:lineRule="exact"/>
              <w:rPr>
                <w:sz w:val="20"/>
                <w:szCs w:val="20"/>
                <w:color w:val="auto"/>
              </w:rPr>
            </w:pPr>
            <w:r>
              <w:rPr>
                <w:rFonts w:ascii="Arial" w:cs="Arial" w:eastAsia="Arial" w:hAnsi="Arial"/>
                <w:sz w:val="18"/>
                <w:szCs w:val="18"/>
                <w:color w:val="auto"/>
              </w:rPr>
              <w:t>Total adjustments</w:t>
            </w:r>
          </w:p>
        </w:tc>
        <w:tc>
          <w:tcPr>
            <w:tcW w:w="460" w:type="dxa"/>
            <w:vAlign w:val="bottom"/>
            <w:shd w:val="clear" w:color="auto" w:fill="E6E6E6"/>
          </w:tcPr>
          <w:p>
            <w:pPr>
              <w:spacing w:after="0"/>
              <w:rPr>
                <w:sz w:val="17"/>
                <w:szCs w:val="17"/>
                <w:color w:val="auto"/>
              </w:rPr>
            </w:pPr>
          </w:p>
        </w:tc>
        <w:tc>
          <w:tcPr>
            <w:tcW w:w="860" w:type="dxa"/>
            <w:vAlign w:val="bottom"/>
            <w:shd w:val="clear" w:color="auto" w:fill="E6E6E6"/>
          </w:tcPr>
          <w:p>
            <w:pPr>
              <w:jc w:val="right"/>
              <w:ind w:right="113"/>
              <w:spacing w:after="0" w:line="202" w:lineRule="exact"/>
              <w:rPr>
                <w:sz w:val="20"/>
                <w:szCs w:val="20"/>
                <w:color w:val="auto"/>
              </w:rPr>
            </w:pPr>
            <w:r>
              <w:rPr>
                <w:rFonts w:ascii="Arial" w:cs="Arial" w:eastAsia="Arial" w:hAnsi="Arial"/>
                <w:sz w:val="18"/>
                <w:szCs w:val="18"/>
                <w:color w:val="auto"/>
              </w:rPr>
              <w:t>214.9</w:t>
            </w:r>
          </w:p>
        </w:tc>
        <w:tc>
          <w:tcPr>
            <w:tcW w:w="380" w:type="dxa"/>
            <w:vAlign w:val="bottom"/>
            <w:shd w:val="clear" w:color="auto" w:fill="E6E6E6"/>
          </w:tcPr>
          <w:p>
            <w:pPr>
              <w:spacing w:after="0"/>
              <w:rPr>
                <w:sz w:val="17"/>
                <w:szCs w:val="17"/>
                <w:color w:val="auto"/>
              </w:rPr>
            </w:pPr>
          </w:p>
        </w:tc>
        <w:tc>
          <w:tcPr>
            <w:tcW w:w="860" w:type="dxa"/>
            <w:vAlign w:val="bottom"/>
            <w:shd w:val="clear" w:color="auto" w:fill="E6E6E6"/>
          </w:tcPr>
          <w:p>
            <w:pPr>
              <w:jc w:val="right"/>
              <w:ind w:right="113"/>
              <w:spacing w:after="0" w:line="202" w:lineRule="exact"/>
              <w:rPr>
                <w:sz w:val="20"/>
                <w:szCs w:val="20"/>
                <w:color w:val="auto"/>
              </w:rPr>
            </w:pPr>
            <w:r>
              <w:rPr>
                <w:rFonts w:ascii="Arial" w:cs="Arial" w:eastAsia="Arial" w:hAnsi="Arial"/>
                <w:sz w:val="18"/>
                <w:szCs w:val="18"/>
                <w:color w:val="auto"/>
              </w:rPr>
              <w:t>192.4</w:t>
            </w:r>
          </w:p>
        </w:tc>
        <w:tc>
          <w:tcPr>
            <w:tcW w:w="420" w:type="dxa"/>
            <w:vAlign w:val="bottom"/>
            <w:shd w:val="clear" w:color="auto" w:fill="E6E6E6"/>
          </w:tcPr>
          <w:p>
            <w:pPr>
              <w:spacing w:after="0"/>
              <w:rPr>
                <w:sz w:val="17"/>
                <w:szCs w:val="17"/>
                <w:color w:val="auto"/>
              </w:rPr>
            </w:pPr>
          </w:p>
        </w:tc>
        <w:tc>
          <w:tcPr>
            <w:tcW w:w="780" w:type="dxa"/>
            <w:vAlign w:val="bottom"/>
            <w:shd w:val="clear" w:color="auto" w:fill="E6E6E6"/>
          </w:tcPr>
          <w:p>
            <w:pPr>
              <w:jc w:val="right"/>
              <w:ind w:right="33"/>
              <w:spacing w:after="0" w:line="202" w:lineRule="exact"/>
              <w:rPr>
                <w:sz w:val="20"/>
                <w:szCs w:val="20"/>
                <w:color w:val="auto"/>
              </w:rPr>
            </w:pPr>
            <w:r>
              <w:rPr>
                <w:rFonts w:ascii="Arial" w:cs="Arial" w:eastAsia="Arial" w:hAnsi="Arial"/>
                <w:sz w:val="18"/>
                <w:szCs w:val="18"/>
                <w:color w:val="auto"/>
              </w:rPr>
              <w:t>198.0</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64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7640" w:type="dxa"/>
            <w:vAlign w:val="bottom"/>
          </w:tcPr>
          <w:p>
            <w:pPr>
              <w:ind w:left="140"/>
              <w:spacing w:after="0"/>
              <w:rPr>
                <w:sz w:val="20"/>
                <w:szCs w:val="20"/>
                <w:color w:val="auto"/>
              </w:rPr>
            </w:pPr>
            <w:r>
              <w:rPr>
                <w:rFonts w:ascii="Arial" w:cs="Arial" w:eastAsia="Arial" w:hAnsi="Arial"/>
                <w:sz w:val="18"/>
                <w:szCs w:val="18"/>
                <w:color w:val="auto"/>
              </w:rPr>
              <w:t>Net cash provided by operating activities of continuing operations</w:t>
            </w:r>
          </w:p>
        </w:tc>
        <w:tc>
          <w:tcPr>
            <w:tcW w:w="460" w:type="dxa"/>
            <w:vAlign w:val="bottom"/>
          </w:tcPr>
          <w:p>
            <w:pPr>
              <w:spacing w:after="0"/>
              <w:rPr>
                <w:sz w:val="24"/>
                <w:szCs w:val="24"/>
                <w:color w:val="auto"/>
              </w:rPr>
            </w:pPr>
          </w:p>
        </w:tc>
        <w:tc>
          <w:tcPr>
            <w:tcW w:w="860" w:type="dxa"/>
            <w:vAlign w:val="bottom"/>
          </w:tcPr>
          <w:p>
            <w:pPr>
              <w:jc w:val="right"/>
              <w:ind w:right="113"/>
              <w:spacing w:after="0"/>
              <w:rPr>
                <w:sz w:val="20"/>
                <w:szCs w:val="20"/>
                <w:color w:val="auto"/>
              </w:rPr>
            </w:pPr>
            <w:r>
              <w:rPr>
                <w:rFonts w:ascii="Arial" w:cs="Arial" w:eastAsia="Arial" w:hAnsi="Arial"/>
                <w:sz w:val="18"/>
                <w:szCs w:val="18"/>
                <w:color w:val="auto"/>
              </w:rPr>
              <w:t>273.6</w:t>
            </w:r>
          </w:p>
        </w:tc>
        <w:tc>
          <w:tcPr>
            <w:tcW w:w="380" w:type="dxa"/>
            <w:vAlign w:val="bottom"/>
          </w:tcPr>
          <w:p>
            <w:pPr>
              <w:spacing w:after="0"/>
              <w:rPr>
                <w:sz w:val="24"/>
                <w:szCs w:val="24"/>
                <w:color w:val="auto"/>
              </w:rPr>
            </w:pPr>
          </w:p>
        </w:tc>
        <w:tc>
          <w:tcPr>
            <w:tcW w:w="860" w:type="dxa"/>
            <w:vAlign w:val="bottom"/>
          </w:tcPr>
          <w:p>
            <w:pPr>
              <w:jc w:val="right"/>
              <w:ind w:right="113"/>
              <w:spacing w:after="0"/>
              <w:rPr>
                <w:sz w:val="20"/>
                <w:szCs w:val="20"/>
                <w:color w:val="auto"/>
              </w:rPr>
            </w:pPr>
            <w:r>
              <w:rPr>
                <w:rFonts w:ascii="Arial" w:cs="Arial" w:eastAsia="Arial" w:hAnsi="Arial"/>
                <w:sz w:val="18"/>
                <w:szCs w:val="18"/>
                <w:color w:val="auto"/>
              </w:rPr>
              <w:t>205.6</w:t>
            </w:r>
          </w:p>
        </w:tc>
        <w:tc>
          <w:tcPr>
            <w:tcW w:w="420" w:type="dxa"/>
            <w:vAlign w:val="bottom"/>
          </w:tcPr>
          <w:p>
            <w:pPr>
              <w:spacing w:after="0"/>
              <w:rPr>
                <w:sz w:val="24"/>
                <w:szCs w:val="24"/>
                <w:color w:val="auto"/>
              </w:rPr>
            </w:pPr>
          </w:p>
        </w:tc>
        <w:tc>
          <w:tcPr>
            <w:tcW w:w="780" w:type="dxa"/>
            <w:vAlign w:val="bottom"/>
          </w:tcPr>
          <w:p>
            <w:pPr>
              <w:jc w:val="right"/>
              <w:ind w:right="33"/>
              <w:spacing w:after="0"/>
              <w:rPr>
                <w:sz w:val="20"/>
                <w:szCs w:val="20"/>
                <w:color w:val="auto"/>
              </w:rPr>
            </w:pPr>
            <w:r>
              <w:rPr>
                <w:rFonts w:ascii="Arial" w:cs="Arial" w:eastAsia="Arial" w:hAnsi="Arial"/>
                <w:sz w:val="18"/>
                <w:szCs w:val="18"/>
                <w:color w:val="auto"/>
              </w:rPr>
              <w:t>315.3</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40" w:type="dxa"/>
            <w:vAlign w:val="bottom"/>
            <w:shd w:val="clear" w:color="auto" w:fill="E6E6E6"/>
          </w:tcPr>
          <w:p>
            <w:pPr>
              <w:ind w:left="140"/>
              <w:spacing w:after="0" w:line="202" w:lineRule="exact"/>
              <w:rPr>
                <w:sz w:val="20"/>
                <w:szCs w:val="20"/>
                <w:color w:val="auto"/>
              </w:rPr>
            </w:pPr>
            <w:r>
              <w:rPr>
                <w:rFonts w:ascii="Arial" w:cs="Arial" w:eastAsia="Arial" w:hAnsi="Arial"/>
                <w:sz w:val="18"/>
                <w:szCs w:val="18"/>
                <w:color w:val="auto"/>
              </w:rPr>
              <w:t>Net cash provided by (used in) operating activities of discontinued operations</w:t>
            </w:r>
          </w:p>
        </w:tc>
        <w:tc>
          <w:tcPr>
            <w:tcW w:w="460" w:type="dxa"/>
            <w:vAlign w:val="bottom"/>
            <w:shd w:val="clear" w:color="auto" w:fill="E6E6E6"/>
          </w:tcPr>
          <w:p>
            <w:pPr>
              <w:spacing w:after="0"/>
              <w:rPr>
                <w:sz w:val="17"/>
                <w:szCs w:val="17"/>
                <w:color w:val="auto"/>
              </w:rPr>
            </w:pPr>
          </w:p>
        </w:tc>
        <w:tc>
          <w:tcPr>
            <w:tcW w:w="860" w:type="dxa"/>
            <w:vAlign w:val="bottom"/>
            <w:shd w:val="clear" w:color="auto" w:fill="E6E6E6"/>
          </w:tcPr>
          <w:p>
            <w:pPr>
              <w:jc w:val="right"/>
              <w:ind w:right="113"/>
              <w:spacing w:after="0" w:line="202" w:lineRule="exact"/>
              <w:rPr>
                <w:sz w:val="20"/>
                <w:szCs w:val="20"/>
                <w:color w:val="auto"/>
              </w:rPr>
            </w:pPr>
            <w:r>
              <w:rPr>
                <w:rFonts w:ascii="Arial" w:cs="Arial" w:eastAsia="Arial" w:hAnsi="Arial"/>
                <w:sz w:val="18"/>
                <w:szCs w:val="18"/>
                <w:color w:val="auto"/>
              </w:rPr>
              <w:t>2.2</w:t>
            </w:r>
          </w:p>
        </w:tc>
        <w:tc>
          <w:tcPr>
            <w:tcW w:w="380" w:type="dxa"/>
            <w:vAlign w:val="bottom"/>
            <w:shd w:val="clear" w:color="auto" w:fill="E6E6E6"/>
          </w:tcPr>
          <w:p>
            <w:pPr>
              <w:spacing w:after="0"/>
              <w:rPr>
                <w:sz w:val="17"/>
                <w:szCs w:val="17"/>
                <w:color w:val="auto"/>
              </w:rPr>
            </w:pPr>
          </w:p>
        </w:tc>
        <w:tc>
          <w:tcPr>
            <w:tcW w:w="860" w:type="dxa"/>
            <w:vAlign w:val="bottom"/>
            <w:shd w:val="clear" w:color="auto" w:fill="E6E6E6"/>
          </w:tcPr>
          <w:p>
            <w:pPr>
              <w:jc w:val="right"/>
              <w:ind w:right="53"/>
              <w:spacing w:after="0" w:line="202" w:lineRule="exact"/>
              <w:rPr>
                <w:sz w:val="20"/>
                <w:szCs w:val="20"/>
                <w:color w:val="auto"/>
              </w:rPr>
            </w:pPr>
            <w:r>
              <w:rPr>
                <w:rFonts w:ascii="Arial" w:cs="Arial" w:eastAsia="Arial" w:hAnsi="Arial"/>
                <w:sz w:val="18"/>
                <w:szCs w:val="18"/>
                <w:color w:val="auto"/>
              </w:rPr>
              <w:t>(17.0)</w:t>
            </w:r>
          </w:p>
        </w:tc>
        <w:tc>
          <w:tcPr>
            <w:tcW w:w="420" w:type="dxa"/>
            <w:vAlign w:val="bottom"/>
            <w:shd w:val="clear" w:color="auto" w:fill="E6E6E6"/>
          </w:tcPr>
          <w:p>
            <w:pPr>
              <w:spacing w:after="0"/>
              <w:rPr>
                <w:sz w:val="17"/>
                <w:szCs w:val="17"/>
                <w:color w:val="auto"/>
              </w:rPr>
            </w:pPr>
          </w:p>
        </w:tc>
        <w:tc>
          <w:tcPr>
            <w:tcW w:w="78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(8.8)</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64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7640" w:type="dxa"/>
            <w:vAlign w:val="bottom"/>
          </w:tcPr>
          <w:p>
            <w:pPr>
              <w:ind w:left="140"/>
              <w:spacing w:after="0"/>
              <w:rPr>
                <w:sz w:val="20"/>
                <w:szCs w:val="20"/>
                <w:color w:val="auto"/>
              </w:rPr>
            </w:pPr>
            <w:r>
              <w:rPr>
                <w:rFonts w:ascii="Arial" w:cs="Arial" w:eastAsia="Arial" w:hAnsi="Arial"/>
                <w:sz w:val="18"/>
                <w:szCs w:val="18"/>
                <w:color w:val="auto"/>
              </w:rPr>
              <w:t>Net cash provided by operating activities</w:t>
            </w:r>
          </w:p>
        </w:tc>
        <w:tc>
          <w:tcPr>
            <w:tcW w:w="460" w:type="dxa"/>
            <w:vAlign w:val="bottom"/>
          </w:tcPr>
          <w:p>
            <w:pPr>
              <w:spacing w:after="0"/>
              <w:rPr>
                <w:sz w:val="24"/>
                <w:szCs w:val="24"/>
                <w:color w:val="auto"/>
              </w:rPr>
            </w:pPr>
          </w:p>
        </w:tc>
        <w:tc>
          <w:tcPr>
            <w:tcW w:w="860" w:type="dxa"/>
            <w:vAlign w:val="bottom"/>
          </w:tcPr>
          <w:p>
            <w:pPr>
              <w:jc w:val="right"/>
              <w:ind w:right="113"/>
              <w:spacing w:after="0"/>
              <w:rPr>
                <w:sz w:val="20"/>
                <w:szCs w:val="20"/>
                <w:color w:val="auto"/>
              </w:rPr>
            </w:pPr>
            <w:r>
              <w:rPr>
                <w:rFonts w:ascii="Arial" w:cs="Arial" w:eastAsia="Arial" w:hAnsi="Arial"/>
                <w:sz w:val="18"/>
                <w:szCs w:val="18"/>
                <w:color w:val="auto"/>
              </w:rPr>
              <w:t>275.8</w:t>
            </w:r>
          </w:p>
        </w:tc>
        <w:tc>
          <w:tcPr>
            <w:tcW w:w="380" w:type="dxa"/>
            <w:vAlign w:val="bottom"/>
          </w:tcPr>
          <w:p>
            <w:pPr>
              <w:spacing w:after="0"/>
              <w:rPr>
                <w:sz w:val="24"/>
                <w:szCs w:val="24"/>
                <w:color w:val="auto"/>
              </w:rPr>
            </w:pPr>
          </w:p>
        </w:tc>
        <w:tc>
          <w:tcPr>
            <w:tcW w:w="860" w:type="dxa"/>
            <w:vAlign w:val="bottom"/>
          </w:tcPr>
          <w:p>
            <w:pPr>
              <w:jc w:val="right"/>
              <w:ind w:right="113"/>
              <w:spacing w:after="0"/>
              <w:rPr>
                <w:sz w:val="20"/>
                <w:szCs w:val="20"/>
                <w:color w:val="auto"/>
              </w:rPr>
            </w:pPr>
            <w:r>
              <w:rPr>
                <w:rFonts w:ascii="Arial" w:cs="Arial" w:eastAsia="Arial" w:hAnsi="Arial"/>
                <w:sz w:val="18"/>
                <w:szCs w:val="18"/>
                <w:color w:val="auto"/>
              </w:rPr>
              <w:t>188.6</w:t>
            </w:r>
          </w:p>
        </w:tc>
        <w:tc>
          <w:tcPr>
            <w:tcW w:w="420" w:type="dxa"/>
            <w:vAlign w:val="bottom"/>
          </w:tcPr>
          <w:p>
            <w:pPr>
              <w:spacing w:after="0"/>
              <w:rPr>
                <w:sz w:val="24"/>
                <w:szCs w:val="24"/>
                <w:color w:val="auto"/>
              </w:rPr>
            </w:pPr>
          </w:p>
        </w:tc>
        <w:tc>
          <w:tcPr>
            <w:tcW w:w="780" w:type="dxa"/>
            <w:vAlign w:val="bottom"/>
          </w:tcPr>
          <w:p>
            <w:pPr>
              <w:jc w:val="right"/>
              <w:ind w:right="33"/>
              <w:spacing w:after="0"/>
              <w:rPr>
                <w:sz w:val="20"/>
                <w:szCs w:val="20"/>
                <w:color w:val="auto"/>
              </w:rPr>
            </w:pPr>
            <w:r>
              <w:rPr>
                <w:rFonts w:ascii="Arial" w:cs="Arial" w:eastAsia="Arial" w:hAnsi="Arial"/>
                <w:sz w:val="18"/>
                <w:szCs w:val="18"/>
                <w:color w:val="auto"/>
              </w:rPr>
              <w:t>306.5</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40" w:type="dxa"/>
            <w:vAlign w:val="bottom"/>
            <w:shd w:val="clear" w:color="auto" w:fill="E6E6E6"/>
          </w:tcPr>
          <w:p>
            <w:pPr>
              <w:spacing w:after="0" w:line="202" w:lineRule="exact"/>
              <w:rPr>
                <w:sz w:val="20"/>
                <w:szCs w:val="20"/>
                <w:color w:val="auto"/>
              </w:rPr>
            </w:pPr>
            <w:r>
              <w:rPr>
                <w:rFonts w:ascii="Arial" w:cs="Arial" w:eastAsia="Arial" w:hAnsi="Arial"/>
                <w:sz w:val="18"/>
                <w:szCs w:val="18"/>
                <w:b w:val="1"/>
                <w:bCs w:val="1"/>
                <w:color w:val="auto"/>
              </w:rPr>
              <w:t>Cash flows used in investing activities:</w:t>
            </w:r>
          </w:p>
        </w:tc>
        <w:tc>
          <w:tcPr>
            <w:tcW w:w="460" w:type="dxa"/>
            <w:vAlign w:val="bottom"/>
            <w:shd w:val="clear" w:color="auto" w:fill="E6E6E6"/>
          </w:tcPr>
          <w:p>
            <w:pPr>
              <w:spacing w:after="0"/>
              <w:rPr>
                <w:sz w:val="17"/>
                <w:szCs w:val="17"/>
                <w:color w:val="auto"/>
              </w:rPr>
            </w:pPr>
          </w:p>
        </w:tc>
        <w:tc>
          <w:tcPr>
            <w:tcW w:w="860" w:type="dxa"/>
            <w:vAlign w:val="bottom"/>
            <w:shd w:val="clear" w:color="auto" w:fill="E6E6E6"/>
          </w:tcPr>
          <w:p>
            <w:pPr>
              <w:spacing w:after="0"/>
              <w:rPr>
                <w:sz w:val="17"/>
                <w:szCs w:val="17"/>
                <w:color w:val="auto"/>
              </w:rPr>
            </w:pPr>
          </w:p>
        </w:tc>
        <w:tc>
          <w:tcPr>
            <w:tcW w:w="380" w:type="dxa"/>
            <w:vAlign w:val="bottom"/>
            <w:shd w:val="clear" w:color="auto" w:fill="E6E6E6"/>
          </w:tcPr>
          <w:p>
            <w:pPr>
              <w:spacing w:after="0"/>
              <w:rPr>
                <w:sz w:val="17"/>
                <w:szCs w:val="17"/>
                <w:color w:val="auto"/>
              </w:rPr>
            </w:pPr>
          </w:p>
        </w:tc>
        <w:tc>
          <w:tcPr>
            <w:tcW w:w="860" w:type="dxa"/>
            <w:vAlign w:val="bottom"/>
            <w:shd w:val="clear" w:color="auto" w:fill="E6E6E6"/>
          </w:tcPr>
          <w:p>
            <w:pPr>
              <w:spacing w:after="0"/>
              <w:rPr>
                <w:sz w:val="17"/>
                <w:szCs w:val="17"/>
                <w:color w:val="auto"/>
              </w:rPr>
            </w:pPr>
          </w:p>
        </w:tc>
        <w:tc>
          <w:tcPr>
            <w:tcW w:w="420" w:type="dxa"/>
            <w:vAlign w:val="bottom"/>
            <w:shd w:val="clear" w:color="auto" w:fill="E6E6E6"/>
          </w:tcPr>
          <w:p>
            <w:pPr>
              <w:spacing w:after="0"/>
              <w:rPr>
                <w:sz w:val="17"/>
                <w:szCs w:val="17"/>
                <w:color w:val="auto"/>
              </w:rPr>
            </w:pPr>
          </w:p>
        </w:tc>
        <w:tc>
          <w:tcPr>
            <w:tcW w:w="780" w:type="dxa"/>
            <w:vAlign w:val="bottom"/>
            <w:shd w:val="clear" w:color="auto" w:fill="E6E6E6"/>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40" w:type="dxa"/>
            <w:vAlign w:val="bottom"/>
          </w:tcPr>
          <w:p>
            <w:pPr>
              <w:ind w:left="140"/>
              <w:spacing w:after="0" w:line="202" w:lineRule="exact"/>
              <w:rPr>
                <w:sz w:val="20"/>
                <w:szCs w:val="20"/>
                <w:color w:val="auto"/>
              </w:rPr>
            </w:pPr>
            <w:r>
              <w:rPr>
                <w:rFonts w:ascii="Arial" w:cs="Arial" w:eastAsia="Arial" w:hAnsi="Arial"/>
                <w:sz w:val="18"/>
                <w:szCs w:val="18"/>
                <w:color w:val="auto"/>
              </w:rPr>
              <w:t>Prepublication and production expenditures</w:t>
            </w:r>
          </w:p>
        </w:tc>
        <w:tc>
          <w:tcPr>
            <w:tcW w:w="460" w:type="dxa"/>
            <w:vAlign w:val="bottom"/>
          </w:tcPr>
          <w:p>
            <w:pPr>
              <w:spacing w:after="0"/>
              <w:rPr>
                <w:sz w:val="17"/>
                <w:szCs w:val="17"/>
                <w:color w:val="auto"/>
              </w:rPr>
            </w:pPr>
          </w:p>
        </w:tc>
        <w:tc>
          <w:tcPr>
            <w:tcW w:w="860" w:type="dxa"/>
            <w:vAlign w:val="bottom"/>
          </w:tcPr>
          <w:p>
            <w:pPr>
              <w:jc w:val="right"/>
              <w:ind w:right="53"/>
              <w:spacing w:after="0" w:line="202" w:lineRule="exact"/>
              <w:rPr>
                <w:sz w:val="20"/>
                <w:szCs w:val="20"/>
                <w:color w:val="auto"/>
              </w:rPr>
            </w:pPr>
            <w:r>
              <w:rPr>
                <w:rFonts w:ascii="Arial" w:cs="Arial" w:eastAsia="Arial" w:hAnsi="Arial"/>
                <w:sz w:val="18"/>
                <w:szCs w:val="18"/>
                <w:color w:val="auto"/>
              </w:rPr>
              <w:t>(48.9)</w:t>
            </w:r>
          </w:p>
        </w:tc>
        <w:tc>
          <w:tcPr>
            <w:tcW w:w="380" w:type="dxa"/>
            <w:vAlign w:val="bottom"/>
          </w:tcPr>
          <w:p>
            <w:pPr>
              <w:spacing w:after="0"/>
              <w:rPr>
                <w:sz w:val="17"/>
                <w:szCs w:val="17"/>
                <w:color w:val="auto"/>
              </w:rPr>
            </w:pPr>
          </w:p>
        </w:tc>
        <w:tc>
          <w:tcPr>
            <w:tcW w:w="860" w:type="dxa"/>
            <w:vAlign w:val="bottom"/>
          </w:tcPr>
          <w:p>
            <w:pPr>
              <w:jc w:val="right"/>
              <w:ind w:right="53"/>
              <w:spacing w:after="0" w:line="202" w:lineRule="exact"/>
              <w:rPr>
                <w:sz w:val="20"/>
                <w:szCs w:val="20"/>
                <w:color w:val="auto"/>
              </w:rPr>
            </w:pPr>
            <w:r>
              <w:rPr>
                <w:rFonts w:ascii="Arial" w:cs="Arial" w:eastAsia="Arial" w:hAnsi="Arial"/>
                <w:sz w:val="18"/>
                <w:szCs w:val="18"/>
                <w:color w:val="auto"/>
              </w:rPr>
              <w:t>(57.8)</w:t>
            </w:r>
          </w:p>
        </w:tc>
        <w:tc>
          <w:tcPr>
            <w:tcW w:w="42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(58.8)</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40" w:type="dxa"/>
            <w:vAlign w:val="bottom"/>
            <w:shd w:val="clear" w:color="auto" w:fill="E6E6E6"/>
          </w:tcPr>
          <w:p>
            <w:pPr>
              <w:ind w:left="140"/>
              <w:spacing w:after="0" w:line="202" w:lineRule="exact"/>
              <w:rPr>
                <w:sz w:val="20"/>
                <w:szCs w:val="20"/>
                <w:color w:val="auto"/>
              </w:rPr>
            </w:pPr>
            <w:r>
              <w:rPr>
                <w:rFonts w:ascii="Arial" w:cs="Arial" w:eastAsia="Arial" w:hAnsi="Arial"/>
                <w:sz w:val="18"/>
                <w:szCs w:val="18"/>
                <w:color w:val="auto"/>
              </w:rPr>
              <w:t>Additions to property, plant and equipment</w:t>
            </w:r>
          </w:p>
        </w:tc>
        <w:tc>
          <w:tcPr>
            <w:tcW w:w="460" w:type="dxa"/>
            <w:vAlign w:val="bottom"/>
            <w:shd w:val="clear" w:color="auto" w:fill="E6E6E6"/>
          </w:tcPr>
          <w:p>
            <w:pPr>
              <w:spacing w:after="0"/>
              <w:rPr>
                <w:sz w:val="17"/>
                <w:szCs w:val="17"/>
                <w:color w:val="auto"/>
              </w:rPr>
            </w:pPr>
          </w:p>
        </w:tc>
        <w:tc>
          <w:tcPr>
            <w:tcW w:w="860" w:type="dxa"/>
            <w:vAlign w:val="bottom"/>
            <w:shd w:val="clear" w:color="auto" w:fill="E6E6E6"/>
          </w:tcPr>
          <w:p>
            <w:pPr>
              <w:jc w:val="right"/>
              <w:ind w:right="53"/>
              <w:spacing w:after="0" w:line="202" w:lineRule="exact"/>
              <w:rPr>
                <w:sz w:val="20"/>
                <w:szCs w:val="20"/>
                <w:color w:val="auto"/>
              </w:rPr>
            </w:pPr>
            <w:r>
              <w:rPr>
                <w:rFonts w:ascii="Arial" w:cs="Arial" w:eastAsia="Arial" w:hAnsi="Arial"/>
                <w:sz w:val="18"/>
                <w:szCs w:val="18"/>
                <w:color w:val="auto"/>
              </w:rPr>
              <w:t>(55.3)</w:t>
            </w:r>
          </w:p>
        </w:tc>
        <w:tc>
          <w:tcPr>
            <w:tcW w:w="380" w:type="dxa"/>
            <w:vAlign w:val="bottom"/>
            <w:shd w:val="clear" w:color="auto" w:fill="E6E6E6"/>
          </w:tcPr>
          <w:p>
            <w:pPr>
              <w:spacing w:after="0"/>
              <w:rPr>
                <w:sz w:val="17"/>
                <w:szCs w:val="17"/>
                <w:color w:val="auto"/>
              </w:rPr>
            </w:pPr>
          </w:p>
        </w:tc>
        <w:tc>
          <w:tcPr>
            <w:tcW w:w="860" w:type="dxa"/>
            <w:vAlign w:val="bottom"/>
            <w:shd w:val="clear" w:color="auto" w:fill="E6E6E6"/>
          </w:tcPr>
          <w:p>
            <w:pPr>
              <w:jc w:val="right"/>
              <w:ind w:right="53"/>
              <w:spacing w:after="0" w:line="202" w:lineRule="exact"/>
              <w:rPr>
                <w:sz w:val="20"/>
                <w:szCs w:val="20"/>
                <w:color w:val="auto"/>
              </w:rPr>
            </w:pPr>
            <w:r>
              <w:rPr>
                <w:rFonts w:ascii="Arial" w:cs="Arial" w:eastAsia="Arial" w:hAnsi="Arial"/>
                <w:sz w:val="18"/>
                <w:szCs w:val="18"/>
                <w:color w:val="auto"/>
              </w:rPr>
              <w:t>(45.1)</w:t>
            </w:r>
          </w:p>
        </w:tc>
        <w:tc>
          <w:tcPr>
            <w:tcW w:w="420" w:type="dxa"/>
            <w:vAlign w:val="bottom"/>
            <w:shd w:val="clear" w:color="auto" w:fill="E6E6E6"/>
          </w:tcPr>
          <w:p>
            <w:pPr>
              <w:spacing w:after="0"/>
              <w:rPr>
                <w:sz w:val="17"/>
                <w:szCs w:val="17"/>
                <w:color w:val="auto"/>
              </w:rPr>
            </w:pPr>
          </w:p>
        </w:tc>
        <w:tc>
          <w:tcPr>
            <w:tcW w:w="78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(56.2)</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40" w:type="dxa"/>
            <w:vAlign w:val="bottom"/>
          </w:tcPr>
          <w:p>
            <w:pPr>
              <w:ind w:left="140"/>
              <w:spacing w:after="0" w:line="202" w:lineRule="exact"/>
              <w:rPr>
                <w:sz w:val="20"/>
                <w:szCs w:val="20"/>
                <w:color w:val="auto"/>
              </w:rPr>
            </w:pPr>
            <w:r>
              <w:rPr>
                <w:rFonts w:ascii="Arial" w:cs="Arial" w:eastAsia="Arial" w:hAnsi="Arial"/>
                <w:sz w:val="18"/>
                <w:szCs w:val="18"/>
                <w:color w:val="auto"/>
              </w:rPr>
              <w:t>Acquisition related payments</w:t>
            </w:r>
          </w:p>
        </w:tc>
        <w:tc>
          <w:tcPr>
            <w:tcW w:w="460" w:type="dxa"/>
            <w:vAlign w:val="bottom"/>
          </w:tcPr>
          <w:p>
            <w:pPr>
              <w:spacing w:after="0"/>
              <w:rPr>
                <w:sz w:val="17"/>
                <w:szCs w:val="17"/>
                <w:color w:val="auto"/>
              </w:rPr>
            </w:pPr>
          </w:p>
        </w:tc>
        <w:tc>
          <w:tcPr>
            <w:tcW w:w="860" w:type="dxa"/>
            <w:vAlign w:val="bottom"/>
          </w:tcPr>
          <w:p>
            <w:pPr>
              <w:jc w:val="right"/>
              <w:ind w:right="53"/>
              <w:spacing w:after="0" w:line="202" w:lineRule="exact"/>
              <w:rPr>
                <w:sz w:val="20"/>
                <w:szCs w:val="20"/>
                <w:color w:val="auto"/>
              </w:rPr>
            </w:pPr>
            <w:r>
              <w:rPr>
                <w:rFonts w:ascii="Arial" w:cs="Arial" w:eastAsia="Arial" w:hAnsi="Arial"/>
                <w:sz w:val="18"/>
                <w:szCs w:val="18"/>
                <w:color w:val="auto"/>
              </w:rPr>
              <w:t>(1.0)</w:t>
            </w:r>
          </w:p>
        </w:tc>
        <w:tc>
          <w:tcPr>
            <w:tcW w:w="380" w:type="dxa"/>
            <w:vAlign w:val="bottom"/>
          </w:tcPr>
          <w:p>
            <w:pPr>
              <w:spacing w:after="0"/>
              <w:rPr>
                <w:sz w:val="17"/>
                <w:szCs w:val="17"/>
                <w:color w:val="auto"/>
              </w:rPr>
            </w:pPr>
          </w:p>
        </w:tc>
        <w:tc>
          <w:tcPr>
            <w:tcW w:w="860" w:type="dxa"/>
            <w:vAlign w:val="bottom"/>
          </w:tcPr>
          <w:p>
            <w:pPr>
              <w:jc w:val="right"/>
              <w:ind w:right="53"/>
              <w:spacing w:after="0" w:line="202" w:lineRule="exact"/>
              <w:rPr>
                <w:sz w:val="20"/>
                <w:szCs w:val="20"/>
                <w:color w:val="auto"/>
              </w:rPr>
            </w:pPr>
            <w:r>
              <w:rPr>
                <w:rFonts w:ascii="Arial" w:cs="Arial" w:eastAsia="Arial" w:hAnsi="Arial"/>
                <w:sz w:val="18"/>
                <w:szCs w:val="18"/>
                <w:color w:val="auto"/>
              </w:rPr>
              <w:t>(4.4)</w:t>
            </w:r>
          </w:p>
        </w:tc>
        <w:tc>
          <w:tcPr>
            <w:tcW w:w="42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(2.6)</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40" w:type="dxa"/>
            <w:vAlign w:val="bottom"/>
            <w:shd w:val="clear" w:color="auto" w:fill="E6E6E6"/>
          </w:tcPr>
          <w:p>
            <w:pPr>
              <w:ind w:left="140"/>
              <w:spacing w:after="0" w:line="202" w:lineRule="exact"/>
              <w:rPr>
                <w:sz w:val="20"/>
                <w:szCs w:val="20"/>
                <w:color w:val="auto"/>
              </w:rPr>
            </w:pPr>
            <w:r>
              <w:rPr>
                <w:rFonts w:ascii="Arial" w:cs="Arial" w:eastAsia="Arial" w:hAnsi="Arial"/>
                <w:sz w:val="18"/>
                <w:szCs w:val="18"/>
                <w:color w:val="auto"/>
              </w:rPr>
              <w:t>Net cash proceeds from sale of businesses</w:t>
            </w:r>
          </w:p>
        </w:tc>
        <w:tc>
          <w:tcPr>
            <w:tcW w:w="460" w:type="dxa"/>
            <w:vAlign w:val="bottom"/>
            <w:shd w:val="clear" w:color="auto" w:fill="E6E6E6"/>
          </w:tcPr>
          <w:p>
            <w:pPr>
              <w:spacing w:after="0"/>
              <w:rPr>
                <w:sz w:val="17"/>
                <w:szCs w:val="17"/>
                <w:color w:val="auto"/>
              </w:rPr>
            </w:pPr>
          </w:p>
        </w:tc>
        <w:tc>
          <w:tcPr>
            <w:tcW w:w="860" w:type="dxa"/>
            <w:vAlign w:val="bottom"/>
            <w:shd w:val="clear" w:color="auto" w:fill="E6E6E6"/>
          </w:tcPr>
          <w:p>
            <w:pPr>
              <w:jc w:val="right"/>
              <w:ind w:right="113"/>
              <w:spacing w:after="0" w:line="202" w:lineRule="exact"/>
              <w:rPr>
                <w:sz w:val="20"/>
                <w:szCs w:val="20"/>
                <w:color w:val="auto"/>
              </w:rPr>
            </w:pPr>
            <w:r>
              <w:rPr>
                <w:rFonts w:ascii="Arial" w:cs="Arial" w:eastAsia="Arial" w:hAnsi="Arial"/>
                <w:sz w:val="18"/>
                <w:szCs w:val="18"/>
                <w:color w:val="auto"/>
              </w:rPr>
              <w:t>0.2</w:t>
            </w:r>
          </w:p>
        </w:tc>
        <w:tc>
          <w:tcPr>
            <w:tcW w:w="380" w:type="dxa"/>
            <w:vAlign w:val="bottom"/>
            <w:shd w:val="clear" w:color="auto" w:fill="E6E6E6"/>
          </w:tcPr>
          <w:p>
            <w:pPr>
              <w:spacing w:after="0"/>
              <w:rPr>
                <w:sz w:val="17"/>
                <w:szCs w:val="17"/>
                <w:color w:val="auto"/>
              </w:rPr>
            </w:pPr>
          </w:p>
        </w:tc>
        <w:tc>
          <w:tcPr>
            <w:tcW w:w="860" w:type="dxa"/>
            <w:vAlign w:val="bottom"/>
            <w:shd w:val="clear" w:color="auto" w:fill="E6E6E6"/>
          </w:tcPr>
          <w:p>
            <w:pPr>
              <w:jc w:val="right"/>
              <w:ind w:right="113"/>
              <w:spacing w:after="0" w:line="202" w:lineRule="exact"/>
              <w:rPr>
                <w:sz w:val="20"/>
                <w:szCs w:val="20"/>
                <w:color w:val="auto"/>
              </w:rPr>
            </w:pPr>
            <w:r>
              <w:rPr>
                <w:rFonts w:ascii="Arial" w:cs="Arial" w:eastAsia="Arial" w:hAnsi="Arial"/>
                <w:sz w:val="18"/>
                <w:szCs w:val="18"/>
                <w:color w:val="auto"/>
              </w:rPr>
              <w:t>33.0</w:t>
            </w:r>
          </w:p>
        </w:tc>
        <w:tc>
          <w:tcPr>
            <w:tcW w:w="420" w:type="dxa"/>
            <w:vAlign w:val="bottom"/>
            <w:shd w:val="clear" w:color="auto" w:fill="E6E6E6"/>
          </w:tcPr>
          <w:p>
            <w:pPr>
              <w:spacing w:after="0"/>
              <w:rPr>
                <w:sz w:val="17"/>
                <w:szCs w:val="17"/>
                <w:color w:val="auto"/>
              </w:rPr>
            </w:pPr>
          </w:p>
        </w:tc>
        <w:tc>
          <w:tcPr>
            <w:tcW w:w="780" w:type="dxa"/>
            <w:vAlign w:val="bottom"/>
            <w:shd w:val="clear" w:color="auto" w:fill="E6E6E6"/>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640" w:type="dxa"/>
            <w:vAlign w:val="bottom"/>
          </w:tcPr>
          <w:p>
            <w:pPr>
              <w:ind w:left="140"/>
              <w:spacing w:after="0"/>
              <w:rPr>
                <w:sz w:val="20"/>
                <w:szCs w:val="20"/>
                <w:color w:val="auto"/>
              </w:rPr>
            </w:pPr>
            <w:r>
              <w:rPr>
                <w:rFonts w:ascii="Arial" w:cs="Arial" w:eastAsia="Arial" w:hAnsi="Arial"/>
                <w:sz w:val="18"/>
                <w:szCs w:val="18"/>
                <w:color w:val="auto"/>
              </w:rPr>
              <w:t>Other</w:t>
            </w:r>
          </w:p>
        </w:tc>
        <w:tc>
          <w:tcPr>
            <w:tcW w:w="460" w:type="dxa"/>
            <w:vAlign w:val="bottom"/>
          </w:tcPr>
          <w:p>
            <w:pPr>
              <w:spacing w:after="0"/>
              <w:rPr>
                <w:sz w:val="18"/>
                <w:szCs w:val="18"/>
                <w:color w:val="auto"/>
              </w:rPr>
            </w:pPr>
          </w:p>
        </w:tc>
        <w:tc>
          <w:tcPr>
            <w:tcW w:w="86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860" w:type="dxa"/>
            <w:vAlign w:val="bottom"/>
          </w:tcPr>
          <w:p>
            <w:pPr>
              <w:jc w:val="right"/>
              <w:ind w:right="113"/>
              <w:spacing w:after="0"/>
              <w:rPr>
                <w:sz w:val="20"/>
                <w:szCs w:val="20"/>
                <w:color w:val="auto"/>
              </w:rPr>
            </w:pPr>
            <w:r>
              <w:rPr>
                <w:rFonts w:ascii="Arial" w:cs="Arial" w:eastAsia="Arial" w:hAnsi="Arial"/>
                <w:sz w:val="18"/>
                <w:szCs w:val="18"/>
                <w:color w:val="auto"/>
              </w:rPr>
              <w:t>1.7</w:t>
            </w:r>
          </w:p>
        </w:tc>
        <w:tc>
          <w:tcPr>
            <w:tcW w:w="420" w:type="dxa"/>
            <w:vAlign w:val="bottom"/>
          </w:tcPr>
          <w:p>
            <w:pPr>
              <w:spacing w:after="0"/>
              <w:rPr>
                <w:sz w:val="18"/>
                <w:szCs w:val="18"/>
                <w:color w:val="auto"/>
              </w:rPr>
            </w:pPr>
          </w:p>
        </w:tc>
        <w:tc>
          <w:tcPr>
            <w:tcW w:w="780" w:type="dxa"/>
            <w:vAlign w:val="bottom"/>
          </w:tcPr>
          <w:p>
            <w:pPr>
              <w:jc w:val="right"/>
              <w:ind w:right="33"/>
              <w:spacing w:after="0"/>
              <w:rPr>
                <w:sz w:val="20"/>
                <w:szCs w:val="20"/>
                <w:color w:val="auto"/>
              </w:rPr>
            </w:pPr>
            <w:r>
              <w:rPr>
                <w:rFonts w:ascii="Arial" w:cs="Arial" w:eastAsia="Arial" w:hAnsi="Arial"/>
                <w:sz w:val="18"/>
                <w:szCs w:val="18"/>
                <w:color w:val="auto"/>
              </w:rPr>
              <w:t>0.1</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764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640" w:type="dxa"/>
            <w:vAlign w:val="bottom"/>
          </w:tcPr>
          <w:p>
            <w:pPr>
              <w:spacing w:after="0"/>
              <w:rPr>
                <w:sz w:val="8"/>
                <w:szCs w:val="8"/>
                <w:color w:val="auto"/>
              </w:rPr>
            </w:pPr>
          </w:p>
        </w:tc>
        <w:tc>
          <w:tcPr>
            <w:tcW w:w="460" w:type="dxa"/>
            <w:vAlign w:val="bottom"/>
          </w:tcPr>
          <w:p>
            <w:pPr>
              <w:spacing w:after="0"/>
              <w:rPr>
                <w:sz w:val="8"/>
                <w:szCs w:val="8"/>
                <w:color w:val="auto"/>
              </w:rPr>
            </w:pPr>
          </w:p>
        </w:tc>
        <w:tc>
          <w:tcPr>
            <w:tcW w:w="860" w:type="dxa"/>
            <w:vAlign w:val="bottom"/>
          </w:tcPr>
          <w:p>
            <w:pPr>
              <w:spacing w:after="0"/>
              <w:rPr>
                <w:sz w:val="8"/>
                <w:szCs w:val="8"/>
                <w:color w:val="auto"/>
              </w:rPr>
            </w:pPr>
          </w:p>
        </w:tc>
        <w:tc>
          <w:tcPr>
            <w:tcW w:w="380" w:type="dxa"/>
            <w:vAlign w:val="bottom"/>
          </w:tcPr>
          <w:p>
            <w:pPr>
              <w:spacing w:after="0"/>
              <w:rPr>
                <w:sz w:val="8"/>
                <w:szCs w:val="8"/>
                <w:color w:val="auto"/>
              </w:rPr>
            </w:pPr>
          </w:p>
        </w:tc>
        <w:tc>
          <w:tcPr>
            <w:tcW w:w="8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40" w:type="dxa"/>
            <w:vAlign w:val="bottom"/>
            <w:shd w:val="clear" w:color="auto" w:fill="E6E6E6"/>
          </w:tcPr>
          <w:p>
            <w:pPr>
              <w:ind w:left="140"/>
              <w:spacing w:after="0" w:line="202" w:lineRule="exact"/>
              <w:rPr>
                <w:sz w:val="20"/>
                <w:szCs w:val="20"/>
                <w:color w:val="auto"/>
              </w:rPr>
            </w:pPr>
            <w:r>
              <w:rPr>
                <w:rFonts w:ascii="Arial" w:cs="Arial" w:eastAsia="Arial" w:hAnsi="Arial"/>
                <w:sz w:val="18"/>
                <w:szCs w:val="18"/>
                <w:color w:val="auto"/>
              </w:rPr>
              <w:t>Net cash used in investing activities of continuing operations</w:t>
            </w:r>
          </w:p>
        </w:tc>
        <w:tc>
          <w:tcPr>
            <w:tcW w:w="460" w:type="dxa"/>
            <w:vAlign w:val="bottom"/>
            <w:shd w:val="clear" w:color="auto" w:fill="E6E6E6"/>
          </w:tcPr>
          <w:p>
            <w:pPr>
              <w:spacing w:after="0"/>
              <w:rPr>
                <w:sz w:val="17"/>
                <w:szCs w:val="17"/>
                <w:color w:val="auto"/>
              </w:rPr>
            </w:pPr>
          </w:p>
        </w:tc>
        <w:tc>
          <w:tcPr>
            <w:tcW w:w="860" w:type="dxa"/>
            <w:vAlign w:val="bottom"/>
            <w:shd w:val="clear" w:color="auto" w:fill="E6E6E6"/>
          </w:tcPr>
          <w:p>
            <w:pPr>
              <w:jc w:val="right"/>
              <w:ind w:right="53"/>
              <w:spacing w:after="0" w:line="202" w:lineRule="exact"/>
              <w:rPr>
                <w:sz w:val="20"/>
                <w:szCs w:val="20"/>
                <w:color w:val="auto"/>
              </w:rPr>
            </w:pPr>
            <w:r>
              <w:rPr>
                <w:rFonts w:ascii="Arial" w:cs="Arial" w:eastAsia="Arial" w:hAnsi="Arial"/>
                <w:sz w:val="18"/>
                <w:szCs w:val="18"/>
                <w:color w:val="auto"/>
              </w:rPr>
              <w:t>(105.0)</w:t>
            </w:r>
          </w:p>
        </w:tc>
        <w:tc>
          <w:tcPr>
            <w:tcW w:w="380" w:type="dxa"/>
            <w:vAlign w:val="bottom"/>
            <w:shd w:val="clear" w:color="auto" w:fill="E6E6E6"/>
          </w:tcPr>
          <w:p>
            <w:pPr>
              <w:spacing w:after="0"/>
              <w:rPr>
                <w:sz w:val="17"/>
                <w:szCs w:val="17"/>
                <w:color w:val="auto"/>
              </w:rPr>
            </w:pPr>
          </w:p>
        </w:tc>
        <w:tc>
          <w:tcPr>
            <w:tcW w:w="860" w:type="dxa"/>
            <w:vAlign w:val="bottom"/>
            <w:shd w:val="clear" w:color="auto" w:fill="E6E6E6"/>
          </w:tcPr>
          <w:p>
            <w:pPr>
              <w:jc w:val="right"/>
              <w:ind w:right="53"/>
              <w:spacing w:after="0" w:line="202" w:lineRule="exact"/>
              <w:rPr>
                <w:sz w:val="20"/>
                <w:szCs w:val="20"/>
                <w:color w:val="auto"/>
              </w:rPr>
            </w:pPr>
            <w:r>
              <w:rPr>
                <w:rFonts w:ascii="Arial" w:cs="Arial" w:eastAsia="Arial" w:hAnsi="Arial"/>
                <w:sz w:val="18"/>
                <w:szCs w:val="18"/>
                <w:color w:val="auto"/>
              </w:rPr>
              <w:t>(72.6)</w:t>
            </w:r>
          </w:p>
        </w:tc>
        <w:tc>
          <w:tcPr>
            <w:tcW w:w="420" w:type="dxa"/>
            <w:vAlign w:val="bottom"/>
            <w:shd w:val="clear" w:color="auto" w:fill="E6E6E6"/>
          </w:tcPr>
          <w:p>
            <w:pPr>
              <w:spacing w:after="0"/>
              <w:rPr>
                <w:sz w:val="17"/>
                <w:szCs w:val="17"/>
                <w:color w:val="auto"/>
              </w:rPr>
            </w:pPr>
          </w:p>
        </w:tc>
        <w:tc>
          <w:tcPr>
            <w:tcW w:w="78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(117.5)</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640" w:type="dxa"/>
            <w:vAlign w:val="bottom"/>
          </w:tcPr>
          <w:p>
            <w:pPr>
              <w:ind w:left="140"/>
              <w:spacing w:after="0"/>
              <w:rPr>
                <w:sz w:val="20"/>
                <w:szCs w:val="20"/>
                <w:color w:val="auto"/>
              </w:rPr>
            </w:pPr>
            <w:r>
              <w:rPr>
                <w:rFonts w:ascii="Arial" w:cs="Arial" w:eastAsia="Arial" w:hAnsi="Arial"/>
                <w:sz w:val="18"/>
                <w:szCs w:val="18"/>
                <w:color w:val="auto"/>
              </w:rPr>
              <w:t>Net cash used in investing activities of discontinued operations</w:t>
            </w:r>
          </w:p>
        </w:tc>
        <w:tc>
          <w:tcPr>
            <w:tcW w:w="460" w:type="dxa"/>
            <w:vAlign w:val="bottom"/>
          </w:tcPr>
          <w:p>
            <w:pPr>
              <w:spacing w:after="0"/>
              <w:rPr>
                <w:sz w:val="18"/>
                <w:szCs w:val="18"/>
                <w:color w:val="auto"/>
              </w:rPr>
            </w:pPr>
          </w:p>
        </w:tc>
        <w:tc>
          <w:tcPr>
            <w:tcW w:w="86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860" w:type="dxa"/>
            <w:vAlign w:val="bottom"/>
          </w:tcPr>
          <w:p>
            <w:pPr>
              <w:jc w:val="right"/>
              <w:ind w:right="53"/>
              <w:spacing w:after="0"/>
              <w:rPr>
                <w:sz w:val="20"/>
                <w:szCs w:val="20"/>
                <w:color w:val="auto"/>
              </w:rPr>
            </w:pPr>
            <w:r>
              <w:rPr>
                <w:rFonts w:ascii="Arial" w:cs="Arial" w:eastAsia="Arial" w:hAnsi="Arial"/>
                <w:sz w:val="18"/>
                <w:szCs w:val="18"/>
                <w:color w:val="auto"/>
              </w:rPr>
              <w:t>(0.8)</w:t>
            </w:r>
          </w:p>
        </w:tc>
        <w:tc>
          <w:tcPr>
            <w:tcW w:w="4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(5.9)</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764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640" w:type="dxa"/>
            <w:vAlign w:val="bottom"/>
          </w:tcPr>
          <w:p>
            <w:pPr>
              <w:spacing w:after="0"/>
              <w:rPr>
                <w:sz w:val="8"/>
                <w:szCs w:val="8"/>
                <w:color w:val="auto"/>
              </w:rPr>
            </w:pPr>
          </w:p>
        </w:tc>
        <w:tc>
          <w:tcPr>
            <w:tcW w:w="460" w:type="dxa"/>
            <w:vAlign w:val="bottom"/>
          </w:tcPr>
          <w:p>
            <w:pPr>
              <w:spacing w:after="0"/>
              <w:rPr>
                <w:sz w:val="8"/>
                <w:szCs w:val="8"/>
                <w:color w:val="auto"/>
              </w:rPr>
            </w:pPr>
          </w:p>
        </w:tc>
        <w:tc>
          <w:tcPr>
            <w:tcW w:w="860" w:type="dxa"/>
            <w:vAlign w:val="bottom"/>
          </w:tcPr>
          <w:p>
            <w:pPr>
              <w:spacing w:after="0"/>
              <w:rPr>
                <w:sz w:val="8"/>
                <w:szCs w:val="8"/>
                <w:color w:val="auto"/>
              </w:rPr>
            </w:pPr>
          </w:p>
        </w:tc>
        <w:tc>
          <w:tcPr>
            <w:tcW w:w="380" w:type="dxa"/>
            <w:vAlign w:val="bottom"/>
          </w:tcPr>
          <w:p>
            <w:pPr>
              <w:spacing w:after="0"/>
              <w:rPr>
                <w:sz w:val="8"/>
                <w:szCs w:val="8"/>
                <w:color w:val="auto"/>
              </w:rPr>
            </w:pPr>
          </w:p>
        </w:tc>
        <w:tc>
          <w:tcPr>
            <w:tcW w:w="8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40" w:type="dxa"/>
            <w:vAlign w:val="bottom"/>
            <w:shd w:val="clear" w:color="auto" w:fill="E6E6E6"/>
          </w:tcPr>
          <w:p>
            <w:pPr>
              <w:ind w:left="140"/>
              <w:spacing w:after="0" w:line="202" w:lineRule="exact"/>
              <w:rPr>
                <w:sz w:val="20"/>
                <w:szCs w:val="20"/>
                <w:color w:val="auto"/>
              </w:rPr>
            </w:pPr>
            <w:r>
              <w:rPr>
                <w:rFonts w:ascii="Arial" w:cs="Arial" w:eastAsia="Arial" w:hAnsi="Arial"/>
                <w:sz w:val="18"/>
                <w:szCs w:val="18"/>
                <w:color w:val="auto"/>
              </w:rPr>
              <w:t>Net cash used in investing activities</w:t>
            </w:r>
          </w:p>
        </w:tc>
        <w:tc>
          <w:tcPr>
            <w:tcW w:w="460" w:type="dxa"/>
            <w:vAlign w:val="bottom"/>
            <w:shd w:val="clear" w:color="auto" w:fill="E6E6E6"/>
          </w:tcPr>
          <w:p>
            <w:pPr>
              <w:spacing w:after="0"/>
              <w:rPr>
                <w:sz w:val="17"/>
                <w:szCs w:val="17"/>
                <w:color w:val="auto"/>
              </w:rPr>
            </w:pPr>
          </w:p>
        </w:tc>
        <w:tc>
          <w:tcPr>
            <w:tcW w:w="860" w:type="dxa"/>
            <w:vAlign w:val="bottom"/>
            <w:shd w:val="clear" w:color="auto" w:fill="E6E6E6"/>
          </w:tcPr>
          <w:p>
            <w:pPr>
              <w:jc w:val="right"/>
              <w:ind w:right="53"/>
              <w:spacing w:after="0" w:line="202" w:lineRule="exact"/>
              <w:rPr>
                <w:sz w:val="20"/>
                <w:szCs w:val="20"/>
                <w:color w:val="auto"/>
              </w:rPr>
            </w:pPr>
            <w:r>
              <w:rPr>
                <w:rFonts w:ascii="Arial" w:cs="Arial" w:eastAsia="Arial" w:hAnsi="Arial"/>
                <w:sz w:val="18"/>
                <w:szCs w:val="18"/>
                <w:color w:val="auto"/>
              </w:rPr>
              <w:t>(105.0)</w:t>
            </w:r>
          </w:p>
        </w:tc>
        <w:tc>
          <w:tcPr>
            <w:tcW w:w="380" w:type="dxa"/>
            <w:vAlign w:val="bottom"/>
            <w:shd w:val="clear" w:color="auto" w:fill="E6E6E6"/>
          </w:tcPr>
          <w:p>
            <w:pPr>
              <w:spacing w:after="0"/>
              <w:rPr>
                <w:sz w:val="17"/>
                <w:szCs w:val="17"/>
                <w:color w:val="auto"/>
              </w:rPr>
            </w:pPr>
          </w:p>
        </w:tc>
        <w:tc>
          <w:tcPr>
            <w:tcW w:w="860" w:type="dxa"/>
            <w:vAlign w:val="bottom"/>
            <w:shd w:val="clear" w:color="auto" w:fill="E6E6E6"/>
          </w:tcPr>
          <w:p>
            <w:pPr>
              <w:jc w:val="right"/>
              <w:ind w:right="53"/>
              <w:spacing w:after="0" w:line="202" w:lineRule="exact"/>
              <w:rPr>
                <w:sz w:val="20"/>
                <w:szCs w:val="20"/>
                <w:color w:val="auto"/>
              </w:rPr>
            </w:pPr>
            <w:r>
              <w:rPr>
                <w:rFonts w:ascii="Arial" w:cs="Arial" w:eastAsia="Arial" w:hAnsi="Arial"/>
                <w:sz w:val="18"/>
                <w:szCs w:val="18"/>
                <w:color w:val="auto"/>
              </w:rPr>
              <w:t>(73.4)</w:t>
            </w:r>
          </w:p>
        </w:tc>
        <w:tc>
          <w:tcPr>
            <w:tcW w:w="420" w:type="dxa"/>
            <w:vAlign w:val="bottom"/>
            <w:shd w:val="clear" w:color="auto" w:fill="E6E6E6"/>
          </w:tcPr>
          <w:p>
            <w:pPr>
              <w:spacing w:after="0"/>
              <w:rPr>
                <w:sz w:val="17"/>
                <w:szCs w:val="17"/>
                <w:color w:val="auto"/>
              </w:rPr>
            </w:pPr>
          </w:p>
        </w:tc>
        <w:tc>
          <w:tcPr>
            <w:tcW w:w="78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(123.4)</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40" w:type="dxa"/>
            <w:vAlign w:val="bottom"/>
          </w:tcPr>
          <w:p>
            <w:pPr>
              <w:spacing w:after="0" w:line="202" w:lineRule="exact"/>
              <w:rPr>
                <w:sz w:val="20"/>
                <w:szCs w:val="20"/>
                <w:color w:val="auto"/>
              </w:rPr>
            </w:pPr>
            <w:r>
              <w:rPr>
                <w:rFonts w:ascii="Arial" w:cs="Arial" w:eastAsia="Arial" w:hAnsi="Arial"/>
                <w:sz w:val="18"/>
                <w:szCs w:val="18"/>
                <w:b w:val="1"/>
                <w:bCs w:val="1"/>
                <w:color w:val="auto"/>
              </w:rPr>
              <w:t>Cash flows provided by (used in) financing activities:</w:t>
            </w:r>
          </w:p>
        </w:tc>
        <w:tc>
          <w:tcPr>
            <w:tcW w:w="4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40" w:type="dxa"/>
            <w:vAlign w:val="bottom"/>
            <w:shd w:val="clear" w:color="auto" w:fill="E6E6E6"/>
          </w:tcPr>
          <w:p>
            <w:pPr>
              <w:ind w:left="140"/>
              <w:spacing w:after="0" w:line="202" w:lineRule="exact"/>
              <w:rPr>
                <w:sz w:val="20"/>
                <w:szCs w:val="20"/>
                <w:color w:val="auto"/>
              </w:rPr>
            </w:pPr>
            <w:r>
              <w:rPr>
                <w:rFonts w:ascii="Arial" w:cs="Arial" w:eastAsia="Arial" w:hAnsi="Arial"/>
                <w:sz w:val="18"/>
                <w:szCs w:val="18"/>
                <w:color w:val="auto"/>
              </w:rPr>
              <w:t>Borrowings under credit agreement and revolving loan</w:t>
            </w:r>
          </w:p>
        </w:tc>
        <w:tc>
          <w:tcPr>
            <w:tcW w:w="460" w:type="dxa"/>
            <w:vAlign w:val="bottom"/>
            <w:shd w:val="clear" w:color="auto" w:fill="E6E6E6"/>
          </w:tcPr>
          <w:p>
            <w:pPr>
              <w:spacing w:after="0"/>
              <w:rPr>
                <w:sz w:val="17"/>
                <w:szCs w:val="17"/>
                <w:color w:val="auto"/>
              </w:rPr>
            </w:pPr>
          </w:p>
        </w:tc>
        <w:tc>
          <w:tcPr>
            <w:tcW w:w="860" w:type="dxa"/>
            <w:vAlign w:val="bottom"/>
            <w:shd w:val="clear" w:color="auto" w:fill="E6E6E6"/>
          </w:tcPr>
          <w:p>
            <w:pPr>
              <w:jc w:val="right"/>
              <w:ind w:right="113"/>
              <w:spacing w:after="0" w:line="202" w:lineRule="exact"/>
              <w:rPr>
                <w:sz w:val="20"/>
                <w:szCs w:val="20"/>
                <w:color w:val="auto"/>
              </w:rPr>
            </w:pPr>
            <w:r>
              <w:rPr>
                <w:rFonts w:ascii="Arial" w:cs="Arial" w:eastAsia="Arial" w:hAnsi="Arial"/>
                <w:sz w:val="18"/>
                <w:szCs w:val="18"/>
                <w:color w:val="auto"/>
              </w:rPr>
              <w:t>—</w:t>
            </w:r>
          </w:p>
        </w:tc>
        <w:tc>
          <w:tcPr>
            <w:tcW w:w="380" w:type="dxa"/>
            <w:vAlign w:val="bottom"/>
            <w:shd w:val="clear" w:color="auto" w:fill="E6E6E6"/>
          </w:tcPr>
          <w:p>
            <w:pPr>
              <w:spacing w:after="0"/>
              <w:rPr>
                <w:sz w:val="17"/>
                <w:szCs w:val="17"/>
                <w:color w:val="auto"/>
              </w:rPr>
            </w:pPr>
          </w:p>
        </w:tc>
        <w:tc>
          <w:tcPr>
            <w:tcW w:w="860" w:type="dxa"/>
            <w:vAlign w:val="bottom"/>
            <w:shd w:val="clear" w:color="auto" w:fill="E6E6E6"/>
          </w:tcPr>
          <w:p>
            <w:pPr>
              <w:jc w:val="right"/>
              <w:ind w:right="113"/>
              <w:spacing w:after="0" w:line="202" w:lineRule="exact"/>
              <w:rPr>
                <w:sz w:val="20"/>
                <w:szCs w:val="20"/>
                <w:color w:val="auto"/>
              </w:rPr>
            </w:pPr>
            <w:r>
              <w:rPr>
                <w:rFonts w:ascii="Arial" w:cs="Arial" w:eastAsia="Arial" w:hAnsi="Arial"/>
                <w:sz w:val="18"/>
                <w:szCs w:val="18"/>
                <w:color w:val="auto"/>
              </w:rPr>
              <w:t>220.3</w:t>
            </w:r>
          </w:p>
        </w:tc>
        <w:tc>
          <w:tcPr>
            <w:tcW w:w="420" w:type="dxa"/>
            <w:vAlign w:val="bottom"/>
            <w:shd w:val="clear" w:color="auto" w:fill="E6E6E6"/>
          </w:tcPr>
          <w:p>
            <w:pPr>
              <w:spacing w:after="0"/>
              <w:rPr>
                <w:sz w:val="17"/>
                <w:szCs w:val="17"/>
                <w:color w:val="auto"/>
              </w:rPr>
            </w:pPr>
          </w:p>
        </w:tc>
        <w:tc>
          <w:tcPr>
            <w:tcW w:w="780" w:type="dxa"/>
            <w:vAlign w:val="bottom"/>
            <w:shd w:val="clear" w:color="auto" w:fill="E6E6E6"/>
          </w:tcPr>
          <w:p>
            <w:pPr>
              <w:jc w:val="right"/>
              <w:ind w:right="33"/>
              <w:spacing w:after="0" w:line="202" w:lineRule="exact"/>
              <w:rPr>
                <w:sz w:val="20"/>
                <w:szCs w:val="20"/>
                <w:color w:val="auto"/>
              </w:rPr>
            </w:pPr>
            <w:r>
              <w:rPr>
                <w:rFonts w:ascii="Arial" w:cs="Arial" w:eastAsia="Arial" w:hAnsi="Arial"/>
                <w:sz w:val="18"/>
                <w:szCs w:val="18"/>
                <w:color w:val="auto"/>
              </w:rPr>
              <w:t>190.0</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40" w:type="dxa"/>
            <w:vAlign w:val="bottom"/>
          </w:tcPr>
          <w:p>
            <w:pPr>
              <w:ind w:left="140"/>
              <w:spacing w:after="0" w:line="202" w:lineRule="exact"/>
              <w:rPr>
                <w:sz w:val="20"/>
                <w:szCs w:val="20"/>
                <w:color w:val="auto"/>
              </w:rPr>
            </w:pPr>
            <w:r>
              <w:rPr>
                <w:rFonts w:ascii="Arial" w:cs="Arial" w:eastAsia="Arial" w:hAnsi="Arial"/>
                <w:sz w:val="18"/>
                <w:szCs w:val="18"/>
                <w:color w:val="auto"/>
              </w:rPr>
              <w:t>Repayment of credit agreement and revolving loan</w:t>
            </w:r>
          </w:p>
        </w:tc>
        <w:tc>
          <w:tcPr>
            <w:tcW w:w="460" w:type="dxa"/>
            <w:vAlign w:val="bottom"/>
          </w:tcPr>
          <w:p>
            <w:pPr>
              <w:spacing w:after="0"/>
              <w:rPr>
                <w:sz w:val="17"/>
                <w:szCs w:val="17"/>
                <w:color w:val="auto"/>
              </w:rPr>
            </w:pPr>
          </w:p>
        </w:tc>
        <w:tc>
          <w:tcPr>
            <w:tcW w:w="860" w:type="dxa"/>
            <w:vAlign w:val="bottom"/>
          </w:tcPr>
          <w:p>
            <w:pPr>
              <w:jc w:val="right"/>
              <w:ind w:right="113"/>
              <w:spacing w:after="0" w:line="202" w:lineRule="exact"/>
              <w:rPr>
                <w:sz w:val="20"/>
                <w:szCs w:val="20"/>
                <w:color w:val="auto"/>
              </w:rPr>
            </w:pPr>
            <w:r>
              <w:rPr>
                <w:rFonts w:ascii="Arial" w:cs="Arial" w:eastAsia="Arial" w:hAnsi="Arial"/>
                <w:sz w:val="18"/>
                <w:szCs w:val="18"/>
                <w:color w:val="auto"/>
              </w:rPr>
              <w:t>—</w:t>
            </w:r>
          </w:p>
        </w:tc>
        <w:tc>
          <w:tcPr>
            <w:tcW w:w="380" w:type="dxa"/>
            <w:vAlign w:val="bottom"/>
          </w:tcPr>
          <w:p>
            <w:pPr>
              <w:spacing w:after="0"/>
              <w:rPr>
                <w:sz w:val="17"/>
                <w:szCs w:val="17"/>
                <w:color w:val="auto"/>
              </w:rPr>
            </w:pPr>
          </w:p>
        </w:tc>
        <w:tc>
          <w:tcPr>
            <w:tcW w:w="860" w:type="dxa"/>
            <w:vAlign w:val="bottom"/>
          </w:tcPr>
          <w:p>
            <w:pPr>
              <w:jc w:val="right"/>
              <w:ind w:right="53"/>
              <w:spacing w:after="0" w:line="202" w:lineRule="exact"/>
              <w:rPr>
                <w:sz w:val="20"/>
                <w:szCs w:val="20"/>
                <w:color w:val="auto"/>
              </w:rPr>
            </w:pPr>
            <w:r>
              <w:rPr>
                <w:rFonts w:ascii="Arial" w:cs="Arial" w:eastAsia="Arial" w:hAnsi="Arial"/>
                <w:sz w:val="18"/>
                <w:szCs w:val="18"/>
                <w:color w:val="auto"/>
              </w:rPr>
              <w:t>(220.3)</w:t>
            </w:r>
          </w:p>
        </w:tc>
        <w:tc>
          <w:tcPr>
            <w:tcW w:w="42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(190.0)</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40" w:type="dxa"/>
            <w:vAlign w:val="bottom"/>
            <w:shd w:val="clear" w:color="auto" w:fill="E6E6E6"/>
          </w:tcPr>
          <w:p>
            <w:pPr>
              <w:ind w:left="140"/>
              <w:spacing w:after="0" w:line="202" w:lineRule="exact"/>
              <w:rPr>
                <w:sz w:val="20"/>
                <w:szCs w:val="20"/>
                <w:color w:val="auto"/>
              </w:rPr>
            </w:pPr>
            <w:r>
              <w:rPr>
                <w:rFonts w:ascii="Arial" w:cs="Arial" w:eastAsia="Arial" w:hAnsi="Arial"/>
                <w:sz w:val="18"/>
                <w:szCs w:val="18"/>
                <w:color w:val="auto"/>
              </w:rPr>
              <w:t>Borrowings under term loan</w:t>
            </w:r>
          </w:p>
        </w:tc>
        <w:tc>
          <w:tcPr>
            <w:tcW w:w="460" w:type="dxa"/>
            <w:vAlign w:val="bottom"/>
            <w:shd w:val="clear" w:color="auto" w:fill="E6E6E6"/>
          </w:tcPr>
          <w:p>
            <w:pPr>
              <w:spacing w:after="0"/>
              <w:rPr>
                <w:sz w:val="17"/>
                <w:szCs w:val="17"/>
                <w:color w:val="auto"/>
              </w:rPr>
            </w:pPr>
          </w:p>
        </w:tc>
        <w:tc>
          <w:tcPr>
            <w:tcW w:w="860" w:type="dxa"/>
            <w:vAlign w:val="bottom"/>
            <w:shd w:val="clear" w:color="auto" w:fill="E6E6E6"/>
          </w:tcPr>
          <w:p>
            <w:pPr>
              <w:jc w:val="right"/>
              <w:ind w:right="113"/>
              <w:spacing w:after="0" w:line="202" w:lineRule="exact"/>
              <w:rPr>
                <w:sz w:val="20"/>
                <w:szCs w:val="20"/>
                <w:color w:val="auto"/>
              </w:rPr>
            </w:pPr>
            <w:r>
              <w:rPr>
                <w:rFonts w:ascii="Arial" w:cs="Arial" w:eastAsia="Arial" w:hAnsi="Arial"/>
                <w:sz w:val="18"/>
                <w:szCs w:val="18"/>
                <w:color w:val="auto"/>
              </w:rPr>
              <w:t>—</w:t>
            </w:r>
          </w:p>
        </w:tc>
        <w:tc>
          <w:tcPr>
            <w:tcW w:w="380" w:type="dxa"/>
            <w:vAlign w:val="bottom"/>
            <w:shd w:val="clear" w:color="auto" w:fill="E6E6E6"/>
          </w:tcPr>
          <w:p>
            <w:pPr>
              <w:spacing w:after="0"/>
              <w:rPr>
                <w:sz w:val="17"/>
                <w:szCs w:val="17"/>
                <w:color w:val="auto"/>
              </w:rPr>
            </w:pPr>
          </w:p>
        </w:tc>
        <w:tc>
          <w:tcPr>
            <w:tcW w:w="860" w:type="dxa"/>
            <w:vAlign w:val="bottom"/>
            <w:shd w:val="clear" w:color="auto" w:fill="E6E6E6"/>
          </w:tcPr>
          <w:p>
            <w:pPr>
              <w:jc w:val="right"/>
              <w:ind w:right="113"/>
              <w:spacing w:after="0" w:line="202" w:lineRule="exact"/>
              <w:rPr>
                <w:sz w:val="20"/>
                <w:szCs w:val="20"/>
                <w:color w:val="auto"/>
              </w:rPr>
            </w:pPr>
            <w:r>
              <w:rPr>
                <w:rFonts w:ascii="Arial" w:cs="Arial" w:eastAsia="Arial" w:hAnsi="Arial"/>
                <w:sz w:val="18"/>
                <w:szCs w:val="18"/>
                <w:color w:val="auto"/>
              </w:rPr>
              <w:t>—</w:t>
            </w:r>
          </w:p>
        </w:tc>
        <w:tc>
          <w:tcPr>
            <w:tcW w:w="420" w:type="dxa"/>
            <w:vAlign w:val="bottom"/>
            <w:shd w:val="clear" w:color="auto" w:fill="E6E6E6"/>
          </w:tcPr>
          <w:p>
            <w:pPr>
              <w:spacing w:after="0"/>
              <w:rPr>
                <w:sz w:val="17"/>
                <w:szCs w:val="17"/>
                <w:color w:val="auto"/>
              </w:rPr>
            </w:pPr>
          </w:p>
        </w:tc>
        <w:tc>
          <w:tcPr>
            <w:tcW w:w="780" w:type="dxa"/>
            <w:vAlign w:val="bottom"/>
            <w:shd w:val="clear" w:color="auto" w:fill="E6E6E6"/>
          </w:tcPr>
          <w:p>
            <w:pPr>
              <w:jc w:val="right"/>
              <w:ind w:right="33"/>
              <w:spacing w:after="0" w:line="202" w:lineRule="exact"/>
              <w:rPr>
                <w:sz w:val="20"/>
                <w:szCs w:val="20"/>
                <w:color w:val="auto"/>
              </w:rPr>
            </w:pPr>
            <w:r>
              <w:rPr>
                <w:rFonts w:ascii="Arial" w:cs="Arial" w:eastAsia="Arial" w:hAnsi="Arial"/>
                <w:sz w:val="18"/>
                <w:szCs w:val="18"/>
                <w:color w:val="auto"/>
              </w:rPr>
              <w:t>200.0</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40" w:type="dxa"/>
            <w:vAlign w:val="bottom"/>
          </w:tcPr>
          <w:p>
            <w:pPr>
              <w:ind w:left="140"/>
              <w:spacing w:after="0" w:line="202" w:lineRule="exact"/>
              <w:rPr>
                <w:sz w:val="20"/>
                <w:szCs w:val="20"/>
                <w:color w:val="auto"/>
              </w:rPr>
            </w:pPr>
            <w:r>
              <w:rPr>
                <w:rFonts w:ascii="Arial" w:cs="Arial" w:eastAsia="Arial" w:hAnsi="Arial"/>
                <w:sz w:val="18"/>
                <w:szCs w:val="18"/>
                <w:color w:val="auto"/>
              </w:rPr>
              <w:t>Repayment of term loan</w:t>
            </w:r>
          </w:p>
        </w:tc>
        <w:tc>
          <w:tcPr>
            <w:tcW w:w="460" w:type="dxa"/>
            <w:vAlign w:val="bottom"/>
          </w:tcPr>
          <w:p>
            <w:pPr>
              <w:spacing w:after="0"/>
              <w:rPr>
                <w:sz w:val="17"/>
                <w:szCs w:val="17"/>
                <w:color w:val="auto"/>
              </w:rPr>
            </w:pPr>
          </w:p>
        </w:tc>
        <w:tc>
          <w:tcPr>
            <w:tcW w:w="860" w:type="dxa"/>
            <w:vAlign w:val="bottom"/>
          </w:tcPr>
          <w:p>
            <w:pPr>
              <w:jc w:val="right"/>
              <w:ind w:right="53"/>
              <w:spacing w:after="0" w:line="202" w:lineRule="exact"/>
              <w:rPr>
                <w:sz w:val="20"/>
                <w:szCs w:val="20"/>
                <w:color w:val="auto"/>
              </w:rPr>
            </w:pPr>
            <w:r>
              <w:rPr>
                <w:rFonts w:ascii="Arial" w:cs="Arial" w:eastAsia="Arial" w:hAnsi="Arial"/>
                <w:sz w:val="18"/>
                <w:szCs w:val="18"/>
                <w:color w:val="auto"/>
              </w:rPr>
              <w:t>(42.8)</w:t>
            </w:r>
          </w:p>
        </w:tc>
        <w:tc>
          <w:tcPr>
            <w:tcW w:w="380" w:type="dxa"/>
            <w:vAlign w:val="bottom"/>
          </w:tcPr>
          <w:p>
            <w:pPr>
              <w:spacing w:after="0"/>
              <w:rPr>
                <w:sz w:val="17"/>
                <w:szCs w:val="17"/>
                <w:color w:val="auto"/>
              </w:rPr>
            </w:pPr>
          </w:p>
        </w:tc>
        <w:tc>
          <w:tcPr>
            <w:tcW w:w="860" w:type="dxa"/>
            <w:vAlign w:val="bottom"/>
          </w:tcPr>
          <w:p>
            <w:pPr>
              <w:jc w:val="right"/>
              <w:ind w:right="53"/>
              <w:spacing w:after="0" w:line="202" w:lineRule="exact"/>
              <w:rPr>
                <w:sz w:val="20"/>
                <w:szCs w:val="20"/>
                <w:color w:val="auto"/>
              </w:rPr>
            </w:pPr>
            <w:r>
              <w:rPr>
                <w:rFonts w:ascii="Arial" w:cs="Arial" w:eastAsia="Arial" w:hAnsi="Arial"/>
                <w:sz w:val="18"/>
                <w:szCs w:val="18"/>
                <w:color w:val="auto"/>
              </w:rPr>
              <w:t>(42.8)</w:t>
            </w:r>
          </w:p>
        </w:tc>
        <w:tc>
          <w:tcPr>
            <w:tcW w:w="42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(21.4)</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40" w:type="dxa"/>
            <w:vAlign w:val="bottom"/>
            <w:shd w:val="clear" w:color="auto" w:fill="E6E6E6"/>
          </w:tcPr>
          <w:p>
            <w:pPr>
              <w:ind w:left="140"/>
              <w:spacing w:after="0" w:line="202" w:lineRule="exact"/>
              <w:rPr>
                <w:sz w:val="20"/>
                <w:szCs w:val="20"/>
                <w:color w:val="auto"/>
              </w:rPr>
            </w:pPr>
            <w:r>
              <w:rPr>
                <w:rFonts w:ascii="Arial" w:cs="Arial" w:eastAsia="Arial" w:hAnsi="Arial"/>
                <w:sz w:val="18"/>
                <w:szCs w:val="18"/>
                <w:color w:val="auto"/>
              </w:rPr>
              <w:t>Repurchase of 5.00% notes</w:t>
            </w:r>
          </w:p>
        </w:tc>
        <w:tc>
          <w:tcPr>
            <w:tcW w:w="460" w:type="dxa"/>
            <w:vAlign w:val="bottom"/>
            <w:shd w:val="clear" w:color="auto" w:fill="E6E6E6"/>
          </w:tcPr>
          <w:p>
            <w:pPr>
              <w:spacing w:after="0"/>
              <w:rPr>
                <w:sz w:val="17"/>
                <w:szCs w:val="17"/>
                <w:color w:val="auto"/>
              </w:rPr>
            </w:pPr>
          </w:p>
        </w:tc>
        <w:tc>
          <w:tcPr>
            <w:tcW w:w="860" w:type="dxa"/>
            <w:vAlign w:val="bottom"/>
            <w:shd w:val="clear" w:color="auto" w:fill="E6E6E6"/>
          </w:tcPr>
          <w:p>
            <w:pPr>
              <w:jc w:val="right"/>
              <w:ind w:right="53"/>
              <w:spacing w:after="0" w:line="202" w:lineRule="exact"/>
              <w:rPr>
                <w:sz w:val="20"/>
                <w:szCs w:val="20"/>
                <w:color w:val="auto"/>
              </w:rPr>
            </w:pPr>
            <w:r>
              <w:rPr>
                <w:rFonts w:ascii="Arial" w:cs="Arial" w:eastAsia="Arial" w:hAnsi="Arial"/>
                <w:sz w:val="18"/>
                <w:szCs w:val="18"/>
                <w:color w:val="auto"/>
              </w:rPr>
              <w:t>(4.1)</w:t>
            </w:r>
          </w:p>
        </w:tc>
        <w:tc>
          <w:tcPr>
            <w:tcW w:w="380" w:type="dxa"/>
            <w:vAlign w:val="bottom"/>
            <w:shd w:val="clear" w:color="auto" w:fill="E6E6E6"/>
          </w:tcPr>
          <w:p>
            <w:pPr>
              <w:spacing w:after="0"/>
              <w:rPr>
                <w:sz w:val="17"/>
                <w:szCs w:val="17"/>
                <w:color w:val="auto"/>
              </w:rPr>
            </w:pPr>
          </w:p>
        </w:tc>
        <w:tc>
          <w:tcPr>
            <w:tcW w:w="860" w:type="dxa"/>
            <w:vAlign w:val="bottom"/>
            <w:shd w:val="clear" w:color="auto" w:fill="E6E6E6"/>
          </w:tcPr>
          <w:p>
            <w:pPr>
              <w:jc w:val="right"/>
              <w:ind w:right="53"/>
              <w:spacing w:after="0" w:line="202" w:lineRule="exact"/>
              <w:rPr>
                <w:sz w:val="20"/>
                <w:szCs w:val="20"/>
                <w:color w:val="auto"/>
              </w:rPr>
            </w:pPr>
            <w:r>
              <w:rPr>
                <w:rFonts w:ascii="Arial" w:cs="Arial" w:eastAsia="Arial" w:hAnsi="Arial"/>
                <w:sz w:val="18"/>
                <w:szCs w:val="18"/>
                <w:color w:val="auto"/>
              </w:rPr>
              <w:t>(2.1)</w:t>
            </w:r>
          </w:p>
        </w:tc>
        <w:tc>
          <w:tcPr>
            <w:tcW w:w="420" w:type="dxa"/>
            <w:vAlign w:val="bottom"/>
            <w:shd w:val="clear" w:color="auto" w:fill="E6E6E6"/>
          </w:tcPr>
          <w:p>
            <w:pPr>
              <w:spacing w:after="0"/>
              <w:rPr>
                <w:sz w:val="17"/>
                <w:szCs w:val="17"/>
                <w:color w:val="auto"/>
              </w:rPr>
            </w:pPr>
          </w:p>
        </w:tc>
        <w:tc>
          <w:tcPr>
            <w:tcW w:w="78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(12.4)</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40" w:type="dxa"/>
            <w:vAlign w:val="bottom"/>
          </w:tcPr>
          <w:p>
            <w:pPr>
              <w:ind w:left="140"/>
              <w:spacing w:after="0" w:line="202" w:lineRule="exact"/>
              <w:rPr>
                <w:sz w:val="20"/>
                <w:szCs w:val="20"/>
                <w:color w:val="auto"/>
              </w:rPr>
            </w:pPr>
            <w:r>
              <w:rPr>
                <w:rFonts w:ascii="Arial" w:cs="Arial" w:eastAsia="Arial" w:hAnsi="Arial"/>
                <w:sz w:val="18"/>
                <w:szCs w:val="18"/>
                <w:color w:val="auto"/>
              </w:rPr>
              <w:t>Borrowings under lines of credit</w:t>
            </w:r>
          </w:p>
        </w:tc>
        <w:tc>
          <w:tcPr>
            <w:tcW w:w="460" w:type="dxa"/>
            <w:vAlign w:val="bottom"/>
          </w:tcPr>
          <w:p>
            <w:pPr>
              <w:spacing w:after="0"/>
              <w:rPr>
                <w:sz w:val="17"/>
                <w:szCs w:val="17"/>
                <w:color w:val="auto"/>
              </w:rPr>
            </w:pPr>
          </w:p>
        </w:tc>
        <w:tc>
          <w:tcPr>
            <w:tcW w:w="860" w:type="dxa"/>
            <w:vAlign w:val="bottom"/>
          </w:tcPr>
          <w:p>
            <w:pPr>
              <w:jc w:val="right"/>
              <w:ind w:right="113"/>
              <w:spacing w:after="0" w:line="202" w:lineRule="exact"/>
              <w:rPr>
                <w:sz w:val="20"/>
                <w:szCs w:val="20"/>
                <w:color w:val="auto"/>
              </w:rPr>
            </w:pPr>
            <w:r>
              <w:rPr>
                <w:rFonts w:ascii="Arial" w:cs="Arial" w:eastAsia="Arial" w:hAnsi="Arial"/>
                <w:sz w:val="18"/>
                <w:szCs w:val="18"/>
                <w:color w:val="auto"/>
              </w:rPr>
              <w:t>157.0</w:t>
            </w:r>
          </w:p>
        </w:tc>
        <w:tc>
          <w:tcPr>
            <w:tcW w:w="380" w:type="dxa"/>
            <w:vAlign w:val="bottom"/>
          </w:tcPr>
          <w:p>
            <w:pPr>
              <w:spacing w:after="0"/>
              <w:rPr>
                <w:sz w:val="17"/>
                <w:szCs w:val="17"/>
                <w:color w:val="auto"/>
              </w:rPr>
            </w:pPr>
          </w:p>
        </w:tc>
        <w:tc>
          <w:tcPr>
            <w:tcW w:w="860" w:type="dxa"/>
            <w:vAlign w:val="bottom"/>
          </w:tcPr>
          <w:p>
            <w:pPr>
              <w:jc w:val="right"/>
              <w:ind w:right="113"/>
              <w:spacing w:after="0" w:line="202" w:lineRule="exact"/>
              <w:rPr>
                <w:sz w:val="20"/>
                <w:szCs w:val="20"/>
                <w:color w:val="auto"/>
              </w:rPr>
            </w:pPr>
            <w:r>
              <w:rPr>
                <w:rFonts w:ascii="Arial" w:cs="Arial" w:eastAsia="Arial" w:hAnsi="Arial"/>
                <w:sz w:val="18"/>
                <w:szCs w:val="18"/>
                <w:color w:val="auto"/>
              </w:rPr>
              <w:t>465.0</w:t>
            </w:r>
          </w:p>
        </w:tc>
        <w:tc>
          <w:tcPr>
            <w:tcW w:w="420" w:type="dxa"/>
            <w:vAlign w:val="bottom"/>
          </w:tcPr>
          <w:p>
            <w:pPr>
              <w:spacing w:after="0"/>
              <w:rPr>
                <w:sz w:val="17"/>
                <w:szCs w:val="17"/>
                <w:color w:val="auto"/>
              </w:rPr>
            </w:pPr>
          </w:p>
        </w:tc>
        <w:tc>
          <w:tcPr>
            <w:tcW w:w="780" w:type="dxa"/>
            <w:vAlign w:val="bottom"/>
          </w:tcPr>
          <w:p>
            <w:pPr>
              <w:jc w:val="right"/>
              <w:ind w:right="33"/>
              <w:spacing w:after="0" w:line="202" w:lineRule="exact"/>
              <w:rPr>
                <w:sz w:val="20"/>
                <w:szCs w:val="20"/>
                <w:color w:val="auto"/>
              </w:rPr>
            </w:pPr>
            <w:r>
              <w:rPr>
                <w:rFonts w:ascii="Arial" w:cs="Arial" w:eastAsia="Arial" w:hAnsi="Arial"/>
                <w:sz w:val="18"/>
                <w:szCs w:val="18"/>
                <w:color w:val="auto"/>
              </w:rPr>
              <w:t>470.9</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40" w:type="dxa"/>
            <w:vAlign w:val="bottom"/>
            <w:shd w:val="clear" w:color="auto" w:fill="E6E6E6"/>
          </w:tcPr>
          <w:p>
            <w:pPr>
              <w:ind w:left="140"/>
              <w:spacing w:after="0" w:line="202" w:lineRule="exact"/>
              <w:rPr>
                <w:sz w:val="20"/>
                <w:szCs w:val="20"/>
                <w:color w:val="auto"/>
              </w:rPr>
            </w:pPr>
            <w:r>
              <w:rPr>
                <w:rFonts w:ascii="Arial" w:cs="Arial" w:eastAsia="Arial" w:hAnsi="Arial"/>
                <w:sz w:val="18"/>
                <w:szCs w:val="18"/>
                <w:color w:val="auto"/>
              </w:rPr>
              <w:t>Repayment under lines of credit</w:t>
            </w:r>
          </w:p>
        </w:tc>
        <w:tc>
          <w:tcPr>
            <w:tcW w:w="460" w:type="dxa"/>
            <w:vAlign w:val="bottom"/>
            <w:shd w:val="clear" w:color="auto" w:fill="E6E6E6"/>
          </w:tcPr>
          <w:p>
            <w:pPr>
              <w:spacing w:after="0"/>
              <w:rPr>
                <w:sz w:val="17"/>
                <w:szCs w:val="17"/>
                <w:color w:val="auto"/>
              </w:rPr>
            </w:pPr>
          </w:p>
        </w:tc>
        <w:tc>
          <w:tcPr>
            <w:tcW w:w="860" w:type="dxa"/>
            <w:vAlign w:val="bottom"/>
            <w:shd w:val="clear" w:color="auto" w:fill="E6E6E6"/>
          </w:tcPr>
          <w:p>
            <w:pPr>
              <w:jc w:val="right"/>
              <w:ind w:right="53"/>
              <w:spacing w:after="0" w:line="202" w:lineRule="exact"/>
              <w:rPr>
                <w:sz w:val="20"/>
                <w:szCs w:val="20"/>
                <w:color w:val="auto"/>
              </w:rPr>
            </w:pPr>
            <w:r>
              <w:rPr>
                <w:rFonts w:ascii="Arial" w:cs="Arial" w:eastAsia="Arial" w:hAnsi="Arial"/>
                <w:sz w:val="18"/>
                <w:szCs w:val="18"/>
                <w:color w:val="auto"/>
              </w:rPr>
              <w:t>(159.0)</w:t>
            </w:r>
          </w:p>
        </w:tc>
        <w:tc>
          <w:tcPr>
            <w:tcW w:w="380" w:type="dxa"/>
            <w:vAlign w:val="bottom"/>
            <w:shd w:val="clear" w:color="auto" w:fill="E6E6E6"/>
          </w:tcPr>
          <w:p>
            <w:pPr>
              <w:spacing w:after="0"/>
              <w:rPr>
                <w:sz w:val="17"/>
                <w:szCs w:val="17"/>
                <w:color w:val="auto"/>
              </w:rPr>
            </w:pPr>
          </w:p>
        </w:tc>
        <w:tc>
          <w:tcPr>
            <w:tcW w:w="860" w:type="dxa"/>
            <w:vAlign w:val="bottom"/>
            <w:shd w:val="clear" w:color="auto" w:fill="E6E6E6"/>
          </w:tcPr>
          <w:p>
            <w:pPr>
              <w:jc w:val="right"/>
              <w:ind w:right="53"/>
              <w:spacing w:after="0" w:line="202" w:lineRule="exact"/>
              <w:rPr>
                <w:sz w:val="20"/>
                <w:szCs w:val="20"/>
                <w:color w:val="auto"/>
              </w:rPr>
            </w:pPr>
            <w:r>
              <w:rPr>
                <w:rFonts w:ascii="Arial" w:cs="Arial" w:eastAsia="Arial" w:hAnsi="Arial"/>
                <w:sz w:val="18"/>
                <w:szCs w:val="18"/>
                <w:color w:val="auto"/>
              </w:rPr>
              <w:t>(461.4)</w:t>
            </w:r>
          </w:p>
        </w:tc>
        <w:tc>
          <w:tcPr>
            <w:tcW w:w="420" w:type="dxa"/>
            <w:vAlign w:val="bottom"/>
            <w:shd w:val="clear" w:color="auto" w:fill="E6E6E6"/>
          </w:tcPr>
          <w:p>
            <w:pPr>
              <w:spacing w:after="0"/>
              <w:rPr>
                <w:sz w:val="17"/>
                <w:szCs w:val="17"/>
                <w:color w:val="auto"/>
              </w:rPr>
            </w:pPr>
          </w:p>
        </w:tc>
        <w:tc>
          <w:tcPr>
            <w:tcW w:w="78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(524.5)</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40" w:type="dxa"/>
            <w:vAlign w:val="bottom"/>
          </w:tcPr>
          <w:p>
            <w:pPr>
              <w:ind w:left="140"/>
              <w:spacing w:after="0" w:line="202" w:lineRule="exact"/>
              <w:rPr>
                <w:sz w:val="20"/>
                <w:szCs w:val="20"/>
                <w:color w:val="auto"/>
              </w:rPr>
            </w:pPr>
            <w:r>
              <w:rPr>
                <w:rFonts w:ascii="Arial" w:cs="Arial" w:eastAsia="Arial" w:hAnsi="Arial"/>
                <w:sz w:val="18"/>
                <w:szCs w:val="18"/>
                <w:color w:val="auto"/>
              </w:rPr>
              <w:t>Repayment of capital lease obligations</w:t>
            </w:r>
          </w:p>
        </w:tc>
        <w:tc>
          <w:tcPr>
            <w:tcW w:w="460" w:type="dxa"/>
            <w:vAlign w:val="bottom"/>
          </w:tcPr>
          <w:p>
            <w:pPr>
              <w:spacing w:after="0"/>
              <w:rPr>
                <w:sz w:val="17"/>
                <w:szCs w:val="17"/>
                <w:color w:val="auto"/>
              </w:rPr>
            </w:pPr>
          </w:p>
        </w:tc>
        <w:tc>
          <w:tcPr>
            <w:tcW w:w="860" w:type="dxa"/>
            <w:vAlign w:val="bottom"/>
          </w:tcPr>
          <w:p>
            <w:pPr>
              <w:jc w:val="right"/>
              <w:ind w:right="53"/>
              <w:spacing w:after="0" w:line="202" w:lineRule="exact"/>
              <w:rPr>
                <w:sz w:val="20"/>
                <w:szCs w:val="20"/>
                <w:color w:val="auto"/>
              </w:rPr>
            </w:pPr>
            <w:r>
              <w:rPr>
                <w:rFonts w:ascii="Arial" w:cs="Arial" w:eastAsia="Arial" w:hAnsi="Arial"/>
                <w:sz w:val="18"/>
                <w:szCs w:val="18"/>
                <w:color w:val="auto"/>
              </w:rPr>
              <w:t>(3.4)</w:t>
            </w:r>
          </w:p>
        </w:tc>
        <w:tc>
          <w:tcPr>
            <w:tcW w:w="380" w:type="dxa"/>
            <w:vAlign w:val="bottom"/>
          </w:tcPr>
          <w:p>
            <w:pPr>
              <w:spacing w:after="0"/>
              <w:rPr>
                <w:sz w:val="17"/>
                <w:szCs w:val="17"/>
                <w:color w:val="auto"/>
              </w:rPr>
            </w:pPr>
          </w:p>
        </w:tc>
        <w:tc>
          <w:tcPr>
            <w:tcW w:w="860" w:type="dxa"/>
            <w:vAlign w:val="bottom"/>
          </w:tcPr>
          <w:p>
            <w:pPr>
              <w:jc w:val="right"/>
              <w:ind w:right="53"/>
              <w:spacing w:after="0" w:line="202" w:lineRule="exact"/>
              <w:rPr>
                <w:sz w:val="20"/>
                <w:szCs w:val="20"/>
                <w:color w:val="auto"/>
              </w:rPr>
            </w:pPr>
            <w:r>
              <w:rPr>
                <w:rFonts w:ascii="Arial" w:cs="Arial" w:eastAsia="Arial" w:hAnsi="Arial"/>
                <w:sz w:val="18"/>
                <w:szCs w:val="18"/>
                <w:color w:val="auto"/>
              </w:rPr>
              <w:t>(4.9)</w:t>
            </w:r>
          </w:p>
        </w:tc>
        <w:tc>
          <w:tcPr>
            <w:tcW w:w="42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(5.5)</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40" w:type="dxa"/>
            <w:vAlign w:val="bottom"/>
            <w:shd w:val="clear" w:color="auto" w:fill="E6E6E6"/>
          </w:tcPr>
          <w:p>
            <w:pPr>
              <w:ind w:left="140"/>
              <w:spacing w:after="0" w:line="202" w:lineRule="exact"/>
              <w:rPr>
                <w:sz w:val="20"/>
                <w:szCs w:val="20"/>
                <w:color w:val="auto"/>
              </w:rPr>
            </w:pPr>
            <w:r>
              <w:rPr>
                <w:rFonts w:ascii="Arial" w:cs="Arial" w:eastAsia="Arial" w:hAnsi="Arial"/>
                <w:sz w:val="18"/>
                <w:szCs w:val="18"/>
                <w:color w:val="auto"/>
              </w:rPr>
              <w:t>Reacquisition of common stock</w:t>
            </w:r>
          </w:p>
        </w:tc>
        <w:tc>
          <w:tcPr>
            <w:tcW w:w="460" w:type="dxa"/>
            <w:vAlign w:val="bottom"/>
            <w:shd w:val="clear" w:color="auto" w:fill="E6E6E6"/>
          </w:tcPr>
          <w:p>
            <w:pPr>
              <w:spacing w:after="0"/>
              <w:rPr>
                <w:sz w:val="17"/>
                <w:szCs w:val="17"/>
                <w:color w:val="auto"/>
              </w:rPr>
            </w:pPr>
          </w:p>
        </w:tc>
        <w:tc>
          <w:tcPr>
            <w:tcW w:w="860" w:type="dxa"/>
            <w:vAlign w:val="bottom"/>
            <w:shd w:val="clear" w:color="auto" w:fill="E6E6E6"/>
          </w:tcPr>
          <w:p>
            <w:pPr>
              <w:jc w:val="right"/>
              <w:ind w:right="53"/>
              <w:spacing w:after="0" w:line="202" w:lineRule="exact"/>
              <w:rPr>
                <w:sz w:val="20"/>
                <w:szCs w:val="20"/>
                <w:color w:val="auto"/>
              </w:rPr>
            </w:pPr>
            <w:r>
              <w:rPr>
                <w:rFonts w:ascii="Arial" w:cs="Arial" w:eastAsia="Arial" w:hAnsi="Arial"/>
                <w:sz w:val="18"/>
                <w:szCs w:val="18"/>
                <w:color w:val="auto"/>
              </w:rPr>
              <w:t>(10.8)</w:t>
            </w:r>
          </w:p>
        </w:tc>
        <w:tc>
          <w:tcPr>
            <w:tcW w:w="380" w:type="dxa"/>
            <w:vAlign w:val="bottom"/>
            <w:shd w:val="clear" w:color="auto" w:fill="E6E6E6"/>
          </w:tcPr>
          <w:p>
            <w:pPr>
              <w:spacing w:after="0"/>
              <w:rPr>
                <w:sz w:val="17"/>
                <w:szCs w:val="17"/>
                <w:color w:val="auto"/>
              </w:rPr>
            </w:pPr>
          </w:p>
        </w:tc>
        <w:tc>
          <w:tcPr>
            <w:tcW w:w="860" w:type="dxa"/>
            <w:vAlign w:val="bottom"/>
            <w:shd w:val="clear" w:color="auto" w:fill="E6E6E6"/>
          </w:tcPr>
          <w:p>
            <w:pPr>
              <w:jc w:val="right"/>
              <w:ind w:right="53"/>
              <w:spacing w:after="0" w:line="202" w:lineRule="exact"/>
              <w:rPr>
                <w:sz w:val="20"/>
                <w:szCs w:val="20"/>
                <w:color w:val="auto"/>
              </w:rPr>
            </w:pPr>
            <w:r>
              <w:rPr>
                <w:rFonts w:ascii="Arial" w:cs="Arial" w:eastAsia="Arial" w:hAnsi="Arial"/>
                <w:sz w:val="18"/>
                <w:szCs w:val="18"/>
                <w:color w:val="auto"/>
              </w:rPr>
              <w:t>(34.0)</w:t>
            </w:r>
          </w:p>
        </w:tc>
        <w:tc>
          <w:tcPr>
            <w:tcW w:w="420" w:type="dxa"/>
            <w:vAlign w:val="bottom"/>
            <w:shd w:val="clear" w:color="auto" w:fill="E6E6E6"/>
          </w:tcPr>
          <w:p>
            <w:pPr>
              <w:spacing w:after="0"/>
              <w:rPr>
                <w:sz w:val="17"/>
                <w:szCs w:val="17"/>
                <w:color w:val="auto"/>
              </w:rPr>
            </w:pPr>
          </w:p>
        </w:tc>
        <w:tc>
          <w:tcPr>
            <w:tcW w:w="78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(220.0)</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40" w:type="dxa"/>
            <w:vAlign w:val="bottom"/>
          </w:tcPr>
          <w:p>
            <w:pPr>
              <w:ind w:left="140"/>
              <w:spacing w:after="0" w:line="202" w:lineRule="exact"/>
              <w:rPr>
                <w:sz w:val="20"/>
                <w:szCs w:val="20"/>
                <w:color w:val="auto"/>
              </w:rPr>
            </w:pPr>
            <w:r>
              <w:rPr>
                <w:rFonts w:ascii="Arial" w:cs="Arial" w:eastAsia="Arial" w:hAnsi="Arial"/>
                <w:sz w:val="18"/>
                <w:szCs w:val="18"/>
                <w:color w:val="auto"/>
              </w:rPr>
              <w:t>Proceeds pursuant to stock-based compensation plans</w:t>
            </w:r>
          </w:p>
        </w:tc>
        <w:tc>
          <w:tcPr>
            <w:tcW w:w="460" w:type="dxa"/>
            <w:vAlign w:val="bottom"/>
          </w:tcPr>
          <w:p>
            <w:pPr>
              <w:spacing w:after="0"/>
              <w:rPr>
                <w:sz w:val="17"/>
                <w:szCs w:val="17"/>
                <w:color w:val="auto"/>
              </w:rPr>
            </w:pPr>
          </w:p>
        </w:tc>
        <w:tc>
          <w:tcPr>
            <w:tcW w:w="860" w:type="dxa"/>
            <w:vAlign w:val="bottom"/>
          </w:tcPr>
          <w:p>
            <w:pPr>
              <w:jc w:val="right"/>
              <w:ind w:right="113"/>
              <w:spacing w:after="0" w:line="202" w:lineRule="exact"/>
              <w:rPr>
                <w:sz w:val="20"/>
                <w:szCs w:val="20"/>
                <w:color w:val="auto"/>
              </w:rPr>
            </w:pPr>
            <w:r>
              <w:rPr>
                <w:rFonts w:ascii="Arial" w:cs="Arial" w:eastAsia="Arial" w:hAnsi="Arial"/>
                <w:sz w:val="18"/>
                <w:szCs w:val="18"/>
                <w:color w:val="auto"/>
              </w:rPr>
              <w:t>3.2</w:t>
            </w:r>
          </w:p>
        </w:tc>
        <w:tc>
          <w:tcPr>
            <w:tcW w:w="380" w:type="dxa"/>
            <w:vAlign w:val="bottom"/>
          </w:tcPr>
          <w:p>
            <w:pPr>
              <w:spacing w:after="0"/>
              <w:rPr>
                <w:sz w:val="17"/>
                <w:szCs w:val="17"/>
                <w:color w:val="auto"/>
              </w:rPr>
            </w:pPr>
          </w:p>
        </w:tc>
        <w:tc>
          <w:tcPr>
            <w:tcW w:w="860" w:type="dxa"/>
            <w:vAlign w:val="bottom"/>
          </w:tcPr>
          <w:p>
            <w:pPr>
              <w:jc w:val="right"/>
              <w:ind w:right="113"/>
              <w:spacing w:after="0" w:line="202" w:lineRule="exact"/>
              <w:rPr>
                <w:sz w:val="20"/>
                <w:szCs w:val="20"/>
                <w:color w:val="auto"/>
              </w:rPr>
            </w:pPr>
            <w:r>
              <w:rPr>
                <w:rFonts w:ascii="Arial" w:cs="Arial" w:eastAsia="Arial" w:hAnsi="Arial"/>
                <w:sz w:val="18"/>
                <w:szCs w:val="18"/>
                <w:color w:val="auto"/>
              </w:rPr>
              <w:t>2.3</w:t>
            </w:r>
          </w:p>
        </w:tc>
        <w:tc>
          <w:tcPr>
            <w:tcW w:w="420" w:type="dxa"/>
            <w:vAlign w:val="bottom"/>
          </w:tcPr>
          <w:p>
            <w:pPr>
              <w:spacing w:after="0"/>
              <w:rPr>
                <w:sz w:val="17"/>
                <w:szCs w:val="17"/>
                <w:color w:val="auto"/>
              </w:rPr>
            </w:pPr>
          </w:p>
        </w:tc>
        <w:tc>
          <w:tcPr>
            <w:tcW w:w="780" w:type="dxa"/>
            <w:vAlign w:val="bottom"/>
          </w:tcPr>
          <w:p>
            <w:pPr>
              <w:jc w:val="right"/>
              <w:ind w:right="33"/>
              <w:spacing w:after="0" w:line="202" w:lineRule="exact"/>
              <w:rPr>
                <w:sz w:val="20"/>
                <w:szCs w:val="20"/>
                <w:color w:val="auto"/>
              </w:rPr>
            </w:pPr>
            <w:r>
              <w:rPr>
                <w:rFonts w:ascii="Arial" w:cs="Arial" w:eastAsia="Arial" w:hAnsi="Arial"/>
                <w:sz w:val="18"/>
                <w:szCs w:val="18"/>
                <w:color w:val="auto"/>
              </w:rPr>
              <w:t>37.6</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40" w:type="dxa"/>
            <w:vAlign w:val="bottom"/>
            <w:shd w:val="clear" w:color="auto" w:fill="E6E6E6"/>
          </w:tcPr>
          <w:p>
            <w:pPr>
              <w:ind w:left="140"/>
              <w:spacing w:after="0" w:line="202" w:lineRule="exact"/>
              <w:rPr>
                <w:sz w:val="20"/>
                <w:szCs w:val="20"/>
                <w:color w:val="auto"/>
              </w:rPr>
            </w:pPr>
            <w:r>
              <w:rPr>
                <w:rFonts w:ascii="Arial" w:cs="Arial" w:eastAsia="Arial" w:hAnsi="Arial"/>
                <w:sz w:val="18"/>
                <w:szCs w:val="18"/>
                <w:color w:val="auto"/>
              </w:rPr>
              <w:t>Payment of dividends</w:t>
            </w:r>
          </w:p>
        </w:tc>
        <w:tc>
          <w:tcPr>
            <w:tcW w:w="460" w:type="dxa"/>
            <w:vAlign w:val="bottom"/>
            <w:shd w:val="clear" w:color="auto" w:fill="E6E6E6"/>
          </w:tcPr>
          <w:p>
            <w:pPr>
              <w:spacing w:after="0"/>
              <w:rPr>
                <w:sz w:val="17"/>
                <w:szCs w:val="17"/>
                <w:color w:val="auto"/>
              </w:rPr>
            </w:pPr>
          </w:p>
        </w:tc>
        <w:tc>
          <w:tcPr>
            <w:tcW w:w="860" w:type="dxa"/>
            <w:vAlign w:val="bottom"/>
            <w:shd w:val="clear" w:color="auto" w:fill="E6E6E6"/>
          </w:tcPr>
          <w:p>
            <w:pPr>
              <w:jc w:val="right"/>
              <w:ind w:right="53"/>
              <w:spacing w:after="0" w:line="202" w:lineRule="exact"/>
              <w:rPr>
                <w:sz w:val="20"/>
                <w:szCs w:val="20"/>
                <w:color w:val="auto"/>
              </w:rPr>
            </w:pPr>
            <w:r>
              <w:rPr>
                <w:rFonts w:ascii="Arial" w:cs="Arial" w:eastAsia="Arial" w:hAnsi="Arial"/>
                <w:sz w:val="18"/>
                <w:szCs w:val="18"/>
                <w:color w:val="auto"/>
              </w:rPr>
              <w:t>(10.9)</w:t>
            </w:r>
          </w:p>
        </w:tc>
        <w:tc>
          <w:tcPr>
            <w:tcW w:w="380" w:type="dxa"/>
            <w:vAlign w:val="bottom"/>
            <w:shd w:val="clear" w:color="auto" w:fill="E6E6E6"/>
          </w:tcPr>
          <w:p>
            <w:pPr>
              <w:spacing w:after="0"/>
              <w:rPr>
                <w:sz w:val="17"/>
                <w:szCs w:val="17"/>
                <w:color w:val="auto"/>
              </w:rPr>
            </w:pPr>
          </w:p>
        </w:tc>
        <w:tc>
          <w:tcPr>
            <w:tcW w:w="860" w:type="dxa"/>
            <w:vAlign w:val="bottom"/>
            <w:shd w:val="clear" w:color="auto" w:fill="E6E6E6"/>
          </w:tcPr>
          <w:p>
            <w:pPr>
              <w:jc w:val="right"/>
              <w:ind w:right="53"/>
              <w:spacing w:after="0" w:line="202" w:lineRule="exact"/>
              <w:rPr>
                <w:sz w:val="20"/>
                <w:szCs w:val="20"/>
                <w:color w:val="auto"/>
              </w:rPr>
            </w:pPr>
            <w:r>
              <w:rPr>
                <w:rFonts w:ascii="Arial" w:cs="Arial" w:eastAsia="Arial" w:hAnsi="Arial"/>
                <w:sz w:val="18"/>
                <w:szCs w:val="18"/>
                <w:color w:val="auto"/>
              </w:rPr>
              <w:t>(8.4)</w:t>
            </w:r>
          </w:p>
        </w:tc>
        <w:tc>
          <w:tcPr>
            <w:tcW w:w="420" w:type="dxa"/>
            <w:vAlign w:val="bottom"/>
            <w:shd w:val="clear" w:color="auto" w:fill="E6E6E6"/>
          </w:tcPr>
          <w:p>
            <w:pPr>
              <w:spacing w:after="0"/>
              <w:rPr>
                <w:sz w:val="17"/>
                <w:szCs w:val="17"/>
                <w:color w:val="auto"/>
              </w:rPr>
            </w:pPr>
          </w:p>
        </w:tc>
        <w:tc>
          <w:tcPr>
            <w:tcW w:w="780" w:type="dxa"/>
            <w:vAlign w:val="bottom"/>
            <w:shd w:val="clear" w:color="auto" w:fill="E6E6E6"/>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640" w:type="dxa"/>
            <w:vAlign w:val="bottom"/>
          </w:tcPr>
          <w:p>
            <w:pPr>
              <w:ind w:left="140"/>
              <w:spacing w:after="0"/>
              <w:rPr>
                <w:sz w:val="20"/>
                <w:szCs w:val="20"/>
                <w:color w:val="auto"/>
              </w:rPr>
            </w:pPr>
            <w:r>
              <w:rPr>
                <w:rFonts w:ascii="Arial" w:cs="Arial" w:eastAsia="Arial" w:hAnsi="Arial"/>
                <w:sz w:val="18"/>
                <w:szCs w:val="18"/>
                <w:color w:val="auto"/>
              </w:rPr>
              <w:t>Other</w:t>
            </w:r>
          </w:p>
        </w:tc>
        <w:tc>
          <w:tcPr>
            <w:tcW w:w="460" w:type="dxa"/>
            <w:vAlign w:val="bottom"/>
          </w:tcPr>
          <w:p>
            <w:pPr>
              <w:spacing w:after="0"/>
              <w:rPr>
                <w:sz w:val="18"/>
                <w:szCs w:val="18"/>
                <w:color w:val="auto"/>
              </w:rPr>
            </w:pPr>
          </w:p>
        </w:tc>
        <w:tc>
          <w:tcPr>
            <w:tcW w:w="860" w:type="dxa"/>
            <w:vAlign w:val="bottom"/>
          </w:tcPr>
          <w:p>
            <w:pPr>
              <w:jc w:val="right"/>
              <w:ind w:right="53"/>
              <w:spacing w:after="0"/>
              <w:rPr>
                <w:sz w:val="20"/>
                <w:szCs w:val="20"/>
                <w:color w:val="auto"/>
              </w:rPr>
            </w:pPr>
            <w:r>
              <w:rPr>
                <w:rFonts w:ascii="Arial" w:cs="Arial" w:eastAsia="Arial" w:hAnsi="Arial"/>
                <w:sz w:val="18"/>
                <w:szCs w:val="18"/>
                <w:color w:val="auto"/>
              </w:rPr>
              <w:t>(0.1)</w:t>
            </w:r>
          </w:p>
        </w:tc>
        <w:tc>
          <w:tcPr>
            <w:tcW w:w="380" w:type="dxa"/>
            <w:vAlign w:val="bottom"/>
          </w:tcPr>
          <w:p>
            <w:pPr>
              <w:spacing w:after="0"/>
              <w:rPr>
                <w:sz w:val="18"/>
                <w:szCs w:val="18"/>
                <w:color w:val="auto"/>
              </w:rPr>
            </w:pPr>
          </w:p>
        </w:tc>
        <w:tc>
          <w:tcPr>
            <w:tcW w:w="86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780" w:type="dxa"/>
            <w:vAlign w:val="bottom"/>
          </w:tcPr>
          <w:p>
            <w:pPr>
              <w:jc w:val="right"/>
              <w:ind w:right="33"/>
              <w:spacing w:after="0"/>
              <w:rPr>
                <w:sz w:val="20"/>
                <w:szCs w:val="20"/>
                <w:color w:val="auto"/>
              </w:rPr>
            </w:pPr>
            <w:r>
              <w:rPr>
                <w:rFonts w:ascii="Arial" w:cs="Arial" w:eastAsia="Arial" w:hAnsi="Arial"/>
                <w:sz w:val="18"/>
                <w:szCs w:val="18"/>
                <w:color w:val="auto"/>
              </w:rPr>
              <w:t>0.9</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764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640" w:type="dxa"/>
            <w:vAlign w:val="bottom"/>
          </w:tcPr>
          <w:p>
            <w:pPr>
              <w:spacing w:after="0"/>
              <w:rPr>
                <w:sz w:val="8"/>
                <w:szCs w:val="8"/>
                <w:color w:val="auto"/>
              </w:rPr>
            </w:pPr>
          </w:p>
        </w:tc>
        <w:tc>
          <w:tcPr>
            <w:tcW w:w="460" w:type="dxa"/>
            <w:vAlign w:val="bottom"/>
          </w:tcPr>
          <w:p>
            <w:pPr>
              <w:spacing w:after="0"/>
              <w:rPr>
                <w:sz w:val="8"/>
                <w:szCs w:val="8"/>
                <w:color w:val="auto"/>
              </w:rPr>
            </w:pPr>
          </w:p>
        </w:tc>
        <w:tc>
          <w:tcPr>
            <w:tcW w:w="860" w:type="dxa"/>
            <w:vAlign w:val="bottom"/>
          </w:tcPr>
          <w:p>
            <w:pPr>
              <w:spacing w:after="0"/>
              <w:rPr>
                <w:sz w:val="8"/>
                <w:szCs w:val="8"/>
                <w:color w:val="auto"/>
              </w:rPr>
            </w:pPr>
          </w:p>
        </w:tc>
        <w:tc>
          <w:tcPr>
            <w:tcW w:w="380" w:type="dxa"/>
            <w:vAlign w:val="bottom"/>
          </w:tcPr>
          <w:p>
            <w:pPr>
              <w:spacing w:after="0"/>
              <w:rPr>
                <w:sz w:val="8"/>
                <w:szCs w:val="8"/>
                <w:color w:val="auto"/>
              </w:rPr>
            </w:pPr>
          </w:p>
        </w:tc>
        <w:tc>
          <w:tcPr>
            <w:tcW w:w="8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40" w:type="dxa"/>
            <w:vAlign w:val="bottom"/>
            <w:shd w:val="clear" w:color="auto" w:fill="E6E6E6"/>
          </w:tcPr>
          <w:p>
            <w:pPr>
              <w:ind w:left="140"/>
              <w:spacing w:after="0" w:line="202" w:lineRule="exact"/>
              <w:rPr>
                <w:sz w:val="20"/>
                <w:szCs w:val="20"/>
                <w:color w:val="auto"/>
              </w:rPr>
            </w:pPr>
            <w:r>
              <w:rPr>
                <w:rFonts w:ascii="Arial" w:cs="Arial" w:eastAsia="Arial" w:hAnsi="Arial"/>
                <w:sz w:val="18"/>
                <w:szCs w:val="18"/>
                <w:color w:val="auto"/>
              </w:rPr>
              <w:t>Net cash used in financing activities of continuing operations</w:t>
            </w:r>
          </w:p>
        </w:tc>
        <w:tc>
          <w:tcPr>
            <w:tcW w:w="460" w:type="dxa"/>
            <w:vAlign w:val="bottom"/>
            <w:shd w:val="clear" w:color="auto" w:fill="E6E6E6"/>
          </w:tcPr>
          <w:p>
            <w:pPr>
              <w:spacing w:after="0"/>
              <w:rPr>
                <w:sz w:val="17"/>
                <w:szCs w:val="17"/>
                <w:color w:val="auto"/>
              </w:rPr>
            </w:pPr>
          </w:p>
        </w:tc>
        <w:tc>
          <w:tcPr>
            <w:tcW w:w="860" w:type="dxa"/>
            <w:vAlign w:val="bottom"/>
            <w:shd w:val="clear" w:color="auto" w:fill="E6E6E6"/>
          </w:tcPr>
          <w:p>
            <w:pPr>
              <w:jc w:val="right"/>
              <w:ind w:right="53"/>
              <w:spacing w:after="0" w:line="202" w:lineRule="exact"/>
              <w:rPr>
                <w:sz w:val="20"/>
                <w:szCs w:val="20"/>
                <w:color w:val="auto"/>
              </w:rPr>
            </w:pPr>
            <w:r>
              <w:rPr>
                <w:rFonts w:ascii="Arial" w:cs="Arial" w:eastAsia="Arial" w:hAnsi="Arial"/>
                <w:sz w:val="18"/>
                <w:szCs w:val="18"/>
                <w:color w:val="auto"/>
              </w:rPr>
              <w:t>(70.9)</w:t>
            </w:r>
          </w:p>
        </w:tc>
        <w:tc>
          <w:tcPr>
            <w:tcW w:w="380" w:type="dxa"/>
            <w:vAlign w:val="bottom"/>
            <w:shd w:val="clear" w:color="auto" w:fill="E6E6E6"/>
          </w:tcPr>
          <w:p>
            <w:pPr>
              <w:spacing w:after="0"/>
              <w:rPr>
                <w:sz w:val="17"/>
                <w:szCs w:val="17"/>
                <w:color w:val="auto"/>
              </w:rPr>
            </w:pPr>
          </w:p>
        </w:tc>
        <w:tc>
          <w:tcPr>
            <w:tcW w:w="860" w:type="dxa"/>
            <w:vAlign w:val="bottom"/>
            <w:shd w:val="clear" w:color="auto" w:fill="E6E6E6"/>
          </w:tcPr>
          <w:p>
            <w:pPr>
              <w:jc w:val="right"/>
              <w:ind w:right="53"/>
              <w:spacing w:after="0" w:line="202" w:lineRule="exact"/>
              <w:rPr>
                <w:sz w:val="20"/>
                <w:szCs w:val="20"/>
                <w:color w:val="auto"/>
              </w:rPr>
            </w:pPr>
            <w:r>
              <w:rPr>
                <w:rFonts w:ascii="Arial" w:cs="Arial" w:eastAsia="Arial" w:hAnsi="Arial"/>
                <w:sz w:val="18"/>
                <w:szCs w:val="18"/>
                <w:color w:val="auto"/>
              </w:rPr>
              <w:t>(86.3)</w:t>
            </w:r>
          </w:p>
        </w:tc>
        <w:tc>
          <w:tcPr>
            <w:tcW w:w="420" w:type="dxa"/>
            <w:vAlign w:val="bottom"/>
            <w:shd w:val="clear" w:color="auto" w:fill="E6E6E6"/>
          </w:tcPr>
          <w:p>
            <w:pPr>
              <w:spacing w:after="0"/>
              <w:rPr>
                <w:sz w:val="17"/>
                <w:szCs w:val="17"/>
                <w:color w:val="auto"/>
              </w:rPr>
            </w:pPr>
          </w:p>
        </w:tc>
        <w:tc>
          <w:tcPr>
            <w:tcW w:w="78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(74.4)</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40" w:type="dxa"/>
            <w:vAlign w:val="bottom"/>
          </w:tcPr>
          <w:p>
            <w:pPr>
              <w:ind w:left="140"/>
              <w:spacing w:after="0" w:line="202" w:lineRule="exact"/>
              <w:rPr>
                <w:sz w:val="20"/>
                <w:szCs w:val="20"/>
                <w:color w:val="auto"/>
              </w:rPr>
            </w:pPr>
            <w:r>
              <w:rPr>
                <w:rFonts w:ascii="Arial" w:cs="Arial" w:eastAsia="Arial" w:hAnsi="Arial"/>
                <w:sz w:val="18"/>
                <w:szCs w:val="18"/>
                <w:color w:val="auto"/>
              </w:rPr>
              <w:t>Net cash used in financing activities</w:t>
            </w:r>
          </w:p>
        </w:tc>
        <w:tc>
          <w:tcPr>
            <w:tcW w:w="460" w:type="dxa"/>
            <w:vAlign w:val="bottom"/>
          </w:tcPr>
          <w:p>
            <w:pPr>
              <w:spacing w:after="0"/>
              <w:rPr>
                <w:sz w:val="17"/>
                <w:szCs w:val="17"/>
                <w:color w:val="auto"/>
              </w:rPr>
            </w:pPr>
          </w:p>
        </w:tc>
        <w:tc>
          <w:tcPr>
            <w:tcW w:w="860" w:type="dxa"/>
            <w:vAlign w:val="bottom"/>
          </w:tcPr>
          <w:p>
            <w:pPr>
              <w:jc w:val="right"/>
              <w:ind w:right="53"/>
              <w:spacing w:after="0" w:line="202" w:lineRule="exact"/>
              <w:rPr>
                <w:sz w:val="20"/>
                <w:szCs w:val="20"/>
                <w:color w:val="auto"/>
              </w:rPr>
            </w:pPr>
            <w:r>
              <w:rPr>
                <w:rFonts w:ascii="Arial" w:cs="Arial" w:eastAsia="Arial" w:hAnsi="Arial"/>
                <w:sz w:val="18"/>
                <w:szCs w:val="18"/>
                <w:color w:val="auto"/>
              </w:rPr>
              <w:t>(70.9)</w:t>
            </w:r>
          </w:p>
        </w:tc>
        <w:tc>
          <w:tcPr>
            <w:tcW w:w="380" w:type="dxa"/>
            <w:vAlign w:val="bottom"/>
          </w:tcPr>
          <w:p>
            <w:pPr>
              <w:spacing w:after="0"/>
              <w:rPr>
                <w:sz w:val="17"/>
                <w:szCs w:val="17"/>
                <w:color w:val="auto"/>
              </w:rPr>
            </w:pPr>
          </w:p>
        </w:tc>
        <w:tc>
          <w:tcPr>
            <w:tcW w:w="860" w:type="dxa"/>
            <w:vAlign w:val="bottom"/>
          </w:tcPr>
          <w:p>
            <w:pPr>
              <w:jc w:val="right"/>
              <w:ind w:right="53"/>
              <w:spacing w:after="0" w:line="202" w:lineRule="exact"/>
              <w:rPr>
                <w:sz w:val="20"/>
                <w:szCs w:val="20"/>
                <w:color w:val="auto"/>
              </w:rPr>
            </w:pPr>
            <w:r>
              <w:rPr>
                <w:rFonts w:ascii="Arial" w:cs="Arial" w:eastAsia="Arial" w:hAnsi="Arial"/>
                <w:sz w:val="18"/>
                <w:szCs w:val="18"/>
                <w:color w:val="auto"/>
              </w:rPr>
              <w:t>(86.3)</w:t>
            </w:r>
          </w:p>
        </w:tc>
        <w:tc>
          <w:tcPr>
            <w:tcW w:w="42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(74.4)</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40" w:type="dxa"/>
            <w:vAlign w:val="bottom"/>
            <w:shd w:val="clear" w:color="auto" w:fill="E6E6E6"/>
          </w:tcPr>
          <w:p>
            <w:pPr>
              <w:ind w:left="140"/>
              <w:spacing w:after="0" w:line="202" w:lineRule="exact"/>
              <w:rPr>
                <w:sz w:val="20"/>
                <w:szCs w:val="20"/>
                <w:color w:val="auto"/>
              </w:rPr>
            </w:pPr>
            <w:r>
              <w:rPr>
                <w:rFonts w:ascii="Arial" w:cs="Arial" w:eastAsia="Arial" w:hAnsi="Arial"/>
                <w:sz w:val="18"/>
                <w:szCs w:val="18"/>
                <w:color w:val="auto"/>
              </w:rPr>
              <w:t>Effect of exchange rate changes on cash and cash equivalents</w:t>
            </w:r>
          </w:p>
        </w:tc>
        <w:tc>
          <w:tcPr>
            <w:tcW w:w="460" w:type="dxa"/>
            <w:vAlign w:val="bottom"/>
            <w:shd w:val="clear" w:color="auto" w:fill="E6E6E6"/>
          </w:tcPr>
          <w:p>
            <w:pPr>
              <w:spacing w:after="0"/>
              <w:rPr>
                <w:sz w:val="17"/>
                <w:szCs w:val="17"/>
                <w:color w:val="auto"/>
              </w:rPr>
            </w:pPr>
          </w:p>
        </w:tc>
        <w:tc>
          <w:tcPr>
            <w:tcW w:w="860" w:type="dxa"/>
            <w:vAlign w:val="bottom"/>
            <w:shd w:val="clear" w:color="auto" w:fill="E6E6E6"/>
          </w:tcPr>
          <w:p>
            <w:pPr>
              <w:jc w:val="right"/>
              <w:ind w:right="113"/>
              <w:spacing w:after="0" w:line="202" w:lineRule="exact"/>
              <w:rPr>
                <w:sz w:val="20"/>
                <w:szCs w:val="20"/>
                <w:color w:val="auto"/>
              </w:rPr>
            </w:pPr>
            <w:r>
              <w:rPr>
                <w:rFonts w:ascii="Arial" w:cs="Arial" w:eastAsia="Arial" w:hAnsi="Arial"/>
                <w:sz w:val="18"/>
                <w:szCs w:val="18"/>
                <w:color w:val="auto"/>
              </w:rPr>
              <w:t>0.6</w:t>
            </w:r>
          </w:p>
        </w:tc>
        <w:tc>
          <w:tcPr>
            <w:tcW w:w="380" w:type="dxa"/>
            <w:vAlign w:val="bottom"/>
            <w:shd w:val="clear" w:color="auto" w:fill="E6E6E6"/>
          </w:tcPr>
          <w:p>
            <w:pPr>
              <w:spacing w:after="0"/>
              <w:rPr>
                <w:sz w:val="17"/>
                <w:szCs w:val="17"/>
                <w:color w:val="auto"/>
              </w:rPr>
            </w:pPr>
          </w:p>
        </w:tc>
        <w:tc>
          <w:tcPr>
            <w:tcW w:w="860" w:type="dxa"/>
            <w:vAlign w:val="bottom"/>
            <w:shd w:val="clear" w:color="auto" w:fill="E6E6E6"/>
          </w:tcPr>
          <w:p>
            <w:pPr>
              <w:jc w:val="right"/>
              <w:ind w:right="53"/>
              <w:spacing w:after="0" w:line="202" w:lineRule="exact"/>
              <w:rPr>
                <w:sz w:val="20"/>
                <w:szCs w:val="20"/>
                <w:color w:val="auto"/>
              </w:rPr>
            </w:pPr>
            <w:r>
              <w:rPr>
                <w:rFonts w:ascii="Arial" w:cs="Arial" w:eastAsia="Arial" w:hAnsi="Arial"/>
                <w:sz w:val="18"/>
                <w:szCs w:val="18"/>
                <w:color w:val="auto"/>
              </w:rPr>
              <w:t>(5.7)</w:t>
            </w:r>
          </w:p>
        </w:tc>
        <w:tc>
          <w:tcPr>
            <w:tcW w:w="420" w:type="dxa"/>
            <w:vAlign w:val="bottom"/>
            <w:shd w:val="clear" w:color="auto" w:fill="E6E6E6"/>
          </w:tcPr>
          <w:p>
            <w:pPr>
              <w:spacing w:after="0"/>
              <w:rPr>
                <w:sz w:val="17"/>
                <w:szCs w:val="17"/>
                <w:color w:val="auto"/>
              </w:rPr>
            </w:pPr>
          </w:p>
        </w:tc>
        <w:tc>
          <w:tcPr>
            <w:tcW w:w="78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(11.1)</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64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4"/>
        </w:trPr>
        <w:tc>
          <w:tcPr>
            <w:tcW w:w="7660" w:type="dxa"/>
            <w:vAlign w:val="bottom"/>
            <w:gridSpan w:val="2"/>
          </w:tcPr>
          <w:p>
            <w:pPr>
              <w:spacing w:after="0"/>
              <w:rPr>
                <w:sz w:val="20"/>
                <w:szCs w:val="20"/>
                <w:color w:val="auto"/>
              </w:rPr>
            </w:pPr>
            <w:r>
              <w:rPr>
                <w:rFonts w:ascii="Arial" w:cs="Arial" w:eastAsia="Arial" w:hAnsi="Arial"/>
                <w:sz w:val="18"/>
                <w:szCs w:val="18"/>
                <w:color w:val="auto"/>
              </w:rPr>
              <w:t>Net increase in cash and cash equivalents</w:t>
            </w:r>
          </w:p>
        </w:tc>
        <w:tc>
          <w:tcPr>
            <w:tcW w:w="460" w:type="dxa"/>
            <w:vAlign w:val="bottom"/>
          </w:tcPr>
          <w:p>
            <w:pPr>
              <w:spacing w:after="0"/>
              <w:rPr>
                <w:sz w:val="24"/>
                <w:szCs w:val="24"/>
                <w:color w:val="auto"/>
              </w:rPr>
            </w:pPr>
          </w:p>
        </w:tc>
        <w:tc>
          <w:tcPr>
            <w:tcW w:w="860" w:type="dxa"/>
            <w:vAlign w:val="bottom"/>
          </w:tcPr>
          <w:p>
            <w:pPr>
              <w:jc w:val="right"/>
              <w:ind w:right="113"/>
              <w:spacing w:after="0"/>
              <w:rPr>
                <w:sz w:val="20"/>
                <w:szCs w:val="20"/>
                <w:color w:val="auto"/>
              </w:rPr>
            </w:pPr>
            <w:r>
              <w:rPr>
                <w:rFonts w:ascii="Arial" w:cs="Arial" w:eastAsia="Arial" w:hAnsi="Arial"/>
                <w:sz w:val="18"/>
                <w:szCs w:val="18"/>
                <w:color w:val="auto"/>
              </w:rPr>
              <w:t>100.5</w:t>
            </w:r>
          </w:p>
        </w:tc>
        <w:tc>
          <w:tcPr>
            <w:tcW w:w="380" w:type="dxa"/>
            <w:vAlign w:val="bottom"/>
          </w:tcPr>
          <w:p>
            <w:pPr>
              <w:spacing w:after="0"/>
              <w:rPr>
                <w:sz w:val="24"/>
                <w:szCs w:val="24"/>
                <w:color w:val="auto"/>
              </w:rPr>
            </w:pPr>
          </w:p>
        </w:tc>
        <w:tc>
          <w:tcPr>
            <w:tcW w:w="860" w:type="dxa"/>
            <w:vAlign w:val="bottom"/>
          </w:tcPr>
          <w:p>
            <w:pPr>
              <w:jc w:val="right"/>
              <w:ind w:right="113"/>
              <w:spacing w:after="0"/>
              <w:rPr>
                <w:sz w:val="20"/>
                <w:szCs w:val="20"/>
                <w:color w:val="auto"/>
              </w:rPr>
            </w:pPr>
            <w:r>
              <w:rPr>
                <w:rFonts w:ascii="Arial" w:cs="Arial" w:eastAsia="Arial" w:hAnsi="Arial"/>
                <w:sz w:val="18"/>
                <w:szCs w:val="18"/>
                <w:color w:val="auto"/>
              </w:rPr>
              <w:t>23.2</w:t>
            </w:r>
          </w:p>
        </w:tc>
        <w:tc>
          <w:tcPr>
            <w:tcW w:w="420" w:type="dxa"/>
            <w:vAlign w:val="bottom"/>
          </w:tcPr>
          <w:p>
            <w:pPr>
              <w:spacing w:after="0"/>
              <w:rPr>
                <w:sz w:val="24"/>
                <w:szCs w:val="24"/>
                <w:color w:val="auto"/>
              </w:rPr>
            </w:pPr>
          </w:p>
        </w:tc>
        <w:tc>
          <w:tcPr>
            <w:tcW w:w="780" w:type="dxa"/>
            <w:vAlign w:val="bottom"/>
          </w:tcPr>
          <w:p>
            <w:pPr>
              <w:jc w:val="right"/>
              <w:ind w:right="33"/>
              <w:spacing w:after="0"/>
              <w:rPr>
                <w:sz w:val="20"/>
                <w:szCs w:val="20"/>
                <w:color w:val="auto"/>
              </w:rPr>
            </w:pPr>
            <w:r>
              <w:rPr>
                <w:rFonts w:ascii="Arial" w:cs="Arial" w:eastAsia="Arial" w:hAnsi="Arial"/>
                <w:sz w:val="18"/>
                <w:szCs w:val="18"/>
                <w:color w:val="auto"/>
              </w:rPr>
              <w:t>97.6</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640" w:type="dxa"/>
            <w:vAlign w:val="bottom"/>
            <w:shd w:val="clear" w:color="auto" w:fill="E6E6E6"/>
          </w:tcPr>
          <w:p>
            <w:pPr>
              <w:spacing w:after="0" w:line="206" w:lineRule="exact"/>
              <w:rPr>
                <w:sz w:val="20"/>
                <w:szCs w:val="20"/>
                <w:color w:val="auto"/>
              </w:rPr>
            </w:pPr>
            <w:r>
              <w:rPr>
                <w:rFonts w:ascii="Arial" w:cs="Arial" w:eastAsia="Arial" w:hAnsi="Arial"/>
                <w:sz w:val="18"/>
                <w:szCs w:val="18"/>
                <w:color w:val="auto"/>
              </w:rPr>
              <w:t>Cash and cash equivalents at beginning of period, including cash of discontinued operations of</w:t>
            </w:r>
          </w:p>
        </w:tc>
        <w:tc>
          <w:tcPr>
            <w:tcW w:w="460" w:type="dxa"/>
            <w:vAlign w:val="bottom"/>
            <w:shd w:val="clear" w:color="auto" w:fill="E6E6E6"/>
          </w:tcPr>
          <w:p>
            <w:pPr>
              <w:spacing w:after="0"/>
              <w:rPr>
                <w:sz w:val="17"/>
                <w:szCs w:val="17"/>
                <w:color w:val="auto"/>
              </w:rPr>
            </w:pPr>
          </w:p>
        </w:tc>
        <w:tc>
          <w:tcPr>
            <w:tcW w:w="860" w:type="dxa"/>
            <w:vAlign w:val="bottom"/>
            <w:shd w:val="clear" w:color="auto" w:fill="E6E6E6"/>
          </w:tcPr>
          <w:p>
            <w:pPr>
              <w:spacing w:after="0"/>
              <w:rPr>
                <w:sz w:val="17"/>
                <w:szCs w:val="17"/>
                <w:color w:val="auto"/>
              </w:rPr>
            </w:pPr>
          </w:p>
        </w:tc>
        <w:tc>
          <w:tcPr>
            <w:tcW w:w="380" w:type="dxa"/>
            <w:vAlign w:val="bottom"/>
            <w:shd w:val="clear" w:color="auto" w:fill="E6E6E6"/>
          </w:tcPr>
          <w:p>
            <w:pPr>
              <w:spacing w:after="0"/>
              <w:rPr>
                <w:sz w:val="17"/>
                <w:szCs w:val="17"/>
                <w:color w:val="auto"/>
              </w:rPr>
            </w:pPr>
          </w:p>
        </w:tc>
        <w:tc>
          <w:tcPr>
            <w:tcW w:w="860" w:type="dxa"/>
            <w:vAlign w:val="bottom"/>
            <w:shd w:val="clear" w:color="auto" w:fill="E6E6E6"/>
          </w:tcPr>
          <w:p>
            <w:pPr>
              <w:spacing w:after="0"/>
              <w:rPr>
                <w:sz w:val="17"/>
                <w:szCs w:val="17"/>
                <w:color w:val="auto"/>
              </w:rPr>
            </w:pPr>
          </w:p>
        </w:tc>
        <w:tc>
          <w:tcPr>
            <w:tcW w:w="420" w:type="dxa"/>
            <w:vAlign w:val="bottom"/>
            <w:shd w:val="clear" w:color="auto" w:fill="E6E6E6"/>
          </w:tcPr>
          <w:p>
            <w:pPr>
              <w:spacing w:after="0"/>
              <w:rPr>
                <w:sz w:val="17"/>
                <w:szCs w:val="17"/>
                <w:color w:val="auto"/>
              </w:rPr>
            </w:pPr>
          </w:p>
        </w:tc>
        <w:tc>
          <w:tcPr>
            <w:tcW w:w="780" w:type="dxa"/>
            <w:vAlign w:val="bottom"/>
            <w:shd w:val="clear" w:color="auto" w:fill="E6E6E6"/>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640" w:type="dxa"/>
            <w:vAlign w:val="bottom"/>
            <w:shd w:val="clear" w:color="auto" w:fill="E6E6E6"/>
          </w:tcPr>
          <w:p>
            <w:pPr>
              <w:ind w:left="140"/>
              <w:spacing w:after="0" w:line="200" w:lineRule="exact"/>
              <w:rPr>
                <w:sz w:val="20"/>
                <w:szCs w:val="20"/>
                <w:color w:val="auto"/>
              </w:rPr>
            </w:pPr>
            <w:r>
              <w:rPr>
                <w:rFonts w:ascii="Arial" w:cs="Arial" w:eastAsia="Arial" w:hAnsi="Arial"/>
                <w:sz w:val="18"/>
                <w:szCs w:val="18"/>
                <w:color w:val="auto"/>
              </w:rPr>
              <w:t>$0.0, $4.3 and $3.0 at June 1, 2009, 2008 and 2007, respectively</w:t>
            </w:r>
          </w:p>
        </w:tc>
        <w:tc>
          <w:tcPr>
            <w:tcW w:w="460" w:type="dxa"/>
            <w:vAlign w:val="bottom"/>
            <w:shd w:val="clear" w:color="auto" w:fill="E6E6E6"/>
          </w:tcPr>
          <w:p>
            <w:pPr>
              <w:spacing w:after="0"/>
              <w:rPr>
                <w:sz w:val="17"/>
                <w:szCs w:val="17"/>
                <w:color w:val="auto"/>
              </w:rPr>
            </w:pPr>
          </w:p>
        </w:tc>
        <w:tc>
          <w:tcPr>
            <w:tcW w:w="860" w:type="dxa"/>
            <w:vAlign w:val="bottom"/>
            <w:shd w:val="clear" w:color="auto" w:fill="E6E6E6"/>
          </w:tcPr>
          <w:p>
            <w:pPr>
              <w:jc w:val="right"/>
              <w:ind w:right="113"/>
              <w:spacing w:after="0" w:line="200" w:lineRule="exact"/>
              <w:rPr>
                <w:sz w:val="20"/>
                <w:szCs w:val="20"/>
                <w:color w:val="auto"/>
              </w:rPr>
            </w:pPr>
            <w:r>
              <w:rPr>
                <w:rFonts w:ascii="Arial" w:cs="Arial" w:eastAsia="Arial" w:hAnsi="Arial"/>
                <w:sz w:val="18"/>
                <w:szCs w:val="18"/>
                <w:color w:val="auto"/>
              </w:rPr>
              <w:t>143.6</w:t>
            </w:r>
          </w:p>
        </w:tc>
        <w:tc>
          <w:tcPr>
            <w:tcW w:w="380" w:type="dxa"/>
            <w:vAlign w:val="bottom"/>
            <w:shd w:val="clear" w:color="auto" w:fill="E6E6E6"/>
          </w:tcPr>
          <w:p>
            <w:pPr>
              <w:spacing w:after="0"/>
              <w:rPr>
                <w:sz w:val="17"/>
                <w:szCs w:val="17"/>
                <w:color w:val="auto"/>
              </w:rPr>
            </w:pPr>
          </w:p>
        </w:tc>
        <w:tc>
          <w:tcPr>
            <w:tcW w:w="860" w:type="dxa"/>
            <w:vAlign w:val="bottom"/>
            <w:shd w:val="clear" w:color="auto" w:fill="E6E6E6"/>
          </w:tcPr>
          <w:p>
            <w:pPr>
              <w:jc w:val="right"/>
              <w:ind w:right="113"/>
              <w:spacing w:after="0" w:line="200" w:lineRule="exact"/>
              <w:rPr>
                <w:sz w:val="20"/>
                <w:szCs w:val="20"/>
                <w:color w:val="auto"/>
              </w:rPr>
            </w:pPr>
            <w:r>
              <w:rPr>
                <w:rFonts w:ascii="Arial" w:cs="Arial" w:eastAsia="Arial" w:hAnsi="Arial"/>
                <w:sz w:val="18"/>
                <w:szCs w:val="18"/>
                <w:color w:val="auto"/>
              </w:rPr>
              <w:t>120.4</w:t>
            </w:r>
          </w:p>
        </w:tc>
        <w:tc>
          <w:tcPr>
            <w:tcW w:w="420" w:type="dxa"/>
            <w:vAlign w:val="bottom"/>
            <w:shd w:val="clear" w:color="auto" w:fill="E6E6E6"/>
          </w:tcPr>
          <w:p>
            <w:pPr>
              <w:spacing w:after="0"/>
              <w:rPr>
                <w:sz w:val="17"/>
                <w:szCs w:val="17"/>
                <w:color w:val="auto"/>
              </w:rPr>
            </w:pPr>
          </w:p>
        </w:tc>
        <w:tc>
          <w:tcPr>
            <w:tcW w:w="780" w:type="dxa"/>
            <w:vAlign w:val="bottom"/>
            <w:shd w:val="clear" w:color="auto" w:fill="E6E6E6"/>
          </w:tcPr>
          <w:p>
            <w:pPr>
              <w:jc w:val="right"/>
              <w:ind w:right="33"/>
              <w:spacing w:after="0" w:line="200" w:lineRule="exact"/>
              <w:rPr>
                <w:sz w:val="20"/>
                <w:szCs w:val="20"/>
                <w:color w:val="auto"/>
              </w:rPr>
            </w:pPr>
            <w:r>
              <w:rPr>
                <w:rFonts w:ascii="Arial" w:cs="Arial" w:eastAsia="Arial" w:hAnsi="Arial"/>
                <w:sz w:val="18"/>
                <w:szCs w:val="18"/>
                <w:color w:val="auto"/>
              </w:rPr>
              <w:t>22.8</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7640" w:type="dxa"/>
            <w:vAlign w:val="bottom"/>
          </w:tcPr>
          <w:p>
            <w:pPr>
              <w:spacing w:after="0" w:line="184" w:lineRule="exact"/>
              <w:rPr>
                <w:sz w:val="20"/>
                <w:szCs w:val="20"/>
                <w:color w:val="auto"/>
              </w:rPr>
            </w:pPr>
            <w:r>
              <w:rPr>
                <w:rFonts w:ascii="Arial" w:cs="Arial" w:eastAsia="Arial" w:hAnsi="Arial"/>
                <w:sz w:val="18"/>
                <w:szCs w:val="18"/>
                <w:b w:val="1"/>
                <w:bCs w:val="1"/>
                <w:color w:val="auto"/>
                <w:w w:val="99"/>
              </w:rPr>
              <w:t>Cash and cash equivalents at end of period, including cash of discontinued operations of</w:t>
            </w:r>
          </w:p>
        </w:tc>
        <w:tc>
          <w:tcPr>
            <w:tcW w:w="4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640" w:type="dxa"/>
            <w:vAlign w:val="bottom"/>
          </w:tcPr>
          <w:p>
            <w:pPr>
              <w:ind w:left="140"/>
              <w:spacing w:after="0"/>
              <w:rPr>
                <w:sz w:val="20"/>
                <w:szCs w:val="20"/>
                <w:color w:val="auto"/>
              </w:rPr>
            </w:pPr>
            <w:r>
              <w:rPr>
                <w:rFonts w:ascii="Arial" w:cs="Arial" w:eastAsia="Arial" w:hAnsi="Arial"/>
                <w:sz w:val="18"/>
                <w:szCs w:val="18"/>
                <w:b w:val="1"/>
                <w:bCs w:val="1"/>
                <w:color w:val="auto"/>
              </w:rPr>
              <w:t>$0.0, $0.0 and $4.3 at May 31, 2010, 2009 and 2008, respectively</w:t>
            </w:r>
          </w:p>
        </w:tc>
        <w:tc>
          <w:tcPr>
            <w:tcW w:w="460" w:type="dxa"/>
            <w:vAlign w:val="bottom"/>
          </w:tcPr>
          <w:p>
            <w:pPr>
              <w:jc w:val="right"/>
              <w:ind w:right="72"/>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ind w:right="113"/>
              <w:spacing w:after="0"/>
              <w:rPr>
                <w:sz w:val="20"/>
                <w:szCs w:val="20"/>
                <w:color w:val="auto"/>
              </w:rPr>
            </w:pPr>
            <w:r>
              <w:rPr>
                <w:rFonts w:ascii="Arial" w:cs="Arial" w:eastAsia="Arial" w:hAnsi="Arial"/>
                <w:sz w:val="18"/>
                <w:szCs w:val="18"/>
                <w:b w:val="1"/>
                <w:bCs w:val="1"/>
                <w:color w:val="auto"/>
              </w:rPr>
              <w:t>244.1</w:t>
            </w:r>
          </w:p>
        </w:tc>
        <w:tc>
          <w:tcPr>
            <w:tcW w:w="380" w:type="dxa"/>
            <w:vAlign w:val="bottom"/>
          </w:tcPr>
          <w:p>
            <w:pPr>
              <w:jc w:val="right"/>
              <w:ind w:right="72"/>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ind w:right="113"/>
              <w:spacing w:after="0"/>
              <w:rPr>
                <w:sz w:val="20"/>
                <w:szCs w:val="20"/>
                <w:color w:val="auto"/>
              </w:rPr>
            </w:pPr>
            <w:r>
              <w:rPr>
                <w:rFonts w:ascii="Arial" w:cs="Arial" w:eastAsia="Arial" w:hAnsi="Arial"/>
                <w:sz w:val="18"/>
                <w:szCs w:val="18"/>
                <w:b w:val="1"/>
                <w:bCs w:val="1"/>
                <w:color w:val="auto"/>
              </w:rPr>
              <w:t>143.6</w:t>
            </w:r>
          </w:p>
        </w:tc>
        <w:tc>
          <w:tcPr>
            <w:tcW w:w="420" w:type="dxa"/>
            <w:vAlign w:val="bottom"/>
          </w:tcPr>
          <w:p>
            <w:pPr>
              <w:jc w:val="right"/>
              <w:ind w:right="92"/>
              <w:spacing w:after="0"/>
              <w:rPr>
                <w:sz w:val="20"/>
                <w:szCs w:val="20"/>
                <w:color w:val="auto"/>
              </w:rPr>
            </w:pPr>
            <w:r>
              <w:rPr>
                <w:rFonts w:ascii="Arial" w:cs="Arial" w:eastAsia="Arial" w:hAnsi="Arial"/>
                <w:sz w:val="18"/>
                <w:szCs w:val="18"/>
                <w:b w:val="1"/>
                <w:bCs w:val="1"/>
                <w:color w:val="auto"/>
              </w:rPr>
              <w:t>$</w:t>
            </w:r>
          </w:p>
        </w:tc>
        <w:tc>
          <w:tcPr>
            <w:tcW w:w="780" w:type="dxa"/>
            <w:vAlign w:val="bottom"/>
          </w:tcPr>
          <w:p>
            <w:pPr>
              <w:jc w:val="right"/>
              <w:ind w:right="33"/>
              <w:spacing w:after="0"/>
              <w:rPr>
                <w:sz w:val="20"/>
                <w:szCs w:val="20"/>
                <w:color w:val="auto"/>
              </w:rPr>
            </w:pPr>
            <w:r>
              <w:rPr>
                <w:rFonts w:ascii="Arial" w:cs="Arial" w:eastAsia="Arial" w:hAnsi="Arial"/>
                <w:sz w:val="18"/>
                <w:szCs w:val="18"/>
                <w:b w:val="1"/>
                <w:bCs w:val="1"/>
                <w:color w:val="auto"/>
              </w:rPr>
              <w:t>120.4</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0"/>
        </w:trPr>
        <w:tc>
          <w:tcPr>
            <w:tcW w:w="20" w:type="dxa"/>
            <w:vAlign w:val="bottom"/>
            <w:tcBorders>
              <w:bottom w:val="single" w:sz="8" w:color="808080"/>
            </w:tcBorders>
          </w:tcPr>
          <w:p>
            <w:pPr>
              <w:spacing w:after="0"/>
              <w:rPr>
                <w:sz w:val="10"/>
                <w:szCs w:val="10"/>
                <w:color w:val="auto"/>
              </w:rPr>
            </w:pPr>
          </w:p>
        </w:tc>
        <w:tc>
          <w:tcPr>
            <w:tcW w:w="7640" w:type="dxa"/>
            <w:vAlign w:val="bottom"/>
            <w:tcBorders>
              <w:bottom w:val="single" w:sz="8" w:color="808080"/>
            </w:tcBorders>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-29210</wp:posOffset>
            </wp:positionV>
            <wp:extent cx="12700" cy="298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-29210</wp:posOffset>
            </wp:positionV>
            <wp:extent cx="12700" cy="298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-29210</wp:posOffset>
            </wp:positionV>
            <wp:extent cx="12700" cy="298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-29210</wp:posOffset>
            </wp:positionV>
            <wp:extent cx="12700" cy="298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-29210</wp:posOffset>
            </wp:positionV>
            <wp:extent cx="12700" cy="298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-29210</wp:posOffset>
            </wp:positionV>
            <wp:extent cx="12700" cy="298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-29210</wp:posOffset>
            </wp:positionV>
            <wp:extent cx="12700" cy="298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-29210</wp:posOffset>
            </wp:positionV>
            <wp:extent cx="12700" cy="298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6649085</wp:posOffset>
            </wp:positionH>
            <wp:positionV relativeFrom="paragraph">
              <wp:posOffset>-29210</wp:posOffset>
            </wp:positionV>
            <wp:extent cx="12700" cy="298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-29210</wp:posOffset>
            </wp:positionV>
            <wp:extent cx="12700" cy="298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755" w:right="199" w:bottom="0" w:gutter="0" w:footer="0" w:header="0"/>
        </w:sectPr>
      </w:pPr>
    </w:p>
    <w:bookmarkStart w:id="43" w:name="page44"/>
    <w:bookmarkEnd w:id="43"/>
    <w:p>
      <w:pPr>
        <w:spacing w:after="0"/>
        <w:rPr>
          <w:sz w:val="20"/>
          <w:szCs w:val="20"/>
          <w:color w:val="auto"/>
        </w:rPr>
      </w:pPr>
      <w:r>
        <w:rPr>
          <w:rFonts w:ascii="Arial" w:cs="Arial" w:eastAsia="Arial" w:hAnsi="Arial"/>
          <w:sz w:val="14"/>
          <w:szCs w:val="14"/>
          <w:color w:val="auto"/>
        </w:rPr>
        <w:t>See accompanying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2663825</wp:posOffset>
            </wp:positionH>
            <wp:positionV relativeFrom="paragraph">
              <wp:posOffset>129540</wp:posOffset>
            </wp:positionV>
            <wp:extent cx="1929765" cy="23177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1929765"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right"/>
        <w:ind w:right="4419"/>
        <w:spacing w:after="0"/>
        <w:rPr>
          <w:sz w:val="20"/>
          <w:szCs w:val="20"/>
          <w:color w:val="auto"/>
        </w:rPr>
      </w:pPr>
      <w:r>
        <w:rPr>
          <w:rFonts w:ascii="Arial" w:cs="Arial" w:eastAsia="Arial" w:hAnsi="Arial"/>
          <w:sz w:val="18"/>
          <w:szCs w:val="18"/>
          <w:b w:val="1"/>
          <w:bCs w:val="1"/>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3873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219"/>
          </w:cols>
          <w:pgMar w:left="240" w:top="140" w:right="1440"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263765" cy="8890"/>
                    </a:xfrm>
                    <a:prstGeom prst="rect">
                      <a:avLst/>
                    </a:prstGeom>
                    <a:noFill/>
                  </pic:spPr>
                </pic:pic>
              </a:graphicData>
            </a:graphic>
          </wp:anchor>
        </w:drawing>
        <w:t>Consolidated Statements of Cash Flows</w:t>
      </w:r>
    </w:p>
    <w:p>
      <w:pPr>
        <w:spacing w:after="0" w:line="258" w:lineRule="exact"/>
        <w:rPr>
          <w:sz w:val="20"/>
          <w:szCs w:val="20"/>
          <w:color w:val="auto"/>
        </w:rPr>
      </w:pPr>
    </w:p>
    <w:p>
      <w:pPr>
        <w:ind w:left="10040"/>
        <w:spacing w:after="0"/>
        <w:rPr>
          <w:sz w:val="20"/>
          <w:szCs w:val="20"/>
          <w:color w:val="auto"/>
        </w:rPr>
      </w:pPr>
      <w:r>
        <w:rPr>
          <w:rFonts w:ascii="Arial" w:cs="Arial" w:eastAsia="Arial" w:hAnsi="Arial"/>
          <w:sz w:val="14"/>
          <w:szCs w:val="14"/>
          <w:color w:val="auto"/>
        </w:rPr>
        <w:t>(Amounts in millions)</w:t>
      </w:r>
    </w:p>
    <w:p>
      <w:pPr>
        <w:ind w:left="10020"/>
        <w:spacing w:after="0"/>
        <w:rPr>
          <w:sz w:val="20"/>
          <w:szCs w:val="20"/>
          <w:color w:val="auto"/>
        </w:rPr>
      </w:pPr>
      <w:r>
        <w:rPr>
          <w:rFonts w:ascii="Arial" w:cs="Arial" w:eastAsia="Arial" w:hAnsi="Arial"/>
          <w:sz w:val="14"/>
          <w:szCs w:val="14"/>
          <w:color w:val="auto"/>
        </w:rPr>
        <w:t>Years ended May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7263765" cy="88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24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740" w:type="dxa"/>
            <w:vAlign w:val="bottom"/>
          </w:tcPr>
          <w:p>
            <w:pPr>
              <w:jc w:val="right"/>
              <w:ind w:right="77"/>
              <w:spacing w:after="0"/>
              <w:rPr>
                <w:sz w:val="20"/>
                <w:szCs w:val="20"/>
                <w:color w:val="auto"/>
              </w:rPr>
            </w:pPr>
            <w:r>
              <w:rPr>
                <w:rFonts w:ascii="Arial" w:cs="Arial" w:eastAsia="Arial" w:hAnsi="Arial"/>
                <w:sz w:val="14"/>
                <w:szCs w:val="14"/>
                <w:b w:val="1"/>
                <w:bCs w:val="1"/>
                <w:color w:val="auto"/>
              </w:rPr>
              <w:t>2010</w:t>
            </w:r>
          </w:p>
        </w:tc>
        <w:tc>
          <w:tcPr>
            <w:tcW w:w="500" w:type="dxa"/>
            <w:vAlign w:val="bottom"/>
          </w:tcPr>
          <w:p>
            <w:pPr>
              <w:spacing w:after="0"/>
              <w:rPr>
                <w:sz w:val="15"/>
                <w:szCs w:val="15"/>
                <w:color w:val="auto"/>
              </w:rPr>
            </w:pPr>
          </w:p>
        </w:tc>
        <w:tc>
          <w:tcPr>
            <w:tcW w:w="780" w:type="dxa"/>
            <w:vAlign w:val="bottom"/>
          </w:tcPr>
          <w:p>
            <w:pPr>
              <w:jc w:val="right"/>
              <w:ind w:right="117"/>
              <w:spacing w:after="0"/>
              <w:rPr>
                <w:sz w:val="20"/>
                <w:szCs w:val="20"/>
                <w:color w:val="auto"/>
              </w:rPr>
            </w:pPr>
            <w:r>
              <w:rPr>
                <w:rFonts w:ascii="Arial" w:cs="Arial" w:eastAsia="Arial" w:hAnsi="Arial"/>
                <w:sz w:val="14"/>
                <w:szCs w:val="14"/>
                <w:b w:val="1"/>
                <w:bCs w:val="1"/>
                <w:color w:val="auto"/>
              </w:rPr>
              <w:t>2009</w:t>
            </w:r>
          </w:p>
        </w:tc>
        <w:tc>
          <w:tcPr>
            <w:tcW w:w="500" w:type="dxa"/>
            <w:vAlign w:val="bottom"/>
          </w:tcPr>
          <w:p>
            <w:pPr>
              <w:spacing w:after="0"/>
              <w:rPr>
                <w:sz w:val="15"/>
                <w:szCs w:val="15"/>
                <w:color w:val="auto"/>
              </w:rPr>
            </w:pPr>
          </w:p>
        </w:tc>
        <w:tc>
          <w:tcPr>
            <w:tcW w:w="700" w:type="dxa"/>
            <w:vAlign w:val="bottom"/>
          </w:tcPr>
          <w:p>
            <w:pPr>
              <w:jc w:val="right"/>
              <w:ind w:right="37"/>
              <w:spacing w:after="0"/>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6260" w:type="dxa"/>
            <w:vAlign w:val="bottom"/>
            <w:gridSpan w:val="2"/>
          </w:tcPr>
          <w:p>
            <w:pPr>
              <w:spacing w:after="0"/>
              <w:rPr>
                <w:sz w:val="8"/>
                <w:szCs w:val="8"/>
                <w:color w:val="auto"/>
              </w:rPr>
            </w:pPr>
          </w:p>
        </w:tc>
        <w:tc>
          <w:tcPr>
            <w:tcW w:w="1940" w:type="dxa"/>
            <w:vAlign w:val="bottom"/>
          </w:tcPr>
          <w:p>
            <w:pPr>
              <w:spacing w:after="0"/>
              <w:rPr>
                <w:sz w:val="8"/>
                <w:szCs w:val="8"/>
                <w:color w:val="auto"/>
              </w:rPr>
            </w:pPr>
          </w:p>
        </w:tc>
        <w:tc>
          <w:tcPr>
            <w:tcW w:w="740" w:type="dxa"/>
            <w:vAlign w:val="bottom"/>
          </w:tcPr>
          <w:p>
            <w:pPr>
              <w:spacing w:after="0"/>
              <w:rPr>
                <w:sz w:val="8"/>
                <w:szCs w:val="8"/>
                <w:color w:val="auto"/>
              </w:rPr>
            </w:pPr>
          </w:p>
        </w:tc>
        <w:tc>
          <w:tcPr>
            <w:tcW w:w="500" w:type="dxa"/>
            <w:vAlign w:val="bottom"/>
          </w:tcPr>
          <w:p>
            <w:pPr>
              <w:spacing w:after="0"/>
              <w:rPr>
                <w:sz w:val="8"/>
                <w:szCs w:val="8"/>
                <w:color w:val="auto"/>
              </w:rPr>
            </w:pPr>
          </w:p>
        </w:tc>
        <w:tc>
          <w:tcPr>
            <w:tcW w:w="780" w:type="dxa"/>
            <w:vAlign w:val="bottom"/>
          </w:tcPr>
          <w:p>
            <w:pPr>
              <w:spacing w:after="0"/>
              <w:rPr>
                <w:sz w:val="8"/>
                <w:szCs w:val="8"/>
                <w:color w:val="auto"/>
              </w:rPr>
            </w:pPr>
          </w:p>
        </w:tc>
        <w:tc>
          <w:tcPr>
            <w:tcW w:w="5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240" w:type="dxa"/>
            <w:vAlign w:val="bottom"/>
            <w:tcBorders>
              <w:top w:val="single" w:sz="8" w:color="auto"/>
            </w:tcBorders>
          </w:tcPr>
          <w:p>
            <w:pPr>
              <w:spacing w:after="0"/>
              <w:rPr>
                <w:sz w:val="8"/>
                <w:szCs w:val="8"/>
                <w:color w:val="auto"/>
              </w:rPr>
            </w:pPr>
          </w:p>
        </w:tc>
        <w:tc>
          <w:tcPr>
            <w:tcW w:w="1940" w:type="dxa"/>
            <w:vAlign w:val="bottom"/>
            <w:tcBorders>
              <w:top w:val="single" w:sz="8" w:color="auto"/>
            </w:tcBorders>
          </w:tcPr>
          <w:p>
            <w:pPr>
              <w:spacing w:after="0"/>
              <w:rPr>
                <w:sz w:val="8"/>
                <w:szCs w:val="8"/>
                <w:color w:val="auto"/>
              </w:rPr>
            </w:pPr>
          </w:p>
        </w:tc>
        <w:tc>
          <w:tcPr>
            <w:tcW w:w="740" w:type="dxa"/>
            <w:vAlign w:val="bottom"/>
            <w:tcBorders>
              <w:top w:val="single" w:sz="8" w:color="auto"/>
            </w:tcBorders>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780" w:type="dxa"/>
            <w:vAlign w:val="bottom"/>
            <w:tcBorders>
              <w:top w:val="single" w:sz="8" w:color="auto"/>
            </w:tcBorders>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70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240" w:type="dxa"/>
            <w:vAlign w:val="bottom"/>
            <w:shd w:val="clear" w:color="auto" w:fill="E6E6E6"/>
          </w:tcPr>
          <w:p>
            <w:pPr>
              <w:spacing w:after="0" w:line="202" w:lineRule="exact"/>
              <w:rPr>
                <w:sz w:val="20"/>
                <w:szCs w:val="20"/>
                <w:color w:val="auto"/>
              </w:rPr>
            </w:pPr>
            <w:r>
              <w:rPr>
                <w:rFonts w:ascii="Arial" w:cs="Arial" w:eastAsia="Arial" w:hAnsi="Arial"/>
                <w:sz w:val="18"/>
                <w:szCs w:val="18"/>
                <w:b w:val="1"/>
                <w:bCs w:val="1"/>
                <w:color w:val="auto"/>
              </w:rPr>
              <w:t>Supplemental Information:</w:t>
            </w:r>
          </w:p>
        </w:tc>
        <w:tc>
          <w:tcPr>
            <w:tcW w:w="1940" w:type="dxa"/>
            <w:vAlign w:val="bottom"/>
            <w:shd w:val="clear" w:color="auto" w:fill="E6E6E6"/>
          </w:tcPr>
          <w:p>
            <w:pPr>
              <w:spacing w:after="0"/>
              <w:rPr>
                <w:sz w:val="17"/>
                <w:szCs w:val="17"/>
                <w:color w:val="auto"/>
              </w:rPr>
            </w:pPr>
          </w:p>
        </w:tc>
        <w:tc>
          <w:tcPr>
            <w:tcW w:w="740" w:type="dxa"/>
            <w:vAlign w:val="bottom"/>
            <w:shd w:val="clear" w:color="auto" w:fill="E6E6E6"/>
          </w:tcPr>
          <w:p>
            <w:pPr>
              <w:spacing w:after="0"/>
              <w:rPr>
                <w:sz w:val="17"/>
                <w:szCs w:val="17"/>
                <w:color w:val="auto"/>
              </w:rPr>
            </w:pPr>
          </w:p>
        </w:tc>
        <w:tc>
          <w:tcPr>
            <w:tcW w:w="500" w:type="dxa"/>
            <w:vAlign w:val="bottom"/>
            <w:shd w:val="clear" w:color="auto" w:fill="E6E6E6"/>
          </w:tcPr>
          <w:p>
            <w:pPr>
              <w:spacing w:after="0"/>
              <w:rPr>
                <w:sz w:val="17"/>
                <w:szCs w:val="17"/>
                <w:color w:val="auto"/>
              </w:rPr>
            </w:pPr>
          </w:p>
        </w:tc>
        <w:tc>
          <w:tcPr>
            <w:tcW w:w="780" w:type="dxa"/>
            <w:vAlign w:val="bottom"/>
            <w:shd w:val="clear" w:color="auto" w:fill="E6E6E6"/>
          </w:tcPr>
          <w:p>
            <w:pPr>
              <w:spacing w:after="0"/>
              <w:rPr>
                <w:sz w:val="17"/>
                <w:szCs w:val="17"/>
                <w:color w:val="auto"/>
              </w:rPr>
            </w:pPr>
          </w:p>
        </w:tc>
        <w:tc>
          <w:tcPr>
            <w:tcW w:w="500" w:type="dxa"/>
            <w:vAlign w:val="bottom"/>
            <w:shd w:val="clear" w:color="auto" w:fill="E6E6E6"/>
          </w:tcPr>
          <w:p>
            <w:pPr>
              <w:spacing w:after="0"/>
              <w:rPr>
                <w:sz w:val="17"/>
                <w:szCs w:val="17"/>
                <w:color w:val="auto"/>
              </w:rPr>
            </w:pPr>
          </w:p>
        </w:tc>
        <w:tc>
          <w:tcPr>
            <w:tcW w:w="700" w:type="dxa"/>
            <w:vAlign w:val="bottom"/>
            <w:shd w:val="clear" w:color="auto" w:fill="E6E6E6"/>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40" w:type="dxa"/>
            <w:vAlign w:val="bottom"/>
          </w:tcPr>
          <w:p>
            <w:pPr>
              <w:ind w:left="140"/>
              <w:spacing w:after="0" w:line="202" w:lineRule="exact"/>
              <w:rPr>
                <w:sz w:val="20"/>
                <w:szCs w:val="20"/>
                <w:color w:val="auto"/>
              </w:rPr>
            </w:pPr>
            <w:r>
              <w:rPr>
                <w:rFonts w:ascii="Arial" w:cs="Arial" w:eastAsia="Arial" w:hAnsi="Arial"/>
                <w:sz w:val="18"/>
                <w:szCs w:val="18"/>
                <w:color w:val="auto"/>
              </w:rPr>
              <w:t>Income taxes payments (refunds), net</w:t>
            </w:r>
          </w:p>
        </w:tc>
        <w:tc>
          <w:tcPr>
            <w:tcW w:w="194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w:t>
            </w:r>
          </w:p>
        </w:tc>
        <w:tc>
          <w:tcPr>
            <w:tcW w:w="740" w:type="dxa"/>
            <w:vAlign w:val="bottom"/>
          </w:tcPr>
          <w:p>
            <w:pPr>
              <w:jc w:val="right"/>
              <w:ind w:right="77"/>
              <w:spacing w:after="0" w:line="202" w:lineRule="exact"/>
              <w:rPr>
                <w:sz w:val="20"/>
                <w:szCs w:val="20"/>
                <w:color w:val="auto"/>
              </w:rPr>
            </w:pPr>
            <w:r>
              <w:rPr>
                <w:rFonts w:ascii="Arial" w:cs="Arial" w:eastAsia="Arial" w:hAnsi="Arial"/>
                <w:sz w:val="18"/>
                <w:szCs w:val="18"/>
                <w:color w:val="auto"/>
              </w:rPr>
              <w:t>22.3</w:t>
            </w:r>
          </w:p>
        </w:tc>
        <w:tc>
          <w:tcPr>
            <w:tcW w:w="50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w:t>
            </w:r>
          </w:p>
        </w:tc>
        <w:tc>
          <w:tcPr>
            <w:tcW w:w="780" w:type="dxa"/>
            <w:vAlign w:val="bottom"/>
          </w:tcPr>
          <w:p>
            <w:pPr>
              <w:jc w:val="right"/>
              <w:ind w:right="57"/>
              <w:spacing w:after="0" w:line="202" w:lineRule="exact"/>
              <w:rPr>
                <w:sz w:val="20"/>
                <w:szCs w:val="20"/>
                <w:color w:val="auto"/>
              </w:rPr>
            </w:pPr>
            <w:r>
              <w:rPr>
                <w:rFonts w:ascii="Arial" w:cs="Arial" w:eastAsia="Arial" w:hAnsi="Arial"/>
                <w:sz w:val="18"/>
                <w:szCs w:val="18"/>
                <w:color w:val="auto"/>
              </w:rPr>
              <w:t>(5.3)</w:t>
            </w:r>
          </w:p>
        </w:tc>
        <w:tc>
          <w:tcPr>
            <w:tcW w:w="500" w:type="dxa"/>
            <w:vAlign w:val="bottom"/>
          </w:tcPr>
          <w:p>
            <w:pPr>
              <w:jc w:val="right"/>
              <w:ind w:right="172"/>
              <w:spacing w:after="0" w:line="202" w:lineRule="exact"/>
              <w:rPr>
                <w:sz w:val="20"/>
                <w:szCs w:val="20"/>
                <w:color w:val="auto"/>
              </w:rPr>
            </w:pPr>
            <w:r>
              <w:rPr>
                <w:rFonts w:ascii="Arial" w:cs="Arial" w:eastAsia="Arial" w:hAnsi="Arial"/>
                <w:sz w:val="18"/>
                <w:szCs w:val="18"/>
                <w:color w:val="auto"/>
              </w:rPr>
              <w:t>$</w:t>
            </w:r>
          </w:p>
        </w:tc>
        <w:tc>
          <w:tcPr>
            <w:tcW w:w="700" w:type="dxa"/>
            <w:vAlign w:val="bottom"/>
          </w:tcPr>
          <w:p>
            <w:pPr>
              <w:jc w:val="right"/>
              <w:ind w:right="37"/>
              <w:spacing w:after="0" w:line="202" w:lineRule="exact"/>
              <w:rPr>
                <w:sz w:val="20"/>
                <w:szCs w:val="20"/>
                <w:color w:val="auto"/>
              </w:rPr>
            </w:pPr>
            <w:r>
              <w:rPr>
                <w:rFonts w:ascii="Arial" w:cs="Arial" w:eastAsia="Arial" w:hAnsi="Arial"/>
                <w:sz w:val="18"/>
                <w:szCs w:val="18"/>
                <w:color w:val="auto"/>
              </w:rPr>
              <w:t>45.9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40" w:type="dxa"/>
            <w:vAlign w:val="bottom"/>
            <w:shd w:val="clear" w:color="auto" w:fill="E6E6E6"/>
          </w:tcPr>
          <w:p>
            <w:pPr>
              <w:ind w:left="140"/>
              <w:spacing w:after="0" w:line="202" w:lineRule="exact"/>
              <w:rPr>
                <w:sz w:val="20"/>
                <w:szCs w:val="20"/>
                <w:color w:val="auto"/>
              </w:rPr>
            </w:pPr>
            <w:r>
              <w:rPr>
                <w:rFonts w:ascii="Arial" w:cs="Arial" w:eastAsia="Arial" w:hAnsi="Arial"/>
                <w:sz w:val="18"/>
                <w:szCs w:val="18"/>
                <w:color w:val="auto"/>
              </w:rPr>
              <w:t>Interest paid</w:t>
            </w:r>
          </w:p>
        </w:tc>
        <w:tc>
          <w:tcPr>
            <w:tcW w:w="1940" w:type="dxa"/>
            <w:vAlign w:val="bottom"/>
            <w:shd w:val="clear" w:color="auto" w:fill="E6E6E6"/>
          </w:tcPr>
          <w:p>
            <w:pPr>
              <w:spacing w:after="0"/>
              <w:rPr>
                <w:sz w:val="17"/>
                <w:szCs w:val="17"/>
                <w:color w:val="auto"/>
              </w:rPr>
            </w:pPr>
          </w:p>
        </w:tc>
        <w:tc>
          <w:tcPr>
            <w:tcW w:w="740" w:type="dxa"/>
            <w:vAlign w:val="bottom"/>
            <w:shd w:val="clear" w:color="auto" w:fill="E6E6E6"/>
          </w:tcPr>
          <w:p>
            <w:pPr>
              <w:jc w:val="right"/>
              <w:ind w:right="77"/>
              <w:spacing w:after="0" w:line="202" w:lineRule="exact"/>
              <w:rPr>
                <w:sz w:val="20"/>
                <w:szCs w:val="20"/>
                <w:color w:val="auto"/>
              </w:rPr>
            </w:pPr>
            <w:r>
              <w:rPr>
                <w:rFonts w:ascii="Arial" w:cs="Arial" w:eastAsia="Arial" w:hAnsi="Arial"/>
                <w:sz w:val="18"/>
                <w:szCs w:val="18"/>
                <w:color w:val="auto"/>
              </w:rPr>
              <w:t>16.5</w:t>
            </w:r>
          </w:p>
        </w:tc>
        <w:tc>
          <w:tcPr>
            <w:tcW w:w="500" w:type="dxa"/>
            <w:vAlign w:val="bottom"/>
            <w:shd w:val="clear" w:color="auto" w:fill="E6E6E6"/>
          </w:tcPr>
          <w:p>
            <w:pPr>
              <w:spacing w:after="0"/>
              <w:rPr>
                <w:sz w:val="17"/>
                <w:szCs w:val="17"/>
                <w:color w:val="auto"/>
              </w:rPr>
            </w:pPr>
          </w:p>
        </w:tc>
        <w:tc>
          <w:tcPr>
            <w:tcW w:w="780" w:type="dxa"/>
            <w:vAlign w:val="bottom"/>
            <w:shd w:val="clear" w:color="auto" w:fill="E6E6E6"/>
          </w:tcPr>
          <w:p>
            <w:pPr>
              <w:jc w:val="right"/>
              <w:ind w:right="117"/>
              <w:spacing w:after="0" w:line="202" w:lineRule="exact"/>
              <w:rPr>
                <w:sz w:val="20"/>
                <w:szCs w:val="20"/>
                <w:color w:val="auto"/>
              </w:rPr>
            </w:pPr>
            <w:r>
              <w:rPr>
                <w:rFonts w:ascii="Arial" w:cs="Arial" w:eastAsia="Arial" w:hAnsi="Arial"/>
                <w:sz w:val="18"/>
                <w:szCs w:val="18"/>
                <w:color w:val="auto"/>
              </w:rPr>
              <w:t>23.1</w:t>
            </w:r>
          </w:p>
        </w:tc>
        <w:tc>
          <w:tcPr>
            <w:tcW w:w="500" w:type="dxa"/>
            <w:vAlign w:val="bottom"/>
            <w:shd w:val="clear" w:color="auto" w:fill="E6E6E6"/>
          </w:tcPr>
          <w:p>
            <w:pPr>
              <w:spacing w:after="0"/>
              <w:rPr>
                <w:sz w:val="17"/>
                <w:szCs w:val="17"/>
                <w:color w:val="auto"/>
              </w:rPr>
            </w:pPr>
          </w:p>
        </w:tc>
        <w:tc>
          <w:tcPr>
            <w:tcW w:w="700" w:type="dxa"/>
            <w:vAlign w:val="bottom"/>
            <w:shd w:val="clear" w:color="auto" w:fill="E6E6E6"/>
          </w:tcPr>
          <w:p>
            <w:pPr>
              <w:jc w:val="right"/>
              <w:ind w:right="37"/>
              <w:spacing w:after="0" w:line="202" w:lineRule="exact"/>
              <w:rPr>
                <w:sz w:val="20"/>
                <w:szCs w:val="20"/>
                <w:color w:val="auto"/>
              </w:rPr>
            </w:pPr>
            <w:r>
              <w:rPr>
                <w:rFonts w:ascii="Arial" w:cs="Arial" w:eastAsia="Arial" w:hAnsi="Arial"/>
                <w:sz w:val="18"/>
                <w:szCs w:val="18"/>
                <w:color w:val="auto"/>
              </w:rPr>
              <w:t>33.1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240" w:type="dxa"/>
            <w:vAlign w:val="bottom"/>
          </w:tcPr>
          <w:p>
            <w:pPr>
              <w:ind w:left="140"/>
              <w:spacing w:after="0"/>
              <w:rPr>
                <w:sz w:val="20"/>
                <w:szCs w:val="20"/>
                <w:color w:val="auto"/>
              </w:rPr>
            </w:pPr>
            <w:r>
              <w:rPr>
                <w:rFonts w:ascii="Arial" w:cs="Arial" w:eastAsia="Arial" w:hAnsi="Arial"/>
                <w:sz w:val="18"/>
                <w:szCs w:val="18"/>
                <w:color w:val="auto"/>
              </w:rPr>
              <w:t>Non-cash investing and financing activities: Capital leases</w:t>
            </w:r>
          </w:p>
        </w:tc>
        <w:tc>
          <w:tcPr>
            <w:tcW w:w="1940" w:type="dxa"/>
            <w:vAlign w:val="bottom"/>
          </w:tcPr>
          <w:p>
            <w:pPr>
              <w:spacing w:after="0"/>
              <w:rPr>
                <w:sz w:val="18"/>
                <w:szCs w:val="18"/>
                <w:color w:val="auto"/>
              </w:rPr>
            </w:pPr>
          </w:p>
        </w:tc>
        <w:tc>
          <w:tcPr>
            <w:tcW w:w="740" w:type="dxa"/>
            <w:vAlign w:val="bottom"/>
          </w:tcPr>
          <w:p>
            <w:pPr>
              <w:jc w:val="right"/>
              <w:ind w:right="77"/>
              <w:spacing w:after="0"/>
              <w:rPr>
                <w:sz w:val="20"/>
                <w:szCs w:val="20"/>
                <w:color w:val="auto"/>
              </w:rPr>
            </w:pPr>
            <w:r>
              <w:rPr>
                <w:rFonts w:ascii="Arial" w:cs="Arial" w:eastAsia="Arial" w:hAnsi="Arial"/>
                <w:sz w:val="18"/>
                <w:szCs w:val="18"/>
                <w:color w:val="auto"/>
              </w:rPr>
              <w:t>0.1</w:t>
            </w:r>
          </w:p>
        </w:tc>
        <w:tc>
          <w:tcPr>
            <w:tcW w:w="500" w:type="dxa"/>
            <w:vAlign w:val="bottom"/>
          </w:tcPr>
          <w:p>
            <w:pPr>
              <w:spacing w:after="0"/>
              <w:rPr>
                <w:sz w:val="18"/>
                <w:szCs w:val="18"/>
                <w:color w:val="auto"/>
              </w:rPr>
            </w:pPr>
          </w:p>
        </w:tc>
        <w:tc>
          <w:tcPr>
            <w:tcW w:w="780" w:type="dxa"/>
            <w:vAlign w:val="bottom"/>
          </w:tcPr>
          <w:p>
            <w:pPr>
              <w:jc w:val="right"/>
              <w:ind w:right="117"/>
              <w:spacing w:after="0"/>
              <w:rPr>
                <w:sz w:val="20"/>
                <w:szCs w:val="20"/>
                <w:color w:val="auto"/>
              </w:rPr>
            </w:pPr>
            <w:r>
              <w:rPr>
                <w:rFonts w:ascii="Arial" w:cs="Arial" w:eastAsia="Arial" w:hAnsi="Arial"/>
                <w:sz w:val="18"/>
                <w:szCs w:val="18"/>
                <w:color w:val="auto"/>
              </w:rPr>
              <w:t>0.1</w:t>
            </w:r>
          </w:p>
        </w:tc>
        <w:tc>
          <w:tcPr>
            <w:tcW w:w="500" w:type="dxa"/>
            <w:vAlign w:val="bottom"/>
          </w:tcPr>
          <w:p>
            <w:pPr>
              <w:spacing w:after="0"/>
              <w:rPr>
                <w:sz w:val="18"/>
                <w:szCs w:val="18"/>
                <w:color w:val="auto"/>
              </w:rPr>
            </w:pPr>
          </w:p>
        </w:tc>
        <w:tc>
          <w:tcPr>
            <w:tcW w:w="700" w:type="dxa"/>
            <w:vAlign w:val="bottom"/>
          </w:tcPr>
          <w:p>
            <w:pPr>
              <w:jc w:val="right"/>
              <w:ind w:right="37"/>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6240" w:type="dxa"/>
            <w:vAlign w:val="bottom"/>
            <w:tcBorders>
              <w:bottom w:val="single" w:sz="8" w:color="808080"/>
            </w:tcBorders>
          </w:tcPr>
          <w:p>
            <w:pPr>
              <w:spacing w:after="0"/>
              <w:rPr>
                <w:sz w:val="8"/>
                <w:szCs w:val="8"/>
                <w:color w:val="auto"/>
              </w:rPr>
            </w:pPr>
          </w:p>
        </w:tc>
        <w:tc>
          <w:tcPr>
            <w:tcW w:w="194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2663825</wp:posOffset>
            </wp:positionH>
            <wp:positionV relativeFrom="paragraph">
              <wp:posOffset>129540</wp:posOffset>
            </wp:positionV>
            <wp:extent cx="1929765" cy="23177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1929765"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3873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40"/>
          </w:cols>
          <w:pgMar w:left="240" w:top="755" w:right="219" w:bottom="1440" w:gutter="0" w:footer="0" w:header="0"/>
        </w:sectPr>
      </w:pPr>
    </w:p>
    <w:bookmarkStart w:id="45" w:name="page46"/>
    <w:bookmarkEnd w:id="45"/>
    <w:p>
      <w:pPr>
        <w:ind w:left="370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263765" cy="8890"/>
                    </a:xfrm>
                    <a:prstGeom prst="rect">
                      <a:avLst/>
                    </a:prstGeom>
                    <a:noFill/>
                  </pic:spPr>
                </pic:pic>
              </a:graphicData>
            </a:graphic>
          </wp:anchor>
        </w:drawing>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(Amounts in millions, except share and per share data)</w:t>
      </w:r>
    </w:p>
    <w:p>
      <w:pPr>
        <w:spacing w:after="0" w:line="219" w:lineRule="exact"/>
        <w:rPr>
          <w:sz w:val="20"/>
          <w:szCs w:val="20"/>
          <w:color w:val="auto"/>
        </w:rPr>
      </w:pPr>
    </w:p>
    <w:p>
      <w:pPr>
        <w:ind w:right="1040" w:firstLine="8"/>
        <w:spacing w:after="0" w:line="504" w:lineRule="auto"/>
        <w:tabs>
          <w:tab w:leader="none" w:pos="176"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THE BUSINESS, BASIS OF PRESENTATION AND SUMMARY OF SIGNIFICANT ACCOUNTING POLICIES Description of the business</w:t>
      </w:r>
    </w:p>
    <w:p>
      <w:pPr>
        <w:spacing w:after="0" w:line="1"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Scholastic Corporation (the “Corporation” and together with its subsidiaries, “Scholastic” or the “Company”) is a global children’s publishing, education and media company. Since its founding in 1920, Scholastic has emphasized quality products and a dedication to reading and learning. The Company is the world’s largest publisher and distributor of children’s books and a leading developer of educational technology products. Scholastic also creates quality educational and entertainment materials and products for use in school and at home, including magazines, children’s reference and non-fiction materials, teacher materials, television programming, film, videos and toys. The Company is a leading operator of school-based book clubs and book fairs in the United States. It distributes its products and services through these proprietary channels, as well as directly to schools and libraries, through retail stores and through the internet. The Company’s website, scholastic.com, is a leading site for teachers, classrooms and parents and an award-winning destination for children. In addition to its operations in the United States, Scholastic has long-established operations in Canada, the United Kingdom, Australia, New Zealand and parts of Asia, with newer operations in China, India and Ireland, and, through its export business, sells products in over 140 countries.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222" w:lineRule="exact"/>
        <w:rPr>
          <w:sz w:val="20"/>
          <w:szCs w:val="20"/>
          <w:color w:val="auto"/>
        </w:rPr>
      </w:pPr>
    </w:p>
    <w:p>
      <w:pPr>
        <w:ind w:right="900"/>
        <w:spacing w:after="0" w:line="268" w:lineRule="auto"/>
        <w:rPr>
          <w:sz w:val="20"/>
          <w:szCs w:val="20"/>
          <w:color w:val="auto"/>
        </w:rPr>
      </w:pPr>
      <w:r>
        <w:rPr>
          <w:rFonts w:ascii="Arial" w:cs="Arial" w:eastAsia="Arial" w:hAnsi="Arial"/>
          <w:sz w:val="18"/>
          <w:szCs w:val="18"/>
          <w:color w:val="auto"/>
        </w:rPr>
        <w:t>The consolidated financial statements include the accounts of the Corporation and all wholly-owned and majority-owned subsidiaries. All significant intercompany transactions are eliminated in consolidation.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w:t>
      </w:r>
    </w:p>
    <w:p>
      <w:pPr>
        <w:spacing w:after="0" w:line="222"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The current presentation includes a net reclassification of certain costs to Cost of goods sold from Selling, general and administrative expenses totaling $12.9 and $6.4 for the fiscal years ending May 31, 2009 and 2008, respectively.</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Discontinued Operations</w:t>
      </w:r>
    </w:p>
    <w:p>
      <w:pPr>
        <w:spacing w:after="0" w:line="222" w:lineRule="exact"/>
        <w:rPr>
          <w:sz w:val="20"/>
          <w:szCs w:val="20"/>
          <w:color w:val="auto"/>
        </w:rPr>
      </w:pPr>
    </w:p>
    <w:p>
      <w:pPr>
        <w:ind w:right="180"/>
        <w:spacing w:after="0" w:line="290" w:lineRule="auto"/>
        <w:rPr>
          <w:sz w:val="20"/>
          <w:szCs w:val="20"/>
          <w:color w:val="auto"/>
        </w:rPr>
      </w:pPr>
      <w:r>
        <w:rPr>
          <w:rFonts w:ascii="Arial" w:cs="Arial" w:eastAsia="Arial" w:hAnsi="Arial"/>
          <w:sz w:val="16"/>
          <w:szCs w:val="16"/>
          <w:color w:val="auto"/>
        </w:rPr>
        <w:t>As more fully described in Note 2, “Discontinued Operations,” the Company determined to sell or shut down its domestic, Canadian and UK continuities businesses, and intends to sell a related warehousing and distribution facility located in Maumelle, Arkansas (the “Maumelle Facility”) and an office and distribution facility in Danbury, Connecticut (the “Danbury Facility”). During fiscal 2009, the Company also ceased its operations in Argentina and Mexico, its door-to-door selling operations in Puerto Rico as well as its continuities business in Australia and New Zealand, its corporate book fairs business and closed its Scarsdale, NY store. The Company also sold a trade magazine. Additionally, the Company sold a non-core market research business and a non-core on-line resource for teachers business. In fiscal 2010, the Company sold a previously discontinued non-core book distribution business. All of the above businesses are classified as discontinued operations in the Company’s financial statements.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22"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The Company’s consolidated financial statements have been prepared in accordance with accounting principles generally accepted in the United States. The preparation of these financial statements involves the use of estimates and assumptions by management, which affects the amounts reported in the consolidated financial statements and accompanying notes. The Company bases its estimates on historical experience, current business factors, and various other assumptions believed to be reasonable under the circumstances, all of which are necessary in order to form a basis for determining the carrying values of assets and liabilities. Actual results may differ from those estimates and assumptions. On an on-going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2663825</wp:posOffset>
            </wp:positionH>
            <wp:positionV relativeFrom="paragraph">
              <wp:posOffset>113030</wp:posOffset>
            </wp:positionV>
            <wp:extent cx="1929765" cy="23177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1929765"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3873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80"/>
          </w:cols>
          <w:pgMar w:left="240" w:top="747" w:right="279" w:bottom="1440" w:gutter="0" w:footer="0" w:header="0"/>
        </w:sectPr>
      </w:pPr>
    </w:p>
    <w:bookmarkStart w:id="46" w:name="page47"/>
    <w:bookmarkEnd w:id="46"/>
    <w:p>
      <w:pPr>
        <w:ind w:right="6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263765" cy="8890"/>
                    </a:xfrm>
                    <a:prstGeom prst="rect">
                      <a:avLst/>
                    </a:prstGeom>
                    <a:noFill/>
                  </pic:spPr>
                </pic:pic>
              </a:graphicData>
            </a:graphic>
          </wp:anchor>
        </w:drawing>
        <w:t>basis, the Company evaluates the adequacy of its reserves and the estimates used in calculations, including, but not limited to: collectability of accounts receivable; sales returns; amortization periods; stock-based compensation expense; pension and other post-retirement obligations; tax rates; and recoverability of inventories, deferred promotion costs, deferred income taxes and tax reserves, fixed assets, prepublication costs, and royalty advances, and the fair value of goodwill and other intangibles. In addition, for a description of the significant assumptions and estimates used by management in connection with discontinued operations, see Note 2, “Discontinued Operations.”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Significant Accounting Policies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The Company’s revenue recognition policies for its principal businesses are as follows: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School-Based Book Clubs </w:t>
      </w:r>
      <w:r>
        <w:rPr>
          <w:rFonts w:ascii="Arial" w:cs="Arial" w:eastAsia="Arial" w:hAnsi="Arial"/>
          <w:sz w:val="18"/>
          <w:szCs w:val="18"/>
          <w:color w:val="auto"/>
        </w:rPr>
        <w:t>– Revenue from school-based book clubs is recognized upon shipment of the products.</w:t>
      </w:r>
    </w:p>
    <w:p>
      <w:pPr>
        <w:spacing w:after="0" w:line="225" w:lineRule="exact"/>
        <w:rPr>
          <w:sz w:val="20"/>
          <w:szCs w:val="20"/>
          <w:color w:val="auto"/>
        </w:rPr>
      </w:pPr>
    </w:p>
    <w:p>
      <w:pPr>
        <w:jc w:val="both"/>
        <w:ind w:right="380"/>
        <w:spacing w:after="0" w:line="310" w:lineRule="auto"/>
        <w:rPr>
          <w:sz w:val="20"/>
          <w:szCs w:val="20"/>
          <w:color w:val="auto"/>
        </w:rPr>
      </w:pPr>
      <w:r>
        <w:rPr>
          <w:rFonts w:ascii="Arial" w:cs="Arial" w:eastAsia="Arial" w:hAnsi="Arial"/>
          <w:sz w:val="16"/>
          <w:szCs w:val="16"/>
          <w:b w:val="1"/>
          <w:bCs w:val="1"/>
          <w:color w:val="auto"/>
        </w:rPr>
        <w:t xml:space="preserve">School-Based Book Fairs </w:t>
      </w:r>
      <w:r>
        <w:rPr>
          <w:rFonts w:ascii="Arial" w:cs="Arial" w:eastAsia="Arial" w:hAnsi="Arial"/>
          <w:sz w:val="16"/>
          <w:szCs w:val="16"/>
          <w:color w:val="auto"/>
        </w:rPr>
        <w:t>– Revenues associated with school-based book fairs are related to sales of product. Book fairs are typically run by schools and/or</w:t>
      </w:r>
      <w:r>
        <w:rPr>
          <w:rFonts w:ascii="Arial" w:cs="Arial" w:eastAsia="Arial" w:hAnsi="Arial"/>
          <w:sz w:val="16"/>
          <w:szCs w:val="16"/>
          <w:b w:val="1"/>
          <w:bCs w:val="1"/>
          <w:color w:val="auto"/>
        </w:rPr>
        <w:t xml:space="preserve"> </w:t>
      </w:r>
      <w:r>
        <w:rPr>
          <w:rFonts w:ascii="Arial" w:cs="Arial" w:eastAsia="Arial" w:hAnsi="Arial"/>
          <w:sz w:val="16"/>
          <w:szCs w:val="16"/>
          <w:color w:val="auto"/>
        </w:rPr>
        <w:t>parent teacher organizations over a five business day period. At the end of reporting periods, the Company defers revenue for those fairs that have not been completed as of the period end based on the number of fair days occurring after period end on a straight-line calculation of the full fair’s revenue.</w:t>
      </w:r>
    </w:p>
    <w:p>
      <w:pPr>
        <w:spacing w:after="0" w:line="151"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b w:val="1"/>
          <w:bCs w:val="1"/>
          <w:color w:val="auto"/>
        </w:rPr>
        <w:t xml:space="preserve">Trade </w:t>
      </w:r>
      <w:r>
        <w:rPr>
          <w:rFonts w:ascii="Arial" w:cs="Arial" w:eastAsia="Arial" w:hAnsi="Arial"/>
          <w:sz w:val="18"/>
          <w:szCs w:val="18"/>
          <w:color w:val="auto"/>
        </w:rPr>
        <w:t>– Revenue from the sale of children’s books for distribution in the retail channel is recognized when the risks and benefits transfer to the customer, which</w:t>
      </w:r>
      <w:r>
        <w:rPr>
          <w:rFonts w:ascii="Arial" w:cs="Arial" w:eastAsia="Arial" w:hAnsi="Arial"/>
          <w:sz w:val="18"/>
          <w:szCs w:val="18"/>
          <w:b w:val="1"/>
          <w:bCs w:val="1"/>
          <w:color w:val="auto"/>
        </w:rPr>
        <w:t xml:space="preserve"> </w:t>
      </w:r>
      <w:r>
        <w:rPr>
          <w:rFonts w:ascii="Arial" w:cs="Arial" w:eastAsia="Arial" w:hAnsi="Arial"/>
          <w:sz w:val="18"/>
          <w:szCs w:val="18"/>
          <w:color w:val="auto"/>
        </w:rPr>
        <w:t>generally is at the time of shipment. For newly published titles, the Company, on occasion, contractually agrees with its customers when the publication may be first offered for sale to the public, or an agreed upon “Release Date”. For such titles, the risks and benefits of the publication are not deemed to be transferred to the customer until such time that the publication can contractually be sold to the public, and the Company defers revenue on sales of such titles until such time as the customer is permitted to sell the product to the public.</w:t>
      </w:r>
    </w:p>
    <w:p>
      <w:pPr>
        <w:spacing w:after="0" w:line="199"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A reserve for estimated returns is established at the time of sale and recorded as a reduction to revenue. Actual returns are charged to the reserve as received. The calculation of the reserve for estimated returns is based on historical return rates and sales patterns. A reserve for estimated bad debts is established at the time of sale and is based on the aging of accounts receivable held by the Company’s third party administrator. While the Company uses a third party to invoice and collect for shipments made, the Company bears the majority of the responsibility in the case of uncollectible accounts.</w:t>
      </w:r>
    </w:p>
    <w:p>
      <w:pPr>
        <w:spacing w:after="0" w:line="161" w:lineRule="exact"/>
        <w:rPr>
          <w:sz w:val="20"/>
          <w:szCs w:val="20"/>
          <w:color w:val="auto"/>
        </w:rPr>
      </w:pPr>
    </w:p>
    <w:p>
      <w:pPr>
        <w:ind w:right="60"/>
        <w:spacing w:after="0" w:line="326" w:lineRule="auto"/>
        <w:rPr>
          <w:sz w:val="20"/>
          <w:szCs w:val="20"/>
          <w:color w:val="auto"/>
        </w:rPr>
      </w:pPr>
      <w:r>
        <w:rPr>
          <w:rFonts w:ascii="Arial" w:cs="Arial" w:eastAsia="Arial" w:hAnsi="Arial"/>
          <w:sz w:val="15"/>
          <w:szCs w:val="15"/>
          <w:b w:val="1"/>
          <w:bCs w:val="1"/>
          <w:color w:val="auto"/>
        </w:rPr>
        <w:t xml:space="preserve">Educational Publishing </w:t>
      </w:r>
      <w:r>
        <w:rPr>
          <w:rFonts w:ascii="Arial" w:cs="Arial" w:eastAsia="Arial" w:hAnsi="Arial"/>
          <w:sz w:val="15"/>
          <w:szCs w:val="15"/>
          <w:color w:val="auto"/>
        </w:rPr>
        <w:t>– For shipments to schools, revenue is recognized when risks and benefits transfer to the customer. Shipments to depositories are on</w:t>
      </w:r>
      <w:r>
        <w:rPr>
          <w:rFonts w:ascii="Arial" w:cs="Arial" w:eastAsia="Arial" w:hAnsi="Arial"/>
          <w:sz w:val="15"/>
          <w:szCs w:val="15"/>
          <w:b w:val="1"/>
          <w:bCs w:val="1"/>
          <w:color w:val="auto"/>
        </w:rPr>
        <w:t xml:space="preserve"> </w:t>
      </w:r>
      <w:r>
        <w:rPr>
          <w:rFonts w:ascii="Arial" w:cs="Arial" w:eastAsia="Arial" w:hAnsi="Arial"/>
          <w:sz w:val="15"/>
          <w:szCs w:val="15"/>
          <w:color w:val="auto"/>
        </w:rPr>
        <w:t>consignment and revenue is recognized based on actual shipments from the depositories to the schools. For certain software-based products, the Company offers new customers installation and training. In such cases, software-based product sales and services are accounted for as separate units of accounting and total proceeds are allocated based upon the relative fair values of these units. Service revenue is recognized as services are provided or over the life of the contract.</w:t>
      </w:r>
    </w:p>
    <w:p>
      <w:pPr>
        <w:spacing w:after="0" w:line="143" w:lineRule="exact"/>
        <w:rPr>
          <w:sz w:val="20"/>
          <w:szCs w:val="20"/>
          <w:color w:val="auto"/>
        </w:rPr>
      </w:pPr>
    </w:p>
    <w:p>
      <w:pPr>
        <w:ind w:right="240"/>
        <w:spacing w:after="0" w:line="310" w:lineRule="auto"/>
        <w:rPr>
          <w:sz w:val="20"/>
          <w:szCs w:val="20"/>
          <w:color w:val="auto"/>
        </w:rPr>
      </w:pPr>
      <w:r>
        <w:rPr>
          <w:rFonts w:ascii="Arial" w:cs="Arial" w:eastAsia="Arial" w:hAnsi="Arial"/>
          <w:sz w:val="16"/>
          <w:szCs w:val="16"/>
          <w:b w:val="1"/>
          <w:bCs w:val="1"/>
          <w:color w:val="auto"/>
        </w:rPr>
        <w:t xml:space="preserve">Toy Catalog </w:t>
      </w:r>
      <w:r>
        <w:rPr>
          <w:rFonts w:ascii="Arial" w:cs="Arial" w:eastAsia="Arial" w:hAnsi="Arial"/>
          <w:sz w:val="16"/>
          <w:szCs w:val="16"/>
          <w:color w:val="auto"/>
        </w:rPr>
        <w:t>– Revenue from the sale of children’s toys to the home through catalogs is recognized when risks and benefits transfer to the customer, which</w:t>
      </w:r>
      <w:r>
        <w:rPr>
          <w:rFonts w:ascii="Arial" w:cs="Arial" w:eastAsia="Arial" w:hAnsi="Arial"/>
          <w:sz w:val="16"/>
          <w:szCs w:val="16"/>
          <w:b w:val="1"/>
          <w:bCs w:val="1"/>
          <w:color w:val="auto"/>
        </w:rPr>
        <w:t xml:space="preserve"> </w:t>
      </w:r>
      <w:r>
        <w:rPr>
          <w:rFonts w:ascii="Arial" w:cs="Arial" w:eastAsia="Arial" w:hAnsi="Arial"/>
          <w:sz w:val="16"/>
          <w:szCs w:val="16"/>
          <w:color w:val="auto"/>
        </w:rPr>
        <w:t>generally is at the time of shipment. A reserve for estimated returns is established at the time of sale and recorded as a reduction to revenue. Actual returns are charged to the reserve as received. The calculation of the reserve for estimated returns is based on historical return rates and sales patterns.</w:t>
      </w:r>
    </w:p>
    <w:p>
      <w:pPr>
        <w:spacing w:after="0" w:line="151" w:lineRule="exact"/>
        <w:rPr>
          <w:sz w:val="20"/>
          <w:szCs w:val="20"/>
          <w:color w:val="auto"/>
        </w:rPr>
      </w:pPr>
    </w:p>
    <w:p>
      <w:pPr>
        <w:spacing w:after="0" w:line="262" w:lineRule="auto"/>
        <w:rPr>
          <w:sz w:val="20"/>
          <w:szCs w:val="20"/>
          <w:color w:val="auto"/>
        </w:rPr>
      </w:pPr>
      <w:r>
        <w:rPr>
          <w:rFonts w:ascii="Arial" w:cs="Arial" w:eastAsia="Arial" w:hAnsi="Arial"/>
          <w:sz w:val="18"/>
          <w:szCs w:val="18"/>
          <w:b w:val="1"/>
          <w:bCs w:val="1"/>
          <w:color w:val="auto"/>
        </w:rPr>
        <w:t xml:space="preserve">Film Production and Licensing </w:t>
      </w:r>
      <w:r>
        <w:rPr>
          <w:rFonts w:ascii="Arial" w:cs="Arial" w:eastAsia="Arial" w:hAnsi="Arial"/>
          <w:sz w:val="18"/>
          <w:szCs w:val="18"/>
          <w:color w:val="auto"/>
        </w:rPr>
        <w:t>– Revenue from the sale of film rights, principally for the home video and domestic and foreign television markets, is</w:t>
      </w:r>
      <w:r>
        <w:rPr>
          <w:rFonts w:ascii="Arial" w:cs="Arial" w:eastAsia="Arial" w:hAnsi="Arial"/>
          <w:sz w:val="18"/>
          <w:szCs w:val="18"/>
          <w:b w:val="1"/>
          <w:bCs w:val="1"/>
          <w:color w:val="auto"/>
        </w:rPr>
        <w:t xml:space="preserve"> </w:t>
      </w:r>
      <w:r>
        <w:rPr>
          <w:rFonts w:ascii="Arial" w:cs="Arial" w:eastAsia="Arial" w:hAnsi="Arial"/>
          <w:sz w:val="18"/>
          <w:szCs w:val="18"/>
          <w:color w:val="auto"/>
        </w:rPr>
        <w:t>recognized when the film has been delivered and is available for showing or exploitation. Licensing revenue is recorded in accordance with royalty agreements at the time the licensed materials are available to the licensee and collections are reasonably assured.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2663825</wp:posOffset>
            </wp:positionH>
            <wp:positionV relativeFrom="paragraph">
              <wp:posOffset>127635</wp:posOffset>
            </wp:positionV>
            <wp:extent cx="1929765" cy="23177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1929765"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3873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60"/>
          </w:cols>
          <w:pgMar w:left="240" w:top="833" w:right="299" w:bottom="1440" w:gutter="0" w:footer="0" w:header="0"/>
        </w:sectPr>
      </w:pPr>
    </w:p>
    <w:bookmarkStart w:id="47" w:name="page48"/>
    <w:bookmarkEnd w:id="47"/>
    <w:p>
      <w:pPr>
        <w:ind w:right="24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263765" cy="8890"/>
                    </a:xfrm>
                    <a:prstGeom prst="rect">
                      <a:avLst/>
                    </a:prstGeom>
                    <a:noFill/>
                  </pic:spPr>
                </pic:pic>
              </a:graphicData>
            </a:graphic>
          </wp:anchor>
        </w:drawing>
        <w:t xml:space="preserve">Magazines </w:t>
      </w:r>
      <w:r>
        <w:rPr>
          <w:rFonts w:ascii="Arial" w:cs="Arial" w:eastAsia="Arial" w:hAnsi="Arial"/>
          <w:sz w:val="18"/>
          <w:szCs w:val="18"/>
          <w:color w:val="auto"/>
        </w:rPr>
        <w:t>– Revenue is deferred and recognized ratably over the subscription period, as the magazines are delivered. Advertising revenue is recognized when</w:t>
      </w:r>
      <w:r>
        <w:rPr>
          <w:rFonts w:ascii="Arial" w:cs="Arial" w:eastAsia="Arial" w:hAnsi="Arial"/>
          <w:sz w:val="18"/>
          <w:szCs w:val="18"/>
          <w:b w:val="1"/>
          <w:bCs w:val="1"/>
          <w:color w:val="auto"/>
        </w:rPr>
        <w:t xml:space="preserve"> </w:t>
      </w:r>
      <w:r>
        <w:rPr>
          <w:rFonts w:ascii="Arial" w:cs="Arial" w:eastAsia="Arial" w:hAnsi="Arial"/>
          <w:sz w:val="18"/>
          <w:szCs w:val="18"/>
          <w:color w:val="auto"/>
        </w:rPr>
        <w:t>the magazine is on sale and available to the subscribers.</w:t>
      </w:r>
    </w:p>
    <w:p>
      <w:pPr>
        <w:spacing w:after="0" w:line="174" w:lineRule="exact"/>
        <w:rPr>
          <w:sz w:val="20"/>
          <w:szCs w:val="20"/>
          <w:color w:val="auto"/>
        </w:rPr>
      </w:pPr>
    </w:p>
    <w:p>
      <w:pPr>
        <w:ind w:right="20"/>
        <w:spacing w:after="0" w:line="275" w:lineRule="auto"/>
        <w:rPr>
          <w:sz w:val="20"/>
          <w:szCs w:val="20"/>
          <w:color w:val="auto"/>
        </w:rPr>
      </w:pPr>
      <w:r>
        <w:rPr>
          <w:rFonts w:ascii="Arial" w:cs="Arial" w:eastAsia="Arial" w:hAnsi="Arial"/>
          <w:sz w:val="18"/>
          <w:szCs w:val="18"/>
          <w:b w:val="1"/>
          <w:bCs w:val="1"/>
          <w:color w:val="auto"/>
        </w:rPr>
        <w:t xml:space="preserve">Scholastic In-School Marketing </w:t>
      </w:r>
      <w:r>
        <w:rPr>
          <w:rFonts w:ascii="Arial" w:cs="Arial" w:eastAsia="Arial" w:hAnsi="Arial"/>
          <w:sz w:val="18"/>
          <w:szCs w:val="18"/>
          <w:color w:val="auto"/>
        </w:rPr>
        <w:t>– Revenue is recognized when the Company has satisfied its obligations under the program and the customer has acknowledged</w:t>
      </w:r>
      <w:r>
        <w:rPr>
          <w:rFonts w:ascii="Arial" w:cs="Arial" w:eastAsia="Arial" w:hAnsi="Arial"/>
          <w:sz w:val="18"/>
          <w:szCs w:val="18"/>
          <w:b w:val="1"/>
          <w:bCs w:val="1"/>
          <w:color w:val="auto"/>
        </w:rPr>
        <w:t xml:space="preserve"> </w:t>
      </w:r>
      <w:r>
        <w:rPr>
          <w:rFonts w:ascii="Arial" w:cs="Arial" w:eastAsia="Arial" w:hAnsi="Arial"/>
          <w:sz w:val="18"/>
          <w:szCs w:val="18"/>
          <w:color w:val="auto"/>
        </w:rPr>
        <w:t>acceptance of the product or service.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equivalents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Cash equivalents consist of short-term investments with original maturities of three months or less.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w:t>
      </w:r>
    </w:p>
    <w:p>
      <w:pPr>
        <w:spacing w:after="0" w:line="222"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Accounts receivable are recorded net of allowances for doubtful accounts and reserves for returns. In the normal course of business, the Company extends credit to customers that satisfy predefined credit criteria. The Company is required to estimate the collectability of its receivables. Reserves for returns are based on historical return rates and sales patterns. Allowances for doubtful accounts are established through the evaluation of accounts receivable aging and prior collection experience to estimate the ultimate collectability of these receivables.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Inventories</w:t>
      </w:r>
    </w:p>
    <w:p>
      <w:pPr>
        <w:spacing w:after="0" w:line="222" w:lineRule="exact"/>
        <w:rPr>
          <w:sz w:val="20"/>
          <w:szCs w:val="20"/>
          <w:color w:val="auto"/>
        </w:rPr>
      </w:pPr>
    </w:p>
    <w:p>
      <w:pPr>
        <w:ind w:right="420"/>
        <w:spacing w:after="0" w:line="332" w:lineRule="auto"/>
        <w:rPr>
          <w:sz w:val="20"/>
          <w:szCs w:val="20"/>
          <w:color w:val="auto"/>
        </w:rPr>
      </w:pPr>
      <w:r>
        <w:rPr>
          <w:rFonts w:ascii="Arial" w:cs="Arial" w:eastAsia="Arial" w:hAnsi="Arial"/>
          <w:sz w:val="16"/>
          <w:szCs w:val="16"/>
          <w:color w:val="auto"/>
        </w:rPr>
        <w:t>Inventories, consisting principally of books, are stated at the lower of cost, using the first-in, first-out method, or market. The Company records a reserve for excess and obsolete inventory based upon a calculation using the historical usage rates and sales patterns of its products.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plant and equipment</w:t>
      </w:r>
    </w:p>
    <w:p>
      <w:pPr>
        <w:spacing w:after="0" w:line="222"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Property, plant and equipment are stated at cost. Depreciation and amortization are recorded on a straight-line basis, over estimated useful lives. Buildings have an estimated useful life, for purposes of depreciation, of forty years. Capitalized software, net of accumulated amortization, was $61.2 and $59.8 at May 31, 2010 and 2009, respectively. Capitalized software is depreciated over a period of three to seven years. Amortization expense for capitalized software was $25.0, $25.2 and $21.1 for the fiscal years ended May 31, 2010, 2009 and 2008, respectively. Furniture, fixtures and equipment are depreciated over periods not exceeding ten years. Leasehold improvements are amortized over the life of the lease or the life of the assets, whichever is shorter The Company evaluates the depreciation periods of property, plant and equipment to determine whether events or circumstances warrant revised estimates of useful lives.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222"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Lease agreements are evaluated to determine whether they are capital or operating leases in accordance with FASB Accounting Standards Codification (ASC) Topic 840, “Leases” (“Topic 840”). When substantially all of the risks and benefits of property ownership have been transferred to the Company, as determined by the test criteria in Topic 840, the lease then qualifies as a capital lease.</w:t>
      </w:r>
    </w:p>
    <w:p>
      <w:pPr>
        <w:spacing w:after="0" w:line="194"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Capital leases are capitalized at the lower of the net present value of the total amount of rent payable under the leasing agreement (excluding finance charges) or the fair market value of the leased asset. Capital lease assets are depreciated on a straight-line basis, over a period consistent with the Company’s normal depreciation policy for tangible fixed assets, but not exceeding the lease term. Interest charges are expensed over the period of the lease in relation to the carrying value of the capital lease obligation.</w:t>
      </w:r>
    </w:p>
    <w:p>
      <w:pPr>
        <w:spacing w:after="0" w:line="197"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Rent expense for operating leases, which may include free rent or fixed escalation amounts in addition to minimum lease payments, is recognized on a straight-line basis over the duration of each lease term.</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Prepublication costs</w:t>
      </w:r>
    </w:p>
    <w:p>
      <w:pPr>
        <w:spacing w:after="0" w:line="222" w:lineRule="exact"/>
        <w:rPr>
          <w:sz w:val="20"/>
          <w:szCs w:val="20"/>
          <w:color w:val="auto"/>
        </w:rPr>
      </w:pPr>
    </w:p>
    <w:p>
      <w:pPr>
        <w:ind w:right="240"/>
        <w:spacing w:after="0" w:line="306" w:lineRule="auto"/>
        <w:rPr>
          <w:sz w:val="20"/>
          <w:szCs w:val="20"/>
          <w:color w:val="auto"/>
        </w:rPr>
      </w:pPr>
      <w:r>
        <w:rPr>
          <w:rFonts w:ascii="Arial" w:cs="Arial" w:eastAsia="Arial" w:hAnsi="Arial"/>
          <w:sz w:val="16"/>
          <w:szCs w:val="16"/>
          <w:color w:val="auto"/>
        </w:rPr>
        <w:t>The Company capitalizes the art, prepress, editorial, digital conversion and other costs incurred in the creation of the master copy of a book or other media (the “prepublication costs”). Prepublication costs are amortized on a straight-line basis over a three- to seven-year period based on expected future revenues. The Company regularly reviews the recoverability of the capitalized costs based on expected future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2663825</wp:posOffset>
            </wp:positionH>
            <wp:positionV relativeFrom="paragraph">
              <wp:posOffset>107315</wp:posOffset>
            </wp:positionV>
            <wp:extent cx="1929765" cy="23177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1929765"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3873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827" w:right="2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263765" cy="8890"/>
                    </a:xfrm>
                    <a:prstGeom prst="rect">
                      <a:avLst/>
                    </a:prstGeom>
                    <a:noFill/>
                  </pic:spPr>
                </pic:pic>
              </a:graphicData>
            </a:graphic>
          </wp:anchor>
        </w:drawing>
        <w:t>Royalty advances</w:t>
      </w:r>
    </w:p>
    <w:p>
      <w:pPr>
        <w:spacing w:after="0" w:line="222" w:lineRule="exact"/>
        <w:rPr>
          <w:sz w:val="20"/>
          <w:szCs w:val="20"/>
          <w:color w:val="auto"/>
        </w:rPr>
      </w:pPr>
    </w:p>
    <w:p>
      <w:pPr>
        <w:ind w:right="140"/>
        <w:spacing w:after="0" w:line="290" w:lineRule="auto"/>
        <w:rPr>
          <w:sz w:val="20"/>
          <w:szCs w:val="20"/>
          <w:color w:val="auto"/>
        </w:rPr>
      </w:pPr>
      <w:r>
        <w:rPr>
          <w:rFonts w:ascii="Arial" w:cs="Arial" w:eastAsia="Arial" w:hAnsi="Arial"/>
          <w:sz w:val="16"/>
          <w:szCs w:val="16"/>
          <w:color w:val="auto"/>
        </w:rPr>
        <w:t>Royalty advances are initially capitalized and subsequently expensed as related revenues are earned or when the Company determines future recovery is not probable. The Company has a long history of providing authors with royalty advances, and it tracks each advance earned with respect to the sale of the related publication. The royalties earned are applied first against the remaining unearned portion of the advance. Historically, the longer the unearned portion of the advance remains outstanding, the less likely it is that the Company will recover the advance through the sale of the publication. The Company applies this historical experience to its existing outstanding royalty advances to estimate the likelihood of recovery. Additionally, the Company’s editorial staff regularly reviews its portfolio of royalty advances to determine if individual royalty advances are not recoverable for discrete reasons, such as the death of an author prior to completion of a title or titles, a Company decision to not publish a title, poor market demand or other relevant factors that could impact recoverability.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and intangible assets</w:t>
      </w:r>
    </w:p>
    <w:p>
      <w:pPr>
        <w:spacing w:after="0" w:line="222"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Goodwill and other intangible assets with indefinite lives are not amortized and are reviewed for impairment annually or more frequently if impairment indicators arise. With regard to goodwill, the Company compares the estimated fair value of its identified reporting units to the carrying value of the net assets. For each of the reporting units, the estimated fair value is determined utilizing the expected present value of the projected future cash flows of the units, in addition to comparisons to similar companies. The Company reviews its definition of reporting units annually. The Company evaluates its operating segments to determine if there are components one level below the operating segment. A component is present if discrete financial information is available and segment management regularly reviews the operating results of the business. If an operating segment only contains a single component, that component is determined to be a reporting unit for goodwill impairment testing purposes. If an operating segment contains multiple components, the Company evaluates the economic characteristics of these components. Any components within an operating segment that share similar economic characteristics are aggregated and deemed to be a reporting unit for goodwill impairment testing purposes. Components within the same operating segment that do not share similar economic characteristics are deemed to be individual reporting units for goodwill impairment testing purposes. The Company has identified 11 separate reporting units for goodwill impairment testing purposes. For each reporting unit with a goodwill asset, impairment testing is conducted at the reporting unit level.</w:t>
      </w:r>
    </w:p>
    <w:p>
      <w:pPr>
        <w:spacing w:after="0" w:line="181"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With regard to other intangibles with indefinite lives, the Company determines the fair value by asset, which is then compared to its carrying value. The estimated fair value is determined utilizing the expected present value of the projected future cash flows of the asset. Intangible assets with definite lives consist principally of customer lists, covenants not to compete, and certain other intellectual property assets and are amortized over their expected useful lives. Customer lists are amortized on a straight-line basis over a five-year period, while covenants not to compete are amortized on a straight-line basis over their contractual term. Other intellectual property assets are amortized over their remaining useful lives which range primarily from three to five years.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2"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 Company uses the asset and liability method of accounting for income taxes. Under this method, deferred tax assets and liabilities are determined based on differences between financial reporting and tax bases of assets and liabilities and are measured using enacted tax rates and laws that will be in effect when the differences are expected to enter into the determination of taxable income.</w:t>
      </w:r>
    </w:p>
    <w:p>
      <w:pPr>
        <w:spacing w:after="0" w:line="19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 believes that its taxable earnings, during the periods when the temporary differences giving rise to deferred tax assets become deductible or when tax benefit carryforwards may be utilized, should be sufficient to realize the related future income tax benefits. For those jurisdictions where the expiration date of the tax benefit carryforwards or the projected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2663825</wp:posOffset>
            </wp:positionH>
            <wp:positionV relativeFrom="paragraph">
              <wp:posOffset>128905</wp:posOffset>
            </wp:positionV>
            <wp:extent cx="1929765" cy="23177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1929765"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3873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823" w:right="259" w:bottom="1440" w:gutter="0" w:footer="0" w:header="0"/>
        </w:sectPr>
      </w:pPr>
    </w:p>
    <w:bookmarkStart w:id="49" w:name="page50"/>
    <w:bookmarkEnd w:id="4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263765" cy="8890"/>
                    </a:xfrm>
                    <a:prstGeom prst="rect">
                      <a:avLst/>
                    </a:prstGeom>
                    <a:noFill/>
                  </pic:spPr>
                </pic:pic>
              </a:graphicData>
            </a:graphic>
          </wp:anchor>
        </w:drawing>
        <w:t>taxable earnings indicate that realization is not likely, the Company establishes a valuation allowance.</w:t>
      </w:r>
    </w:p>
    <w:p>
      <w:pPr>
        <w:spacing w:after="0" w:line="225"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In assessing the need for a valuation allowance, the Company estimates future taxable earnings, with consideration for the feasibility of on-going tax planning strategies and the realizability of tax benefit carryforwards, to determine which deferred tax assets are more likely than not to be realized in the future. Valuation allowances related to deferred tax assets can be impacted by changes to tax laws, changes to statutory tax rates and future taxable earnings. In the event that actual results differ from these estimates in future periods, the Company may need to adjust the valuation allowance.</w:t>
      </w:r>
    </w:p>
    <w:p>
      <w:pPr>
        <w:spacing w:after="0" w:line="167" w:lineRule="exact"/>
        <w:rPr>
          <w:sz w:val="20"/>
          <w:szCs w:val="20"/>
          <w:color w:val="auto"/>
        </w:rPr>
      </w:pPr>
    </w:p>
    <w:p>
      <w:pPr>
        <w:ind w:right="420"/>
        <w:spacing w:after="0" w:line="306" w:lineRule="auto"/>
        <w:rPr>
          <w:sz w:val="20"/>
          <w:szCs w:val="20"/>
          <w:color w:val="auto"/>
        </w:rPr>
      </w:pPr>
      <w:r>
        <w:rPr>
          <w:rFonts w:ascii="Arial" w:cs="Arial" w:eastAsia="Arial" w:hAnsi="Arial"/>
          <w:sz w:val="16"/>
          <w:szCs w:val="16"/>
          <w:color w:val="auto"/>
        </w:rPr>
        <w:t>It is the Company’s policy to recognize uncertain income tax positions when the tax position is more likely than not to be sustained upon examination. The Company assesses all income tax positions and adjusts its reserves against these positions periodically based upon these criteria. The Company also assesses potential penalties and interest associated with these tax positions, and includes these amounts as a component of income tax expense.</w:t>
      </w:r>
    </w:p>
    <w:p>
      <w:pPr>
        <w:spacing w:after="0" w:line="161" w:lineRule="exact"/>
        <w:rPr>
          <w:sz w:val="20"/>
          <w:szCs w:val="20"/>
          <w:color w:val="auto"/>
        </w:rPr>
      </w:pPr>
    </w:p>
    <w:p>
      <w:pPr>
        <w:ind w:right="640"/>
        <w:spacing w:after="0" w:line="306" w:lineRule="auto"/>
        <w:rPr>
          <w:sz w:val="20"/>
          <w:szCs w:val="20"/>
          <w:color w:val="auto"/>
        </w:rPr>
      </w:pPr>
      <w:r>
        <w:rPr>
          <w:rFonts w:ascii="Arial" w:cs="Arial" w:eastAsia="Arial" w:hAnsi="Arial"/>
          <w:sz w:val="16"/>
          <w:szCs w:val="16"/>
          <w:color w:val="auto"/>
        </w:rPr>
        <w:t>In calculating the provision for income taxes on an interim basis, the Company uses an estimate of the annual effective tax rate based upon the facts and circumstances known. The Company’s effective tax rate is based on expected income and statutory tax rates and permanent differences between financial statement and tax return income applicable to the Company in the various jurisdictions in which the Company operates.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Unredeemed incentive credits</w:t>
      </w:r>
    </w:p>
    <w:p>
      <w:pPr>
        <w:spacing w:after="0" w:line="222"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The Company employs incentive programs to encourage sponsor participation in its book clubs and book fairs. These programs allow the sponsors to accumulate credits which can then be redeemed for Company products or other items offered by the Company. The Company recognizes a liability for these credits at the time of the recognition of revenue for the underlying purchases of Company product that resulted in the granting of the credit, based on the estimated cost to provide the free products. As the credits are redeemed, such liability is reduced.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noncurrent liabilities</w:t>
      </w:r>
    </w:p>
    <w:p>
      <w:pPr>
        <w:spacing w:after="0" w:line="222" w:lineRule="exact"/>
        <w:rPr>
          <w:sz w:val="20"/>
          <w:szCs w:val="20"/>
          <w:color w:val="auto"/>
        </w:rPr>
      </w:pPr>
    </w:p>
    <w:p>
      <w:pPr>
        <w:ind w:right="100"/>
        <w:spacing w:after="0" w:line="335" w:lineRule="auto"/>
        <w:rPr>
          <w:sz w:val="20"/>
          <w:szCs w:val="20"/>
          <w:color w:val="auto"/>
        </w:rPr>
      </w:pPr>
      <w:r>
        <w:rPr>
          <w:rFonts w:ascii="Arial" w:cs="Arial" w:eastAsia="Arial" w:hAnsi="Arial"/>
          <w:sz w:val="15"/>
          <w:szCs w:val="15"/>
          <w:color w:val="auto"/>
        </w:rPr>
        <w:t>All of the rate assumptions discussed below impact the Company’s calculations of its pension and post-retirement obligations. The rates applied by the Company are based on the portfolios’ past average rates of return, discount rates and actuarial information. Any change in market performance, interest rate performance, assumed health care costs trend rate or compensation rates could result in significant changes in the Company’s pension and post-retirement obligations.</w:t>
      </w:r>
    </w:p>
    <w:p>
      <w:pPr>
        <w:spacing w:after="0" w:line="136" w:lineRule="exact"/>
        <w:rPr>
          <w:sz w:val="20"/>
          <w:szCs w:val="20"/>
          <w:color w:val="auto"/>
        </w:rPr>
      </w:pPr>
    </w:p>
    <w:p>
      <w:pPr>
        <w:jc w:val="both"/>
        <w:ind w:right="280"/>
        <w:spacing w:after="0" w:line="262" w:lineRule="auto"/>
        <w:rPr>
          <w:sz w:val="20"/>
          <w:szCs w:val="20"/>
          <w:color w:val="auto"/>
        </w:rPr>
      </w:pPr>
      <w:r>
        <w:rPr>
          <w:rFonts w:ascii="Arial" w:cs="Arial" w:eastAsia="Arial" w:hAnsi="Arial"/>
          <w:sz w:val="18"/>
          <w:szCs w:val="18"/>
          <w:b w:val="1"/>
          <w:bCs w:val="1"/>
          <w:color w:val="auto"/>
        </w:rPr>
        <w:t xml:space="preserve">Pension obligations </w:t>
      </w:r>
      <w:r>
        <w:rPr>
          <w:rFonts w:ascii="Arial" w:cs="Arial" w:eastAsia="Arial" w:hAnsi="Arial"/>
          <w:sz w:val="18"/>
          <w:szCs w:val="18"/>
          <w:color w:val="auto"/>
        </w:rPr>
        <w:t>– Scholastic Corporation and certain of its subsidiaries have defined benefit pension plans covering the majority of their employees who</w:t>
      </w:r>
      <w:r>
        <w:rPr>
          <w:rFonts w:ascii="Arial" w:cs="Arial" w:eastAsia="Arial" w:hAnsi="Arial"/>
          <w:sz w:val="18"/>
          <w:szCs w:val="18"/>
          <w:b w:val="1"/>
          <w:bCs w:val="1"/>
          <w:color w:val="auto"/>
        </w:rPr>
        <w:t xml:space="preserve"> </w:t>
      </w:r>
      <w:r>
        <w:rPr>
          <w:rFonts w:ascii="Arial" w:cs="Arial" w:eastAsia="Arial" w:hAnsi="Arial"/>
          <w:sz w:val="18"/>
          <w:szCs w:val="18"/>
          <w:color w:val="auto"/>
        </w:rPr>
        <w:t>meet certain eligibility requirements. The Company’s pension plans and other post-retirement benefits are accounted for using actuarial valuations required by ASC Topic 715, “Compensation Retirement Benefits” (“Topic 715”).</w:t>
      </w:r>
    </w:p>
    <w:p>
      <w:pPr>
        <w:spacing w:after="0" w:line="192"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The Company’s pension calculations are based on three primary actuarial assumptions: the discount rate, the long-term expected rate of return on plan assets, and the anticipated rate of compensation increases. The discount rate is used in the measurement of the projected, accumulated and vested benefit obligations and the interest cost component of net periodic pension costs. The long-term expected return on plan assets is used to calculate the expected earnings from the investment or reinvestment of plan assets. The anticipated rate of compensation increase is used to estimate the increase in compensation for participants of the plan from their current age to their assumed retirement age. The estimated compensation amounts are used to determine the benefit obligations and the service cost. Pension benefits in the cash balance plan for employees located in the United States are based on formulas in which the employees’ balances are credited monthly with interest based on the average rate for one-year United States Treasury Bills plus 1%. Contribution credits are based on employees’ years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2663825</wp:posOffset>
            </wp:positionH>
            <wp:positionV relativeFrom="paragraph">
              <wp:posOffset>114935</wp:posOffset>
            </wp:positionV>
            <wp:extent cx="1929765" cy="23177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1929765"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3873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833" w:right="239" w:bottom="1440" w:gutter="0" w:footer="0" w:header="0"/>
        </w:sectPr>
      </w:pPr>
    </w:p>
    <w:bookmarkStart w:id="50" w:name="page51"/>
    <w:bookmarkEnd w:id="5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263765" cy="8890"/>
                    </a:xfrm>
                    <a:prstGeom prst="rect">
                      <a:avLst/>
                    </a:prstGeom>
                    <a:noFill/>
                  </pic:spPr>
                </pic:pic>
              </a:graphicData>
            </a:graphic>
          </wp:anchor>
        </w:drawing>
        <w:t>service and compensation levels during their employment periods.</w:t>
      </w:r>
    </w:p>
    <w:p>
      <w:pPr>
        <w:spacing w:after="0" w:line="219" w:lineRule="exact"/>
        <w:rPr>
          <w:sz w:val="20"/>
          <w:szCs w:val="20"/>
          <w:color w:val="auto"/>
        </w:rPr>
      </w:pPr>
    </w:p>
    <w:p>
      <w:pPr>
        <w:spacing w:after="0" w:line="255" w:lineRule="auto"/>
        <w:rPr>
          <w:sz w:val="20"/>
          <w:szCs w:val="20"/>
          <w:color w:val="auto"/>
        </w:rPr>
      </w:pPr>
      <w:r>
        <w:rPr>
          <w:rFonts w:ascii="Arial" w:cs="Arial" w:eastAsia="Arial" w:hAnsi="Arial"/>
          <w:sz w:val="18"/>
          <w:szCs w:val="18"/>
          <w:b w:val="1"/>
          <w:bCs w:val="1"/>
          <w:color w:val="auto"/>
        </w:rPr>
        <w:t xml:space="preserve">Other post-retirement benefits </w:t>
      </w:r>
      <w:r>
        <w:rPr>
          <w:rFonts w:ascii="Arial" w:cs="Arial" w:eastAsia="Arial" w:hAnsi="Arial"/>
          <w:sz w:val="18"/>
          <w:szCs w:val="18"/>
          <w:color w:val="auto"/>
        </w:rPr>
        <w:t>– Scholastic Corporation provides post-retirement benefits, consisting of healthcare and life insurance benefits, to eligible retired</w:t>
      </w:r>
      <w:r>
        <w:rPr>
          <w:rFonts w:ascii="Arial" w:cs="Arial" w:eastAsia="Arial" w:hAnsi="Arial"/>
          <w:sz w:val="18"/>
          <w:szCs w:val="18"/>
          <w:b w:val="1"/>
          <w:bCs w:val="1"/>
          <w:color w:val="auto"/>
        </w:rPr>
        <w:t xml:space="preserve"> </w:t>
      </w:r>
      <w:r>
        <w:rPr>
          <w:rFonts w:ascii="Arial" w:cs="Arial" w:eastAsia="Arial" w:hAnsi="Arial"/>
          <w:sz w:val="18"/>
          <w:szCs w:val="18"/>
          <w:color w:val="auto"/>
        </w:rPr>
        <w:t>United States-based employees. The post-retirement medical plan benefits are funded on a pay-as-you-go basis, with the Company paying a portion of the premium and the employee paying the remainder. The Company follows Topic 715 in calculating the existing benefit obligation, which is based on the discount rate and the assumed health care cost trend rate. The discount rate is used in the measurement of the projected and accumulated benefit obligations and the interest cost component of net periodic post-retirement benefit cost. The assumed health care cost trend rate is used in the measurement of the long-term expected increase in medical claims.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translation</w:t>
      </w:r>
    </w:p>
    <w:p>
      <w:pPr>
        <w:spacing w:after="0" w:line="222"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The Company’s non-United States dollar-denominated assets and liabilities are translated into United States dollars at prevailing rates at the balance sheet date and the revenues, costs and expenses are translated at the average rates prevailing during each reporting period. Net gains or losses resulting from the translation of the foreign financial statements and the effect of exchange rate changes on long-term intercompany balances are accumulated and charged directly to the foreign currency translation adjustment component of stockholders’ equity until such time as the operations are substantially liquidated or sold. The Company does not expect to repatriate earnings from foreign corporate subsidiaries and therefore does not provide for taxes on cumulative translation adjustments within stockholders’ equity.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Shipping and handling costs</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color w:val="auto"/>
        </w:rPr>
        <w:t>Amounts billed to customers for shipping and handling are classified as revenue. Costs incurred in shipping and handling are recognized in cost of goods sold.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per share</w:t>
      </w:r>
    </w:p>
    <w:p>
      <w:pPr>
        <w:spacing w:after="0" w:line="22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Basic earnings per share is based on the weighted average shares of Class A Stock and Common Stock outstanding. Diluted earnings per share is based on the weighted average shares of Class A Stock and Common Stock outstanding adjusted for the impact of potentially dilutive securities outstanding. The dilutive impact of options outstanding on continuing operations is calculated using the treasury stock method, which treats the options as if they were exercised at the beginning of the period, adjusted for Common Stock assumed to be repurchased with the proceeds and tax benefit realized upon exercise. Any potentially dilutive security is excluded from the computation of diluted earnings per share for any period in which it has an anti-dilutive effect. Options that were not included in the computation of diluted earnings per share because to do so would have been anti-dilutive totaled: 5,264,202 at May 31, 2010; 6,198,855 at May 31, 2009; and 2,770,635 at May 31, 2008.</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Discontinued Operations</w:t>
      </w:r>
    </w:p>
    <w:p>
      <w:pPr>
        <w:spacing w:after="0" w:line="222"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ASC Topic 360 requires the calculation of estimated fair value less cost to sell of long-lived assets for assets held for sale. The calculation of estimated fair value less cost to sell includes significant estimates and assumptions, including, but not limited to: operating projections; excess working capital levels; real estate values; and the anticipated costs involved in the selling process. The Company recognizes operations as discontinued when the operations have either ceased or are expected to be disposed of in a sale transaction in the near term, the operations and cash flows of all discontinued operations have been eliminated, or will be eliminated upon consummation of the expected sale transaction, and the Company will not have any significant continuing involvement in the discontinued operations subsequent to the expected sale transaction.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222" w:lineRule="exact"/>
        <w:rPr>
          <w:sz w:val="20"/>
          <w:szCs w:val="20"/>
          <w:color w:val="auto"/>
        </w:rPr>
      </w:pPr>
    </w:p>
    <w:p>
      <w:pPr>
        <w:ind w:right="20"/>
        <w:spacing w:after="0" w:line="370" w:lineRule="auto"/>
        <w:rPr>
          <w:sz w:val="20"/>
          <w:szCs w:val="20"/>
          <w:color w:val="auto"/>
        </w:rPr>
      </w:pPr>
      <w:r>
        <w:rPr>
          <w:rFonts w:ascii="Arial" w:cs="Arial" w:eastAsia="Arial" w:hAnsi="Arial"/>
          <w:sz w:val="15"/>
          <w:szCs w:val="15"/>
          <w:color w:val="auto"/>
        </w:rPr>
        <w:t>The Company recognizes the cost of employee and director services received in exchange for any stock-based awards. The Company recognizes compensation expense on a straight-line basis over an award’s requisite service period, which is generally the vesting period, based on the award’s fair value at the date of grant.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The fair values of stock options granted by the Company are estimated at the date of grant using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2663825</wp:posOffset>
            </wp:positionH>
            <wp:positionV relativeFrom="paragraph">
              <wp:posOffset>148590</wp:posOffset>
            </wp:positionV>
            <wp:extent cx="1929765" cy="23177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1929765"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3873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833" w:right="259" w:bottom="1440" w:gutter="0" w:footer="0" w:header="0"/>
        </w:sectPr>
      </w:pPr>
    </w:p>
    <w:bookmarkStart w:id="51" w:name="page52"/>
    <w:bookmarkEnd w:id="51"/>
    <w:p>
      <w:pPr>
        <w:jc w:val="both"/>
        <w:ind w:right="14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263765" cy="8890"/>
                    </a:xfrm>
                    <a:prstGeom prst="rect">
                      <a:avLst/>
                    </a:prstGeom>
                    <a:noFill/>
                  </pic:spPr>
                </pic:pic>
              </a:graphicData>
            </a:graphic>
          </wp:anchor>
        </w:drawing>
        <w:t>Black-Scholes option-pricing model. The Company’s determination of the fair value of share-based payment awards using this option-pricing model is affected by the price of the Common Stock as well as by assumptions regarding highly complex and subjective variables, including, but not limited to, the expected price volatility of the Common Stock over the terms of the awards, the risk-free interest rate, and actual and projected employee stock option exercise behaviors.</w:t>
      </w:r>
    </w:p>
    <w:p>
      <w:pPr>
        <w:spacing w:after="0" w:line="1"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Estimates of fair value are not intended to predict actual future events or the value that may ultimately be realized by employees or directors who receive these awards.</w:t>
      </w:r>
    </w:p>
    <w:p>
      <w:pPr>
        <w:spacing w:after="0" w:line="192"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Forfeitures are estimated at the time of grant and revised, if necessary, in subsequent periods, if actual forfeitures differ from those estimates, in order to derive the Company’s best estimate of awards ultimately expected to vest. In determining the estimated forfeiture rates for stock-based awards, the Company periodically conducts an assessment of the actual number of equity awards that have been forfeited previously. When estimating expected forfeitures, the Company considers factors such as the type of award, the employee class and historical experience. The estimate of stock-based awards that will ultimately be forfeited requires significant judgment and, to the extent that actual results or updated estimates differ from current estimates, such amounts will be recorded as a cumulative adjustment in the period such estimates are revised.</w:t>
      </w:r>
    </w:p>
    <w:p>
      <w:pPr>
        <w:spacing w:after="0" w:line="17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table set forth below provides the estimated fair value of options granted during fiscal years 2010, 2009 and 2008 and the significant weighted average assumptions used in determining the fair value for options granted by the Company under the Black-Scholes option pricing model. The expected life represents an estimate of the period of time stock options are expected to remain outstanding based on the historical exercise behavior of the option grantees. The risk-free interest rate was based on the U.S. Treasury yield curve corresponding to the expected life in effect at the time of the grant. The volatility was estimated based on historical volatility corresponding to the expected life.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207645</wp:posOffset>
            </wp:positionV>
            <wp:extent cx="7263765" cy="889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48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980" w:type="dxa"/>
            <w:vAlign w:val="bottom"/>
          </w:tcPr>
          <w:p>
            <w:pPr>
              <w:jc w:val="right"/>
              <w:ind w:right="156"/>
              <w:spacing w:after="0"/>
              <w:rPr>
                <w:sz w:val="20"/>
                <w:szCs w:val="20"/>
                <w:color w:val="auto"/>
              </w:rPr>
            </w:pPr>
            <w:r>
              <w:rPr>
                <w:rFonts w:ascii="Arial" w:cs="Arial" w:eastAsia="Arial" w:hAnsi="Arial"/>
                <w:sz w:val="14"/>
                <w:szCs w:val="14"/>
                <w:b w:val="1"/>
                <w:bCs w:val="1"/>
                <w:color w:val="auto"/>
              </w:rPr>
              <w:t>2010</w:t>
            </w:r>
          </w:p>
        </w:tc>
        <w:tc>
          <w:tcPr>
            <w:tcW w:w="380" w:type="dxa"/>
            <w:vAlign w:val="bottom"/>
          </w:tcPr>
          <w:p>
            <w:pPr>
              <w:spacing w:after="0"/>
              <w:rPr>
                <w:sz w:val="15"/>
                <w:szCs w:val="15"/>
                <w:color w:val="auto"/>
              </w:rPr>
            </w:pPr>
          </w:p>
        </w:tc>
        <w:tc>
          <w:tcPr>
            <w:tcW w:w="1000" w:type="dxa"/>
            <w:vAlign w:val="bottom"/>
          </w:tcPr>
          <w:p>
            <w:pPr>
              <w:jc w:val="right"/>
              <w:ind w:right="176"/>
              <w:spacing w:after="0"/>
              <w:rPr>
                <w:sz w:val="20"/>
                <w:szCs w:val="20"/>
                <w:color w:val="auto"/>
              </w:rPr>
            </w:pPr>
            <w:r>
              <w:rPr>
                <w:rFonts w:ascii="Arial" w:cs="Arial" w:eastAsia="Arial" w:hAnsi="Arial"/>
                <w:sz w:val="14"/>
                <w:szCs w:val="14"/>
                <w:b w:val="1"/>
                <w:bCs w:val="1"/>
                <w:color w:val="auto"/>
              </w:rPr>
              <w:t>2009</w:t>
            </w:r>
          </w:p>
        </w:tc>
        <w:tc>
          <w:tcPr>
            <w:tcW w:w="360" w:type="dxa"/>
            <w:vAlign w:val="bottom"/>
          </w:tcPr>
          <w:p>
            <w:pPr>
              <w:spacing w:after="0"/>
              <w:rPr>
                <w:sz w:val="15"/>
                <w:szCs w:val="15"/>
                <w:color w:val="auto"/>
              </w:rPr>
            </w:pPr>
          </w:p>
        </w:tc>
        <w:tc>
          <w:tcPr>
            <w:tcW w:w="940" w:type="dxa"/>
            <w:vAlign w:val="bottom"/>
          </w:tcPr>
          <w:p>
            <w:pPr>
              <w:jc w:val="right"/>
              <w:ind w:right="96"/>
              <w:spacing w:after="0"/>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5"/>
                <w:szCs w:val="15"/>
                <w:color w:val="auto"/>
              </w:rPr>
            </w:pPr>
          </w:p>
        </w:tc>
      </w:tr>
      <w:tr>
        <w:trPr>
          <w:trHeight w:val="95"/>
        </w:trPr>
        <w:tc>
          <w:tcPr>
            <w:tcW w:w="5480" w:type="dxa"/>
            <w:vAlign w:val="bottom"/>
            <w:tcBorders>
              <w:bottom w:val="single" w:sz="8" w:color="auto"/>
            </w:tcBorders>
          </w:tcPr>
          <w:p>
            <w:pPr>
              <w:spacing w:after="0"/>
              <w:rPr>
                <w:sz w:val="8"/>
                <w:szCs w:val="8"/>
                <w:color w:val="auto"/>
              </w:rPr>
            </w:pPr>
          </w:p>
        </w:tc>
        <w:tc>
          <w:tcPr>
            <w:tcW w:w="228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r>
      <w:tr>
        <w:trPr>
          <w:trHeight w:val="102"/>
        </w:trPr>
        <w:tc>
          <w:tcPr>
            <w:tcW w:w="5480" w:type="dxa"/>
            <w:vAlign w:val="bottom"/>
          </w:tcPr>
          <w:p>
            <w:pPr>
              <w:spacing w:after="0"/>
              <w:rPr>
                <w:sz w:val="8"/>
                <w:szCs w:val="8"/>
                <w:color w:val="auto"/>
              </w:rPr>
            </w:pPr>
          </w:p>
        </w:tc>
        <w:tc>
          <w:tcPr>
            <w:tcW w:w="2280" w:type="dxa"/>
            <w:vAlign w:val="bottom"/>
          </w:tcPr>
          <w:p>
            <w:pPr>
              <w:spacing w:after="0"/>
              <w:rPr>
                <w:sz w:val="8"/>
                <w:szCs w:val="8"/>
                <w:color w:val="auto"/>
              </w:rPr>
            </w:pPr>
          </w:p>
        </w:tc>
        <w:tc>
          <w:tcPr>
            <w:tcW w:w="9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36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203"/>
        </w:trPr>
        <w:tc>
          <w:tcPr>
            <w:tcW w:w="548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Estimated fair value of stock options granted</w:t>
            </w:r>
          </w:p>
        </w:tc>
        <w:tc>
          <w:tcPr>
            <w:tcW w:w="2280" w:type="dxa"/>
            <w:vAlign w:val="bottom"/>
            <w:shd w:val="clear" w:color="auto" w:fill="E6E6E6"/>
          </w:tcPr>
          <w:p>
            <w:pPr>
              <w:jc w:val="right"/>
              <w:ind w:right="92"/>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E6E6E6"/>
          </w:tcPr>
          <w:p>
            <w:pPr>
              <w:jc w:val="right"/>
              <w:ind w:right="156"/>
              <w:spacing w:after="0" w:line="202" w:lineRule="exact"/>
              <w:rPr>
                <w:sz w:val="20"/>
                <w:szCs w:val="20"/>
                <w:color w:val="auto"/>
              </w:rPr>
            </w:pPr>
            <w:r>
              <w:rPr>
                <w:rFonts w:ascii="Arial" w:cs="Arial" w:eastAsia="Arial" w:hAnsi="Arial"/>
                <w:sz w:val="18"/>
                <w:szCs w:val="18"/>
                <w:color w:val="auto"/>
              </w:rPr>
              <w:t>8.34</w:t>
            </w:r>
          </w:p>
        </w:tc>
        <w:tc>
          <w:tcPr>
            <w:tcW w:w="380" w:type="dxa"/>
            <w:vAlign w:val="bottom"/>
            <w:shd w:val="clear" w:color="auto" w:fill="E6E6E6"/>
          </w:tcPr>
          <w:p>
            <w:pPr>
              <w:jc w:val="right"/>
              <w:ind w:right="92"/>
              <w:spacing w:after="0" w:line="202" w:lineRule="exact"/>
              <w:rPr>
                <w:sz w:val="20"/>
                <w:szCs w:val="20"/>
                <w:color w:val="auto"/>
              </w:rPr>
            </w:pPr>
            <w:r>
              <w:rPr>
                <w:rFonts w:ascii="Arial" w:cs="Arial" w:eastAsia="Arial" w:hAnsi="Arial"/>
                <w:sz w:val="18"/>
                <w:szCs w:val="18"/>
                <w:color w:val="auto"/>
              </w:rPr>
              <w:t>$</w:t>
            </w:r>
          </w:p>
        </w:tc>
        <w:tc>
          <w:tcPr>
            <w:tcW w:w="1000" w:type="dxa"/>
            <w:vAlign w:val="bottom"/>
            <w:shd w:val="clear" w:color="auto" w:fill="E6E6E6"/>
          </w:tcPr>
          <w:p>
            <w:pPr>
              <w:jc w:val="right"/>
              <w:ind w:right="176"/>
              <w:spacing w:after="0" w:line="202" w:lineRule="exact"/>
              <w:rPr>
                <w:sz w:val="20"/>
                <w:szCs w:val="20"/>
                <w:color w:val="auto"/>
              </w:rPr>
            </w:pPr>
            <w:r>
              <w:rPr>
                <w:rFonts w:ascii="Arial" w:cs="Arial" w:eastAsia="Arial" w:hAnsi="Arial"/>
                <w:sz w:val="18"/>
                <w:szCs w:val="18"/>
                <w:color w:val="auto"/>
              </w:rPr>
              <w:t>9.51</w:t>
            </w:r>
          </w:p>
        </w:tc>
        <w:tc>
          <w:tcPr>
            <w:tcW w:w="360" w:type="dxa"/>
            <w:vAlign w:val="bottom"/>
            <w:shd w:val="clear" w:color="auto" w:fill="E6E6E6"/>
          </w:tcPr>
          <w:p>
            <w:pPr>
              <w:jc w:val="right"/>
              <w:ind w:right="92"/>
              <w:spacing w:after="0" w:line="202" w:lineRule="exact"/>
              <w:rPr>
                <w:sz w:val="20"/>
                <w:szCs w:val="20"/>
                <w:color w:val="auto"/>
              </w:rPr>
            </w:pPr>
            <w:r>
              <w:rPr>
                <w:rFonts w:ascii="Arial" w:cs="Arial" w:eastAsia="Arial" w:hAnsi="Arial"/>
                <w:sz w:val="18"/>
                <w:szCs w:val="18"/>
                <w:color w:val="auto"/>
              </w:rPr>
              <w:t>$</w:t>
            </w:r>
          </w:p>
        </w:tc>
        <w:tc>
          <w:tcPr>
            <w:tcW w:w="940" w:type="dxa"/>
            <w:vAlign w:val="bottom"/>
            <w:shd w:val="clear" w:color="auto" w:fill="E6E6E6"/>
          </w:tcPr>
          <w:p>
            <w:pPr>
              <w:jc w:val="right"/>
              <w:ind w:right="96"/>
              <w:spacing w:after="0" w:line="202" w:lineRule="exact"/>
              <w:rPr>
                <w:sz w:val="20"/>
                <w:szCs w:val="20"/>
                <w:color w:val="auto"/>
              </w:rPr>
            </w:pPr>
            <w:r>
              <w:rPr>
                <w:rFonts w:ascii="Arial" w:cs="Arial" w:eastAsia="Arial" w:hAnsi="Arial"/>
                <w:sz w:val="18"/>
                <w:szCs w:val="18"/>
                <w:color w:val="auto"/>
              </w:rPr>
              <w:t>13.05</w:t>
            </w:r>
          </w:p>
        </w:tc>
        <w:tc>
          <w:tcPr>
            <w:tcW w:w="20" w:type="dxa"/>
            <w:vAlign w:val="bottom"/>
          </w:tcPr>
          <w:p>
            <w:pPr>
              <w:spacing w:after="0"/>
              <w:rPr>
                <w:sz w:val="17"/>
                <w:szCs w:val="17"/>
                <w:color w:val="auto"/>
              </w:rPr>
            </w:pPr>
          </w:p>
        </w:tc>
      </w:tr>
      <w:tr>
        <w:trPr>
          <w:trHeight w:val="203"/>
        </w:trPr>
        <w:tc>
          <w:tcPr>
            <w:tcW w:w="5480" w:type="dxa"/>
            <w:vAlign w:val="bottom"/>
          </w:tcPr>
          <w:p>
            <w:pPr>
              <w:spacing w:after="0" w:line="202" w:lineRule="exact"/>
              <w:rPr>
                <w:sz w:val="20"/>
                <w:szCs w:val="20"/>
                <w:color w:val="auto"/>
              </w:rPr>
            </w:pPr>
            <w:r>
              <w:rPr>
                <w:rFonts w:ascii="Arial" w:cs="Arial" w:eastAsia="Arial" w:hAnsi="Arial"/>
                <w:sz w:val="18"/>
                <w:szCs w:val="18"/>
                <w:color w:val="auto"/>
              </w:rPr>
              <w:t>Assumptions:</w:t>
            </w:r>
          </w:p>
        </w:tc>
        <w:tc>
          <w:tcPr>
            <w:tcW w:w="2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548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Expected dividend yield</w:t>
            </w:r>
          </w:p>
        </w:tc>
        <w:tc>
          <w:tcPr>
            <w:tcW w:w="2280" w:type="dxa"/>
            <w:vAlign w:val="bottom"/>
            <w:shd w:val="clear" w:color="auto" w:fill="E6E6E6"/>
          </w:tcPr>
          <w:p>
            <w:pPr>
              <w:spacing w:after="0"/>
              <w:rPr>
                <w:sz w:val="17"/>
                <w:szCs w:val="17"/>
                <w:color w:val="auto"/>
              </w:rPr>
            </w:pPr>
          </w:p>
        </w:tc>
        <w:tc>
          <w:tcPr>
            <w:tcW w:w="98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1.4%</w:t>
            </w:r>
          </w:p>
        </w:tc>
        <w:tc>
          <w:tcPr>
            <w:tcW w:w="380" w:type="dxa"/>
            <w:vAlign w:val="bottom"/>
            <w:shd w:val="clear" w:color="auto" w:fill="E6E6E6"/>
          </w:tcPr>
          <w:p>
            <w:pPr>
              <w:spacing w:after="0"/>
              <w:rPr>
                <w:sz w:val="17"/>
                <w:szCs w:val="17"/>
                <w:color w:val="auto"/>
              </w:rPr>
            </w:pPr>
          </w:p>
        </w:tc>
        <w:tc>
          <w:tcPr>
            <w:tcW w:w="1000" w:type="dxa"/>
            <w:vAlign w:val="bottom"/>
            <w:shd w:val="clear" w:color="auto" w:fill="E6E6E6"/>
          </w:tcPr>
          <w:p>
            <w:pPr>
              <w:jc w:val="right"/>
              <w:ind w:right="16"/>
              <w:spacing w:after="0" w:line="202" w:lineRule="exact"/>
              <w:rPr>
                <w:sz w:val="20"/>
                <w:szCs w:val="20"/>
                <w:color w:val="auto"/>
              </w:rPr>
            </w:pPr>
            <w:r>
              <w:rPr>
                <w:rFonts w:ascii="Arial" w:cs="Arial" w:eastAsia="Arial" w:hAnsi="Arial"/>
                <w:sz w:val="18"/>
                <w:szCs w:val="18"/>
                <w:color w:val="auto"/>
              </w:rPr>
              <w:t>0.7%</w:t>
            </w:r>
          </w:p>
        </w:tc>
        <w:tc>
          <w:tcPr>
            <w:tcW w:w="360" w:type="dxa"/>
            <w:vAlign w:val="bottom"/>
            <w:shd w:val="clear" w:color="auto" w:fill="E6E6E6"/>
          </w:tcPr>
          <w:p>
            <w:pPr>
              <w:spacing w:after="0"/>
              <w:rPr>
                <w:sz w:val="17"/>
                <w:szCs w:val="17"/>
                <w:color w:val="auto"/>
              </w:rPr>
            </w:pPr>
          </w:p>
        </w:tc>
        <w:tc>
          <w:tcPr>
            <w:tcW w:w="94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0.0%</w:t>
            </w:r>
          </w:p>
        </w:tc>
        <w:tc>
          <w:tcPr>
            <w:tcW w:w="20" w:type="dxa"/>
            <w:vAlign w:val="bottom"/>
          </w:tcPr>
          <w:p>
            <w:pPr>
              <w:spacing w:after="0"/>
              <w:rPr>
                <w:sz w:val="17"/>
                <w:szCs w:val="17"/>
                <w:color w:val="auto"/>
              </w:rPr>
            </w:pPr>
          </w:p>
        </w:tc>
      </w:tr>
      <w:tr>
        <w:trPr>
          <w:trHeight w:val="203"/>
        </w:trPr>
        <w:tc>
          <w:tcPr>
            <w:tcW w:w="5480" w:type="dxa"/>
            <w:vAlign w:val="bottom"/>
          </w:tcPr>
          <w:p>
            <w:pPr>
              <w:spacing w:after="0" w:line="202" w:lineRule="exact"/>
              <w:rPr>
                <w:sz w:val="20"/>
                <w:szCs w:val="20"/>
                <w:color w:val="auto"/>
              </w:rPr>
            </w:pPr>
            <w:r>
              <w:rPr>
                <w:rFonts w:ascii="Arial" w:cs="Arial" w:eastAsia="Arial" w:hAnsi="Arial"/>
                <w:sz w:val="18"/>
                <w:szCs w:val="18"/>
                <w:color w:val="auto"/>
              </w:rPr>
              <w:t>Expected stock price volatility</w:t>
            </w:r>
          </w:p>
        </w:tc>
        <w:tc>
          <w:tcPr>
            <w:tcW w:w="228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37.6%</w:t>
            </w:r>
          </w:p>
        </w:tc>
        <w:tc>
          <w:tcPr>
            <w:tcW w:w="380" w:type="dxa"/>
            <w:vAlign w:val="bottom"/>
          </w:tcPr>
          <w:p>
            <w:pPr>
              <w:spacing w:after="0"/>
              <w:rPr>
                <w:sz w:val="17"/>
                <w:szCs w:val="17"/>
                <w:color w:val="auto"/>
              </w:rPr>
            </w:pPr>
          </w:p>
        </w:tc>
        <w:tc>
          <w:tcPr>
            <w:tcW w:w="1000" w:type="dxa"/>
            <w:vAlign w:val="bottom"/>
          </w:tcPr>
          <w:p>
            <w:pPr>
              <w:jc w:val="right"/>
              <w:ind w:right="16"/>
              <w:spacing w:after="0" w:line="202" w:lineRule="exact"/>
              <w:rPr>
                <w:sz w:val="20"/>
                <w:szCs w:val="20"/>
                <w:color w:val="auto"/>
              </w:rPr>
            </w:pPr>
            <w:r>
              <w:rPr>
                <w:rFonts w:ascii="Arial" w:cs="Arial" w:eastAsia="Arial" w:hAnsi="Arial"/>
                <w:sz w:val="18"/>
                <w:szCs w:val="18"/>
                <w:color w:val="auto"/>
              </w:rPr>
              <w:t>34.3%</w:t>
            </w:r>
          </w:p>
        </w:tc>
        <w:tc>
          <w:tcPr>
            <w:tcW w:w="36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31.2%</w:t>
            </w:r>
          </w:p>
        </w:tc>
        <w:tc>
          <w:tcPr>
            <w:tcW w:w="20" w:type="dxa"/>
            <w:vAlign w:val="bottom"/>
          </w:tcPr>
          <w:p>
            <w:pPr>
              <w:spacing w:after="0"/>
              <w:rPr>
                <w:sz w:val="17"/>
                <w:szCs w:val="17"/>
                <w:color w:val="auto"/>
              </w:rPr>
            </w:pPr>
          </w:p>
        </w:tc>
      </w:tr>
      <w:tr>
        <w:trPr>
          <w:trHeight w:val="203"/>
        </w:trPr>
        <w:tc>
          <w:tcPr>
            <w:tcW w:w="548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Risk-free interest rate</w:t>
            </w:r>
          </w:p>
        </w:tc>
        <w:tc>
          <w:tcPr>
            <w:tcW w:w="2280" w:type="dxa"/>
            <w:vAlign w:val="bottom"/>
            <w:shd w:val="clear" w:color="auto" w:fill="E6E6E6"/>
          </w:tcPr>
          <w:p>
            <w:pPr>
              <w:spacing w:after="0"/>
              <w:rPr>
                <w:sz w:val="17"/>
                <w:szCs w:val="17"/>
                <w:color w:val="auto"/>
              </w:rPr>
            </w:pPr>
          </w:p>
        </w:tc>
        <w:tc>
          <w:tcPr>
            <w:tcW w:w="98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3.3%</w:t>
            </w:r>
          </w:p>
        </w:tc>
        <w:tc>
          <w:tcPr>
            <w:tcW w:w="380" w:type="dxa"/>
            <w:vAlign w:val="bottom"/>
            <w:shd w:val="clear" w:color="auto" w:fill="E6E6E6"/>
          </w:tcPr>
          <w:p>
            <w:pPr>
              <w:spacing w:after="0"/>
              <w:rPr>
                <w:sz w:val="17"/>
                <w:szCs w:val="17"/>
                <w:color w:val="auto"/>
              </w:rPr>
            </w:pPr>
          </w:p>
        </w:tc>
        <w:tc>
          <w:tcPr>
            <w:tcW w:w="1000" w:type="dxa"/>
            <w:vAlign w:val="bottom"/>
            <w:shd w:val="clear" w:color="auto" w:fill="E6E6E6"/>
          </w:tcPr>
          <w:p>
            <w:pPr>
              <w:jc w:val="right"/>
              <w:ind w:right="16"/>
              <w:spacing w:after="0" w:line="202" w:lineRule="exact"/>
              <w:rPr>
                <w:sz w:val="20"/>
                <w:szCs w:val="20"/>
                <w:color w:val="auto"/>
              </w:rPr>
            </w:pPr>
            <w:r>
              <w:rPr>
                <w:rFonts w:ascii="Arial" w:cs="Arial" w:eastAsia="Arial" w:hAnsi="Arial"/>
                <w:sz w:val="18"/>
                <w:szCs w:val="18"/>
                <w:color w:val="auto"/>
              </w:rPr>
              <w:t>3.4%</w:t>
            </w:r>
          </w:p>
        </w:tc>
        <w:tc>
          <w:tcPr>
            <w:tcW w:w="360" w:type="dxa"/>
            <w:vAlign w:val="bottom"/>
            <w:shd w:val="clear" w:color="auto" w:fill="E6E6E6"/>
          </w:tcPr>
          <w:p>
            <w:pPr>
              <w:spacing w:after="0"/>
              <w:rPr>
                <w:sz w:val="17"/>
                <w:szCs w:val="17"/>
                <w:color w:val="auto"/>
              </w:rPr>
            </w:pPr>
          </w:p>
        </w:tc>
        <w:tc>
          <w:tcPr>
            <w:tcW w:w="94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3.9%</w:t>
            </w:r>
          </w:p>
        </w:tc>
        <w:tc>
          <w:tcPr>
            <w:tcW w:w="20" w:type="dxa"/>
            <w:vAlign w:val="bottom"/>
          </w:tcPr>
          <w:p>
            <w:pPr>
              <w:spacing w:after="0"/>
              <w:rPr>
                <w:sz w:val="17"/>
                <w:szCs w:val="17"/>
                <w:color w:val="auto"/>
              </w:rPr>
            </w:pPr>
          </w:p>
        </w:tc>
      </w:tr>
      <w:tr>
        <w:trPr>
          <w:trHeight w:val="214"/>
        </w:trPr>
        <w:tc>
          <w:tcPr>
            <w:tcW w:w="5480" w:type="dxa"/>
            <w:vAlign w:val="bottom"/>
          </w:tcPr>
          <w:p>
            <w:pPr>
              <w:spacing w:after="0"/>
              <w:rPr>
                <w:sz w:val="20"/>
                <w:szCs w:val="20"/>
                <w:color w:val="auto"/>
              </w:rPr>
            </w:pPr>
            <w:r>
              <w:rPr>
                <w:rFonts w:ascii="Arial" w:cs="Arial" w:eastAsia="Arial" w:hAnsi="Arial"/>
                <w:sz w:val="18"/>
                <w:szCs w:val="18"/>
                <w:color w:val="auto"/>
              </w:rPr>
              <w:t>Expected life of options</w:t>
            </w:r>
          </w:p>
        </w:tc>
        <w:tc>
          <w:tcPr>
            <w:tcW w:w="2280" w:type="dxa"/>
            <w:vAlign w:val="bottom"/>
          </w:tcPr>
          <w:p>
            <w:pPr>
              <w:spacing w:after="0"/>
              <w:rPr>
                <w:sz w:val="18"/>
                <w:szCs w:val="18"/>
                <w:color w:val="auto"/>
              </w:rPr>
            </w:pPr>
          </w:p>
        </w:tc>
        <w:tc>
          <w:tcPr>
            <w:tcW w:w="980" w:type="dxa"/>
            <w:vAlign w:val="bottom"/>
          </w:tcPr>
          <w:p>
            <w:pPr>
              <w:jc w:val="right"/>
              <w:ind w:right="156"/>
              <w:spacing w:after="0"/>
              <w:rPr>
                <w:sz w:val="20"/>
                <w:szCs w:val="20"/>
                <w:color w:val="auto"/>
              </w:rPr>
            </w:pPr>
            <w:r>
              <w:rPr>
                <w:rFonts w:ascii="Arial" w:cs="Arial" w:eastAsia="Arial" w:hAnsi="Arial"/>
                <w:sz w:val="18"/>
                <w:szCs w:val="18"/>
                <w:color w:val="auto"/>
              </w:rPr>
              <w:t>7 years</w:t>
            </w:r>
          </w:p>
        </w:tc>
        <w:tc>
          <w:tcPr>
            <w:tcW w:w="380" w:type="dxa"/>
            <w:vAlign w:val="bottom"/>
          </w:tcPr>
          <w:p>
            <w:pPr>
              <w:spacing w:after="0"/>
              <w:rPr>
                <w:sz w:val="18"/>
                <w:szCs w:val="18"/>
                <w:color w:val="auto"/>
              </w:rPr>
            </w:pPr>
          </w:p>
        </w:tc>
        <w:tc>
          <w:tcPr>
            <w:tcW w:w="1000" w:type="dxa"/>
            <w:vAlign w:val="bottom"/>
          </w:tcPr>
          <w:p>
            <w:pPr>
              <w:jc w:val="right"/>
              <w:ind w:right="176"/>
              <w:spacing w:after="0"/>
              <w:rPr>
                <w:sz w:val="20"/>
                <w:szCs w:val="20"/>
                <w:color w:val="auto"/>
              </w:rPr>
            </w:pPr>
            <w:r>
              <w:rPr>
                <w:rFonts w:ascii="Arial" w:cs="Arial" w:eastAsia="Arial" w:hAnsi="Arial"/>
                <w:sz w:val="18"/>
                <w:szCs w:val="18"/>
                <w:color w:val="auto"/>
              </w:rPr>
              <w:t>6 years</w:t>
            </w:r>
          </w:p>
        </w:tc>
        <w:tc>
          <w:tcPr>
            <w:tcW w:w="360" w:type="dxa"/>
            <w:vAlign w:val="bottom"/>
          </w:tcPr>
          <w:p>
            <w:pPr>
              <w:spacing w:after="0"/>
              <w:rPr>
                <w:sz w:val="18"/>
                <w:szCs w:val="18"/>
                <w:color w:val="auto"/>
              </w:rPr>
            </w:pPr>
          </w:p>
        </w:tc>
        <w:tc>
          <w:tcPr>
            <w:tcW w:w="960" w:type="dxa"/>
            <w:vAlign w:val="bottom"/>
            <w:gridSpan w:val="2"/>
          </w:tcPr>
          <w:p>
            <w:pPr>
              <w:ind w:left="180"/>
              <w:spacing w:after="0"/>
              <w:rPr>
                <w:sz w:val="20"/>
                <w:szCs w:val="20"/>
                <w:color w:val="auto"/>
              </w:rPr>
            </w:pPr>
            <w:r>
              <w:rPr>
                <w:rFonts w:ascii="Arial" w:cs="Arial" w:eastAsia="Arial" w:hAnsi="Arial"/>
                <w:sz w:val="18"/>
                <w:szCs w:val="18"/>
                <w:color w:val="auto"/>
              </w:rPr>
              <w:t>6 years</w:t>
            </w:r>
          </w:p>
        </w:tc>
      </w:tr>
      <w:tr>
        <w:trPr>
          <w:trHeight w:val="97"/>
        </w:trPr>
        <w:tc>
          <w:tcPr>
            <w:tcW w:w="5480" w:type="dxa"/>
            <w:vAlign w:val="bottom"/>
            <w:tcBorders>
              <w:bottom w:val="single" w:sz="8" w:color="808080"/>
            </w:tcBorders>
          </w:tcPr>
          <w:p>
            <w:pPr>
              <w:spacing w:after="0"/>
              <w:rPr>
                <w:sz w:val="8"/>
                <w:szCs w:val="8"/>
                <w:color w:val="auto"/>
              </w:rPr>
            </w:pPr>
          </w:p>
        </w:tc>
        <w:tc>
          <w:tcPr>
            <w:tcW w:w="2280" w:type="dxa"/>
            <w:vAlign w:val="bottom"/>
            <w:tcBorders>
              <w:bottom w:val="single" w:sz="8" w:color="808080"/>
            </w:tcBorders>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r>
    </w:tbl>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222"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color w:val="auto"/>
        </w:rPr>
        <w:t>In December 2008, the Financial Accounting Standards Board (“FASB”) issued an amendment to the authoritative guidance for employer’s disclosures about post-retirement benefit plan assets, which is effective for fiscal years ending after December 15, 2009. The amendment requires additional disclosures regarding investment allocations, major categories, valuation techniques and concentrations of risk related to plan assets held in an employer’s defined benefit pension or post-retirement plan. It also requires disclosure of any effects of utilizing significant unobservable inputs upon the overall change in the fair value of the plan assets during the reporting period. The Company has complied with the additional disclosures required by this standard. The adoption of this standard had no impact on the Company’s consolidated financial position, results of operations and cash flows.</w:t>
      </w:r>
    </w:p>
    <w:p>
      <w:pPr>
        <w:spacing w:after="0" w:line="174"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In May 2009, the FASB issued ASC Topic 855 “Subsequent Events” (“Topic 855”), which establishes standards of accounting for and disclosure of events that occur after the balance sheet date but before financial statements are issued or are available to be issued. It requires the disclosure of the date through which an entity has evaluated subsequent events and the basis for that date, i.e., whether that date represents the date the financial statements were issued or were available to be issued. Topic 855 is effective for interim or annual financial periods ending after June 15, 2009. The adoption of this standard had no impact on the Company’s consolidated financial position, results of operations and cash flows.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In January 2010, the FASB issued Accounting Standard Update No. 2010-06, “Fair Value Measurements and Disclosures (Topic 820) Improving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2663825</wp:posOffset>
            </wp:positionH>
            <wp:positionV relativeFrom="paragraph">
              <wp:posOffset>163195</wp:posOffset>
            </wp:positionV>
            <wp:extent cx="1929765" cy="23177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1929765"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3873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40"/>
          </w:cols>
          <w:pgMar w:left="240" w:top="833" w:right="219" w:bottom="1440" w:gutter="0" w:footer="0" w:header="0"/>
        </w:sectPr>
      </w:pPr>
    </w:p>
    <w:bookmarkStart w:id="52" w:name="page53"/>
    <w:bookmarkEnd w:id="52"/>
    <w:p>
      <w:pPr>
        <w:ind w:right="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263765" cy="8890"/>
                    </a:xfrm>
                    <a:prstGeom prst="rect">
                      <a:avLst/>
                    </a:prstGeom>
                    <a:noFill/>
                  </pic:spPr>
                </pic:pic>
              </a:graphicData>
            </a:graphic>
          </wp:anchor>
        </w:drawing>
        <w:t>Disclosures about Fair Value Measurements” (“ASU 2010-06”). This update requires additional disclosures about (1) the different classes of assets and liabilities measured at fair value, (2) the valuation techniques and inputs used, (3) the activity in Level 3 fair value measurements, and (4) the transfers between Levels 1, 2, and 3 fair value measurements. ASU 2010-06 is effective for interim and annual reporting periods beginning after December 15, 2009. The Company has complied with the additional disclosures required by this standard. The adoption of this standard had no impact on the Company’s consolidated financial position, results of operations and cash flows.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22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 June 2009, the FASB issued authoritative accounting guidance that changes the consolidation model for variable interest entities (VIEs). The guidance requires companies to qualitatively assess the determination of the primary beneficiary of a VIE based on whether the company (1) has the power to direct matters that most significantly impact the VIE’s economic performance, and (2) has the obligation to absorb losses or the right to receive benefits of the VIE that could potentially be significant to the VIE. The guidance is effective for fiscal years beginning after November 15, 2009. The Company is currently evaluating the impact on its results of operations and financial position.</w:t>
      </w:r>
    </w:p>
    <w:p>
      <w:pPr>
        <w:spacing w:after="0" w:line="197"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In October 2009, the FASB issued Accounting Standard Update No. 2009-13, “Revenue Recognition (Topic 605): Multiple Deliverable Revenue Arrangements” (“ASU No. 2009-13”). The accounting standard update addresses the accounting for multiple-deliverable arrangements to enable vendors to account for products or services (deliverables) separately rather than as a combined unit. Vendors often provide multiple products or services to their customers. Those deliverables often are provided at different points in time or over different time periods. ASU No. 2009-13 establishes the accounting and reporting guidance for arrangements under which the vendor will perform multiple revenue-generating activities. Specifically, ASU No. 2009-13 addresses how to separate deliverables and how to measure and allocate arrangement consideration to one or more units of accounting. ASU No. 2009-13 will be effective prospectively for revenue arrangements entered into or materially modified in fiscal years beginning on or after June 15, 2010. Early adoption is permitted. The Company has not chosen early adoption and is evaluating the impact on the Company’s consolidated financial position, results of operations and cash flows.</w:t>
      </w:r>
    </w:p>
    <w:p>
      <w:pPr>
        <w:spacing w:after="0" w:line="172"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In October 2009, the FASB issued Accounting Standard Update No. 2009-14, “Software (Topic 985): Certain Revenue Arrangements That Include Software Elements” (“ASU No. 2009-14”). The accounting standard update addresses the accounting revenue arrangements that contain tangible products and software and it affects vendors that sell or lease tangible products in an arrangement that contains software that is more than incidental to the tangible product as a whole. The accounting standard update clarifies what guidance should be used in allocating and measuring revenue. Tangible products containing software components and non-software components that function together to deliver the tangible product’s essential functionality are no longer within the scope of the software recognition guidance in Subtopic 985-605, “Software – Revenue Recognition.” The amendment requires that hardware components of a tangible product containing software components always be excluded from the software revenue guidance. ASU No. 2009-14 will be effective prospectively for revenue arrangements entered into or materially modified in fiscal years beginning on or after June 15, 2010. Early adoption is permitted. The Company has not chosen early adoption and is evaluating the impact on the Company’s consolidated financial position, results of operations and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2663825</wp:posOffset>
            </wp:positionH>
            <wp:positionV relativeFrom="paragraph">
              <wp:posOffset>115570</wp:posOffset>
            </wp:positionV>
            <wp:extent cx="1929765" cy="23177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1929765"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3873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833" w:right="23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263765" cy="8890"/>
                    </a:xfrm>
                    <a:prstGeom prst="rect">
                      <a:avLst/>
                    </a:prstGeom>
                    <a:noFill/>
                  </pic:spPr>
                </pic:pic>
              </a:graphicData>
            </a:graphic>
          </wp:anchor>
        </w:drawing>
        <w:t>2. DISCONTINUED OPERATIONS</w:t>
      </w:r>
    </w:p>
    <w:p>
      <w:pPr>
        <w:spacing w:after="0" w:line="231"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During 2008, the Company determined to sell or shut down its domestic, Canadian and UK continuities businesses, and intends to sell a related warehousing and distribution facility located in Maumelle, Arkansas (the “Maumelle Facility”) and an office and distribution facility in Danbury, Connecticut (the “Danbury Facility”). During fiscal 2009, the Company also ceased its operations in Argentina and Mexico, its door-to-door selling operations in Puerto Rico as well as its continuities business in Australia and New Zealand, its corporate book fairs business and closed its Scarsdale, NY store. The Company also sold a trade magazine. Additionally, the Company sold a non-core market research business and a non-core on-line resource for teachers business. In fiscal 2010, the Company sold a previously discontinued non-core book distribution business. All of the above businesses are classified as discontinued operations in the Company’s financial statements.</w:t>
      </w:r>
    </w:p>
    <w:p>
      <w:pPr>
        <w:spacing w:after="0" w:line="201"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In accordance with Topic 360, the results of operations for the aforementioned operations are presented in the Company’s Consolidated Financial Statements as discontinued operations. Topic 360 requires adjustments to the carrying value of assets held for sale if the carrying value exceeds their estimated fair value, less cost to sell. The calculation of estimated fair value less cost to sell includes significant estimates and assumptions, including, but not limited to: operating projections and the discount rate and terminal values developed in connection with the discounted cash flow; excess working capital levels; real estate fair values; and the anticipated costs involved in the selling process. The Company prepared separate financial statements reflecting the discontinued operations presentation, which required management to make significant judgments and estimates for purposes of allocating to the discontinued operations certain operating expenses, such as warehousing and distribution expenses, as well as assets, liabilities and other balance sheet items, including accounts payable and certain noncurrent liabilities.</w:t>
      </w:r>
    </w:p>
    <w:p>
      <w:pPr>
        <w:spacing w:after="0" w:line="172"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The Company continues to monitor the expected cash proceeds to be realized from the disposition of discontinued operations assets, and adjusts asset values accordingly.</w:t>
      </w:r>
    </w:p>
    <w:p>
      <w:pPr>
        <w:spacing w:after="0" w:line="186" w:lineRule="exact"/>
        <w:rPr>
          <w:sz w:val="20"/>
          <w:szCs w:val="20"/>
          <w:color w:val="auto"/>
        </w:rPr>
      </w:pPr>
    </w:p>
    <w:p>
      <w:pPr>
        <w:ind w:right="760"/>
        <w:spacing w:after="0" w:line="268" w:lineRule="auto"/>
        <w:rPr>
          <w:sz w:val="20"/>
          <w:szCs w:val="20"/>
          <w:color w:val="auto"/>
        </w:rPr>
      </w:pPr>
      <w:r>
        <w:rPr>
          <w:rFonts w:ascii="Arial" w:cs="Arial" w:eastAsia="Arial" w:hAnsi="Arial"/>
          <w:sz w:val="18"/>
          <w:szCs w:val="18"/>
          <w:color w:val="auto"/>
        </w:rPr>
        <w:t>The Company continuously evaluates its portfolio of businesses for both impairment and economic viability. The Company did not cease any additional operations or classify any additional operations as “held for sale” during fiscal 2010.</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operating results of the discontinued operations for the fiscal years ended May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263765" cy="889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80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820" w:type="dxa"/>
            <w:vAlign w:val="bottom"/>
          </w:tcPr>
          <w:p>
            <w:pPr>
              <w:jc w:val="right"/>
              <w:ind w:right="115"/>
              <w:spacing w:after="0"/>
              <w:rPr>
                <w:sz w:val="20"/>
                <w:szCs w:val="20"/>
                <w:color w:val="auto"/>
              </w:rPr>
            </w:pPr>
            <w:r>
              <w:rPr>
                <w:rFonts w:ascii="Arial" w:cs="Arial" w:eastAsia="Arial" w:hAnsi="Arial"/>
                <w:sz w:val="14"/>
                <w:szCs w:val="14"/>
                <w:b w:val="1"/>
                <w:bCs w:val="1"/>
                <w:color w:val="auto"/>
              </w:rPr>
              <w:t>2010</w:t>
            </w:r>
          </w:p>
        </w:tc>
        <w:tc>
          <w:tcPr>
            <w:tcW w:w="540" w:type="dxa"/>
            <w:vAlign w:val="bottom"/>
          </w:tcPr>
          <w:p>
            <w:pPr>
              <w:spacing w:after="0"/>
              <w:rPr>
                <w:sz w:val="15"/>
                <w:szCs w:val="15"/>
                <w:color w:val="auto"/>
              </w:rPr>
            </w:pPr>
          </w:p>
        </w:tc>
        <w:tc>
          <w:tcPr>
            <w:tcW w:w="800" w:type="dxa"/>
            <w:vAlign w:val="bottom"/>
          </w:tcPr>
          <w:p>
            <w:pPr>
              <w:jc w:val="right"/>
              <w:ind w:right="95"/>
              <w:spacing w:after="0"/>
              <w:rPr>
                <w:sz w:val="20"/>
                <w:szCs w:val="20"/>
                <w:color w:val="auto"/>
              </w:rPr>
            </w:pPr>
            <w:r>
              <w:rPr>
                <w:rFonts w:ascii="Arial" w:cs="Arial" w:eastAsia="Arial" w:hAnsi="Arial"/>
                <w:sz w:val="14"/>
                <w:szCs w:val="14"/>
                <w:b w:val="1"/>
                <w:bCs w:val="1"/>
                <w:color w:val="auto"/>
              </w:rPr>
              <w:t>2009</w:t>
            </w:r>
          </w:p>
        </w:tc>
        <w:tc>
          <w:tcPr>
            <w:tcW w:w="520" w:type="dxa"/>
            <w:vAlign w:val="bottom"/>
          </w:tcPr>
          <w:p>
            <w:pPr>
              <w:spacing w:after="0"/>
              <w:rPr>
                <w:sz w:val="15"/>
                <w:szCs w:val="15"/>
                <w:color w:val="auto"/>
              </w:rPr>
            </w:pPr>
          </w:p>
        </w:tc>
        <w:tc>
          <w:tcPr>
            <w:tcW w:w="820" w:type="dxa"/>
            <w:vAlign w:val="bottom"/>
          </w:tcPr>
          <w:p>
            <w:pPr>
              <w:jc w:val="right"/>
              <w:ind w:right="35"/>
              <w:spacing w:after="0"/>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5"/>
                <w:szCs w:val="15"/>
                <w:color w:val="auto"/>
              </w:rPr>
            </w:pPr>
          </w:p>
        </w:tc>
      </w:tr>
      <w:tr>
        <w:trPr>
          <w:trHeight w:val="95"/>
        </w:trPr>
        <w:tc>
          <w:tcPr>
            <w:tcW w:w="5800" w:type="dxa"/>
            <w:vAlign w:val="bottom"/>
            <w:tcBorders>
              <w:bottom w:val="single" w:sz="8" w:color="auto"/>
            </w:tcBorders>
          </w:tcPr>
          <w:p>
            <w:pPr>
              <w:spacing w:after="0"/>
              <w:rPr>
                <w:sz w:val="8"/>
                <w:szCs w:val="8"/>
                <w:color w:val="auto"/>
              </w:rPr>
            </w:pPr>
          </w:p>
        </w:tc>
        <w:tc>
          <w:tcPr>
            <w:tcW w:w="212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r>
      <w:tr>
        <w:trPr>
          <w:trHeight w:val="102"/>
        </w:trPr>
        <w:tc>
          <w:tcPr>
            <w:tcW w:w="5800" w:type="dxa"/>
            <w:vAlign w:val="bottom"/>
          </w:tcPr>
          <w:p>
            <w:pPr>
              <w:spacing w:after="0"/>
              <w:rPr>
                <w:sz w:val="8"/>
                <w:szCs w:val="8"/>
                <w:color w:val="auto"/>
              </w:rPr>
            </w:pPr>
          </w:p>
        </w:tc>
        <w:tc>
          <w:tcPr>
            <w:tcW w:w="2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0" w:type="dxa"/>
            <w:vAlign w:val="bottom"/>
          </w:tcPr>
          <w:p>
            <w:pPr>
              <w:spacing w:after="0"/>
              <w:rPr>
                <w:sz w:val="8"/>
                <w:szCs w:val="8"/>
                <w:color w:val="auto"/>
              </w:rPr>
            </w:pPr>
          </w:p>
        </w:tc>
        <w:tc>
          <w:tcPr>
            <w:tcW w:w="5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203"/>
        </w:trPr>
        <w:tc>
          <w:tcPr>
            <w:tcW w:w="580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Revenues</w:t>
            </w:r>
          </w:p>
        </w:tc>
        <w:tc>
          <w:tcPr>
            <w:tcW w:w="2120" w:type="dxa"/>
            <w:vAlign w:val="bottom"/>
            <w:shd w:val="clear" w:color="auto" w:fill="E6E6E6"/>
          </w:tcPr>
          <w:p>
            <w:pPr>
              <w:jc w:val="right"/>
              <w:ind w:right="212"/>
              <w:spacing w:after="0" w:line="202" w:lineRule="exact"/>
              <w:rPr>
                <w:sz w:val="20"/>
                <w:szCs w:val="20"/>
                <w:color w:val="auto"/>
              </w:rPr>
            </w:pPr>
            <w:r>
              <w:rPr>
                <w:rFonts w:ascii="Arial" w:cs="Arial" w:eastAsia="Arial" w:hAnsi="Arial"/>
                <w:sz w:val="18"/>
                <w:szCs w:val="18"/>
                <w:color w:val="auto"/>
              </w:rPr>
              <w:t>$</w:t>
            </w:r>
          </w:p>
        </w:tc>
        <w:tc>
          <w:tcPr>
            <w:tcW w:w="820" w:type="dxa"/>
            <w:vAlign w:val="bottom"/>
            <w:shd w:val="clear" w:color="auto" w:fill="E6E6E6"/>
          </w:tcPr>
          <w:p>
            <w:pPr>
              <w:jc w:val="right"/>
              <w:ind w:right="115"/>
              <w:spacing w:after="0" w:line="202" w:lineRule="exact"/>
              <w:rPr>
                <w:sz w:val="20"/>
                <w:szCs w:val="20"/>
                <w:color w:val="auto"/>
              </w:rPr>
            </w:pPr>
            <w:r>
              <w:rPr>
                <w:rFonts w:ascii="Arial" w:cs="Arial" w:eastAsia="Arial" w:hAnsi="Arial"/>
                <w:sz w:val="18"/>
                <w:szCs w:val="18"/>
                <w:color w:val="auto"/>
              </w:rPr>
              <w:t>2.4</w:t>
            </w:r>
          </w:p>
        </w:tc>
        <w:tc>
          <w:tcPr>
            <w:tcW w:w="540" w:type="dxa"/>
            <w:vAlign w:val="bottom"/>
            <w:shd w:val="clear" w:color="auto" w:fill="E6E6E6"/>
          </w:tcPr>
          <w:p>
            <w:pPr>
              <w:jc w:val="right"/>
              <w:ind w:right="212"/>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E6E6E6"/>
          </w:tcPr>
          <w:p>
            <w:pPr>
              <w:jc w:val="right"/>
              <w:ind w:right="95"/>
              <w:spacing w:after="0" w:line="202" w:lineRule="exact"/>
              <w:rPr>
                <w:sz w:val="20"/>
                <w:szCs w:val="20"/>
                <w:color w:val="auto"/>
              </w:rPr>
            </w:pPr>
            <w:r>
              <w:rPr>
                <w:rFonts w:ascii="Arial" w:cs="Arial" w:eastAsia="Arial" w:hAnsi="Arial"/>
                <w:sz w:val="18"/>
                <w:szCs w:val="18"/>
                <w:color w:val="auto"/>
              </w:rPr>
              <w:t>74.2</w:t>
            </w:r>
          </w:p>
        </w:tc>
        <w:tc>
          <w:tcPr>
            <w:tcW w:w="520" w:type="dxa"/>
            <w:vAlign w:val="bottom"/>
            <w:shd w:val="clear" w:color="auto" w:fill="E6E6E6"/>
          </w:tcPr>
          <w:p>
            <w:pPr>
              <w:jc w:val="right"/>
              <w:ind w:right="172"/>
              <w:spacing w:after="0" w:line="202" w:lineRule="exact"/>
              <w:rPr>
                <w:sz w:val="20"/>
                <w:szCs w:val="20"/>
                <w:color w:val="auto"/>
              </w:rPr>
            </w:pPr>
            <w:r>
              <w:rPr>
                <w:rFonts w:ascii="Arial" w:cs="Arial" w:eastAsia="Arial" w:hAnsi="Arial"/>
                <w:sz w:val="18"/>
                <w:szCs w:val="18"/>
                <w:color w:val="auto"/>
              </w:rPr>
              <w:t>$</w:t>
            </w:r>
          </w:p>
        </w:tc>
        <w:tc>
          <w:tcPr>
            <w:tcW w:w="820" w:type="dxa"/>
            <w:vAlign w:val="bottom"/>
            <w:shd w:val="clear" w:color="auto" w:fill="E6E6E6"/>
          </w:tcPr>
          <w:p>
            <w:pPr>
              <w:jc w:val="right"/>
              <w:ind w:right="35"/>
              <w:spacing w:after="0" w:line="202" w:lineRule="exact"/>
              <w:rPr>
                <w:sz w:val="20"/>
                <w:szCs w:val="20"/>
                <w:color w:val="auto"/>
              </w:rPr>
            </w:pPr>
            <w:r>
              <w:rPr>
                <w:rFonts w:ascii="Arial" w:cs="Arial" w:eastAsia="Arial" w:hAnsi="Arial"/>
                <w:sz w:val="18"/>
                <w:szCs w:val="18"/>
                <w:color w:val="auto"/>
              </w:rPr>
              <w:t>253.6</w:t>
            </w:r>
          </w:p>
        </w:tc>
        <w:tc>
          <w:tcPr>
            <w:tcW w:w="20" w:type="dxa"/>
            <w:vAlign w:val="bottom"/>
          </w:tcPr>
          <w:p>
            <w:pPr>
              <w:spacing w:after="0"/>
              <w:rPr>
                <w:sz w:val="17"/>
                <w:szCs w:val="17"/>
                <w:color w:val="auto"/>
              </w:rPr>
            </w:pPr>
          </w:p>
        </w:tc>
      </w:tr>
      <w:tr>
        <w:trPr>
          <w:trHeight w:val="203"/>
        </w:trPr>
        <w:tc>
          <w:tcPr>
            <w:tcW w:w="5800" w:type="dxa"/>
            <w:vAlign w:val="bottom"/>
          </w:tcPr>
          <w:p>
            <w:pPr>
              <w:spacing w:after="0" w:line="202" w:lineRule="exact"/>
              <w:rPr>
                <w:sz w:val="20"/>
                <w:szCs w:val="20"/>
                <w:color w:val="auto"/>
              </w:rPr>
            </w:pPr>
            <w:r>
              <w:rPr>
                <w:rFonts w:ascii="Arial" w:cs="Arial" w:eastAsia="Arial" w:hAnsi="Arial"/>
                <w:sz w:val="18"/>
                <w:szCs w:val="18"/>
                <w:color w:val="auto"/>
              </w:rPr>
              <w:t>(Loss) gain on sale</w:t>
            </w:r>
          </w:p>
        </w:tc>
        <w:tc>
          <w:tcPr>
            <w:tcW w:w="2120" w:type="dxa"/>
            <w:vAlign w:val="bottom"/>
          </w:tcPr>
          <w:p>
            <w:pPr>
              <w:spacing w:after="0"/>
              <w:rPr>
                <w:sz w:val="17"/>
                <w:szCs w:val="17"/>
                <w:color w:val="auto"/>
              </w:rPr>
            </w:pPr>
          </w:p>
        </w:tc>
        <w:tc>
          <w:tcPr>
            <w:tcW w:w="820" w:type="dxa"/>
            <w:vAlign w:val="bottom"/>
          </w:tcPr>
          <w:p>
            <w:pPr>
              <w:jc w:val="right"/>
              <w:ind w:right="55"/>
              <w:spacing w:after="0" w:line="202" w:lineRule="exact"/>
              <w:rPr>
                <w:sz w:val="20"/>
                <w:szCs w:val="20"/>
                <w:color w:val="auto"/>
              </w:rPr>
            </w:pPr>
            <w:r>
              <w:rPr>
                <w:rFonts w:ascii="Arial" w:cs="Arial" w:eastAsia="Arial" w:hAnsi="Arial"/>
                <w:sz w:val="18"/>
                <w:szCs w:val="18"/>
                <w:color w:val="auto"/>
              </w:rPr>
              <w:t>(0.9)</w:t>
            </w:r>
          </w:p>
        </w:tc>
        <w:tc>
          <w:tcPr>
            <w:tcW w:w="540" w:type="dxa"/>
            <w:vAlign w:val="bottom"/>
          </w:tcPr>
          <w:p>
            <w:pPr>
              <w:spacing w:after="0"/>
              <w:rPr>
                <w:sz w:val="17"/>
                <w:szCs w:val="17"/>
                <w:color w:val="auto"/>
              </w:rPr>
            </w:pPr>
          </w:p>
        </w:tc>
        <w:tc>
          <w:tcPr>
            <w:tcW w:w="800" w:type="dxa"/>
            <w:vAlign w:val="bottom"/>
          </w:tcPr>
          <w:p>
            <w:pPr>
              <w:jc w:val="right"/>
              <w:ind w:right="95"/>
              <w:spacing w:after="0" w:line="202" w:lineRule="exact"/>
              <w:rPr>
                <w:sz w:val="20"/>
                <w:szCs w:val="20"/>
                <w:color w:val="auto"/>
              </w:rPr>
            </w:pPr>
            <w:r>
              <w:rPr>
                <w:rFonts w:ascii="Arial" w:cs="Arial" w:eastAsia="Arial" w:hAnsi="Arial"/>
                <w:sz w:val="18"/>
                <w:szCs w:val="18"/>
                <w:color w:val="auto"/>
              </w:rPr>
              <w:t>32.0</w:t>
            </w:r>
          </w:p>
        </w:tc>
        <w:tc>
          <w:tcPr>
            <w:tcW w:w="520" w:type="dxa"/>
            <w:vAlign w:val="bottom"/>
          </w:tcPr>
          <w:p>
            <w:pPr>
              <w:spacing w:after="0"/>
              <w:rPr>
                <w:sz w:val="17"/>
                <w:szCs w:val="17"/>
                <w:color w:val="auto"/>
              </w:rPr>
            </w:pPr>
          </w:p>
        </w:tc>
        <w:tc>
          <w:tcPr>
            <w:tcW w:w="8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r>
      <w:tr>
        <w:trPr>
          <w:trHeight w:val="203"/>
        </w:trPr>
        <w:tc>
          <w:tcPr>
            <w:tcW w:w="580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Non-cash impairment charge and loss on operations</w:t>
            </w:r>
          </w:p>
        </w:tc>
        <w:tc>
          <w:tcPr>
            <w:tcW w:w="2120" w:type="dxa"/>
            <w:vAlign w:val="bottom"/>
            <w:shd w:val="clear" w:color="auto" w:fill="E6E6E6"/>
          </w:tcPr>
          <w:p>
            <w:pPr>
              <w:spacing w:after="0"/>
              <w:rPr>
                <w:sz w:val="17"/>
                <w:szCs w:val="17"/>
                <w:color w:val="auto"/>
              </w:rPr>
            </w:pPr>
          </w:p>
        </w:tc>
        <w:tc>
          <w:tcPr>
            <w:tcW w:w="820" w:type="dxa"/>
            <w:vAlign w:val="bottom"/>
            <w:shd w:val="clear" w:color="auto" w:fill="E6E6E6"/>
          </w:tcPr>
          <w:p>
            <w:pPr>
              <w:jc w:val="right"/>
              <w:ind w:right="115"/>
              <w:spacing w:after="0" w:line="202" w:lineRule="exact"/>
              <w:rPr>
                <w:sz w:val="20"/>
                <w:szCs w:val="20"/>
                <w:color w:val="auto"/>
              </w:rPr>
            </w:pPr>
            <w:r>
              <w:rPr>
                <w:rFonts w:ascii="Arial" w:cs="Arial" w:eastAsia="Arial" w:hAnsi="Arial"/>
                <w:sz w:val="18"/>
                <w:szCs w:val="18"/>
                <w:color w:val="auto"/>
              </w:rPr>
              <w:t>2.1</w:t>
            </w:r>
          </w:p>
        </w:tc>
        <w:tc>
          <w:tcPr>
            <w:tcW w:w="540" w:type="dxa"/>
            <w:vAlign w:val="bottom"/>
            <w:shd w:val="clear" w:color="auto" w:fill="E6E6E6"/>
          </w:tcPr>
          <w:p>
            <w:pPr>
              <w:spacing w:after="0"/>
              <w:rPr>
                <w:sz w:val="17"/>
                <w:szCs w:val="17"/>
                <w:color w:val="auto"/>
              </w:rPr>
            </w:pPr>
          </w:p>
        </w:tc>
        <w:tc>
          <w:tcPr>
            <w:tcW w:w="800" w:type="dxa"/>
            <w:vAlign w:val="bottom"/>
            <w:shd w:val="clear" w:color="auto" w:fill="E6E6E6"/>
          </w:tcPr>
          <w:p>
            <w:pPr>
              <w:jc w:val="right"/>
              <w:ind w:right="95"/>
              <w:spacing w:after="0" w:line="202" w:lineRule="exact"/>
              <w:rPr>
                <w:sz w:val="20"/>
                <w:szCs w:val="20"/>
                <w:color w:val="auto"/>
              </w:rPr>
            </w:pPr>
            <w:r>
              <w:rPr>
                <w:rFonts w:ascii="Arial" w:cs="Arial" w:eastAsia="Arial" w:hAnsi="Arial"/>
                <w:sz w:val="18"/>
                <w:szCs w:val="18"/>
                <w:color w:val="auto"/>
              </w:rPr>
              <w:t>62.2</w:t>
            </w:r>
          </w:p>
        </w:tc>
        <w:tc>
          <w:tcPr>
            <w:tcW w:w="520" w:type="dxa"/>
            <w:vAlign w:val="bottom"/>
            <w:shd w:val="clear" w:color="auto" w:fill="E6E6E6"/>
          </w:tcPr>
          <w:p>
            <w:pPr>
              <w:spacing w:after="0"/>
              <w:rPr>
                <w:sz w:val="17"/>
                <w:szCs w:val="17"/>
                <w:color w:val="auto"/>
              </w:rPr>
            </w:pPr>
          </w:p>
        </w:tc>
        <w:tc>
          <w:tcPr>
            <w:tcW w:w="820" w:type="dxa"/>
            <w:vAlign w:val="bottom"/>
            <w:shd w:val="clear" w:color="auto" w:fill="E6E6E6"/>
          </w:tcPr>
          <w:p>
            <w:pPr>
              <w:jc w:val="right"/>
              <w:ind w:right="35"/>
              <w:spacing w:after="0" w:line="202" w:lineRule="exact"/>
              <w:rPr>
                <w:sz w:val="20"/>
                <w:szCs w:val="20"/>
                <w:color w:val="auto"/>
              </w:rPr>
            </w:pPr>
            <w:r>
              <w:rPr>
                <w:rFonts w:ascii="Arial" w:cs="Arial" w:eastAsia="Arial" w:hAnsi="Arial"/>
                <w:sz w:val="18"/>
                <w:szCs w:val="18"/>
                <w:color w:val="auto"/>
              </w:rPr>
              <w:t>206.6</w:t>
            </w:r>
          </w:p>
        </w:tc>
        <w:tc>
          <w:tcPr>
            <w:tcW w:w="20" w:type="dxa"/>
            <w:vAlign w:val="bottom"/>
          </w:tcPr>
          <w:p>
            <w:pPr>
              <w:spacing w:after="0"/>
              <w:rPr>
                <w:sz w:val="17"/>
                <w:szCs w:val="17"/>
                <w:color w:val="auto"/>
              </w:rPr>
            </w:pPr>
          </w:p>
        </w:tc>
      </w:tr>
      <w:tr>
        <w:trPr>
          <w:trHeight w:val="203"/>
        </w:trPr>
        <w:tc>
          <w:tcPr>
            <w:tcW w:w="5800" w:type="dxa"/>
            <w:vAlign w:val="bottom"/>
          </w:tcPr>
          <w:p>
            <w:pPr>
              <w:spacing w:after="0" w:line="202" w:lineRule="exact"/>
              <w:rPr>
                <w:sz w:val="20"/>
                <w:szCs w:val="20"/>
                <w:color w:val="auto"/>
              </w:rPr>
            </w:pPr>
            <w:r>
              <w:rPr>
                <w:rFonts w:ascii="Arial" w:cs="Arial" w:eastAsia="Arial" w:hAnsi="Arial"/>
                <w:sz w:val="18"/>
                <w:szCs w:val="18"/>
                <w:color w:val="auto"/>
              </w:rPr>
              <w:t>Loss before income taxes</w:t>
            </w:r>
          </w:p>
        </w:tc>
        <w:tc>
          <w:tcPr>
            <w:tcW w:w="2120" w:type="dxa"/>
            <w:vAlign w:val="bottom"/>
          </w:tcPr>
          <w:p>
            <w:pPr>
              <w:spacing w:after="0"/>
              <w:rPr>
                <w:sz w:val="17"/>
                <w:szCs w:val="17"/>
                <w:color w:val="auto"/>
              </w:rPr>
            </w:pPr>
          </w:p>
        </w:tc>
        <w:tc>
          <w:tcPr>
            <w:tcW w:w="820" w:type="dxa"/>
            <w:vAlign w:val="bottom"/>
          </w:tcPr>
          <w:p>
            <w:pPr>
              <w:jc w:val="right"/>
              <w:ind w:right="115"/>
              <w:spacing w:after="0" w:line="202" w:lineRule="exact"/>
              <w:rPr>
                <w:sz w:val="20"/>
                <w:szCs w:val="20"/>
                <w:color w:val="auto"/>
              </w:rPr>
            </w:pPr>
            <w:r>
              <w:rPr>
                <w:rFonts w:ascii="Arial" w:cs="Arial" w:eastAsia="Arial" w:hAnsi="Arial"/>
                <w:sz w:val="18"/>
                <w:szCs w:val="18"/>
                <w:color w:val="auto"/>
              </w:rPr>
              <w:t>3.0</w:t>
            </w:r>
          </w:p>
        </w:tc>
        <w:tc>
          <w:tcPr>
            <w:tcW w:w="540" w:type="dxa"/>
            <w:vAlign w:val="bottom"/>
          </w:tcPr>
          <w:p>
            <w:pPr>
              <w:spacing w:after="0"/>
              <w:rPr>
                <w:sz w:val="17"/>
                <w:szCs w:val="17"/>
                <w:color w:val="auto"/>
              </w:rPr>
            </w:pPr>
          </w:p>
        </w:tc>
        <w:tc>
          <w:tcPr>
            <w:tcW w:w="800" w:type="dxa"/>
            <w:vAlign w:val="bottom"/>
          </w:tcPr>
          <w:p>
            <w:pPr>
              <w:jc w:val="right"/>
              <w:ind w:right="95"/>
              <w:spacing w:after="0" w:line="202" w:lineRule="exact"/>
              <w:rPr>
                <w:sz w:val="20"/>
                <w:szCs w:val="20"/>
                <w:color w:val="auto"/>
              </w:rPr>
            </w:pPr>
            <w:r>
              <w:rPr>
                <w:rFonts w:ascii="Arial" w:cs="Arial" w:eastAsia="Arial" w:hAnsi="Arial"/>
                <w:sz w:val="18"/>
                <w:szCs w:val="18"/>
                <w:color w:val="auto"/>
              </w:rPr>
              <w:t>30.2</w:t>
            </w:r>
          </w:p>
        </w:tc>
        <w:tc>
          <w:tcPr>
            <w:tcW w:w="520" w:type="dxa"/>
            <w:vAlign w:val="bottom"/>
          </w:tcPr>
          <w:p>
            <w:pPr>
              <w:spacing w:after="0"/>
              <w:rPr>
                <w:sz w:val="17"/>
                <w:szCs w:val="17"/>
                <w:color w:val="auto"/>
              </w:rPr>
            </w:pPr>
          </w:p>
        </w:tc>
        <w:tc>
          <w:tcPr>
            <w:tcW w:w="820" w:type="dxa"/>
            <w:vAlign w:val="bottom"/>
          </w:tcPr>
          <w:p>
            <w:pPr>
              <w:jc w:val="right"/>
              <w:ind w:right="35"/>
              <w:spacing w:after="0" w:line="202" w:lineRule="exact"/>
              <w:rPr>
                <w:sz w:val="20"/>
                <w:szCs w:val="20"/>
                <w:color w:val="auto"/>
              </w:rPr>
            </w:pPr>
            <w:r>
              <w:rPr>
                <w:rFonts w:ascii="Arial" w:cs="Arial" w:eastAsia="Arial" w:hAnsi="Arial"/>
                <w:sz w:val="18"/>
                <w:szCs w:val="18"/>
                <w:color w:val="auto"/>
              </w:rPr>
              <w:t>206.6</w:t>
            </w:r>
          </w:p>
        </w:tc>
        <w:tc>
          <w:tcPr>
            <w:tcW w:w="20" w:type="dxa"/>
            <w:vAlign w:val="bottom"/>
          </w:tcPr>
          <w:p>
            <w:pPr>
              <w:spacing w:after="0"/>
              <w:rPr>
                <w:sz w:val="17"/>
                <w:szCs w:val="17"/>
                <w:color w:val="auto"/>
              </w:rPr>
            </w:pPr>
          </w:p>
        </w:tc>
      </w:tr>
      <w:tr>
        <w:trPr>
          <w:trHeight w:val="203"/>
        </w:trPr>
        <w:tc>
          <w:tcPr>
            <w:tcW w:w="580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Income tax benefit (expense)</w:t>
            </w:r>
          </w:p>
        </w:tc>
        <w:tc>
          <w:tcPr>
            <w:tcW w:w="2120" w:type="dxa"/>
            <w:vAlign w:val="bottom"/>
            <w:shd w:val="clear" w:color="auto" w:fill="E6E6E6"/>
          </w:tcPr>
          <w:p>
            <w:pPr>
              <w:spacing w:after="0"/>
              <w:rPr>
                <w:sz w:val="17"/>
                <w:szCs w:val="17"/>
                <w:color w:val="auto"/>
              </w:rPr>
            </w:pPr>
          </w:p>
        </w:tc>
        <w:tc>
          <w:tcPr>
            <w:tcW w:w="820" w:type="dxa"/>
            <w:vAlign w:val="bottom"/>
            <w:shd w:val="clear" w:color="auto" w:fill="E6E6E6"/>
          </w:tcPr>
          <w:p>
            <w:pPr>
              <w:jc w:val="right"/>
              <w:ind w:right="115"/>
              <w:spacing w:after="0" w:line="202" w:lineRule="exact"/>
              <w:rPr>
                <w:sz w:val="20"/>
                <w:szCs w:val="20"/>
                <w:color w:val="auto"/>
              </w:rPr>
            </w:pPr>
            <w:r>
              <w:rPr>
                <w:rFonts w:ascii="Arial" w:cs="Arial" w:eastAsia="Arial" w:hAnsi="Arial"/>
                <w:sz w:val="18"/>
                <w:szCs w:val="18"/>
                <w:color w:val="auto"/>
              </w:rPr>
              <w:t>0.4</w:t>
            </w:r>
          </w:p>
        </w:tc>
        <w:tc>
          <w:tcPr>
            <w:tcW w:w="540" w:type="dxa"/>
            <w:vAlign w:val="bottom"/>
            <w:shd w:val="clear" w:color="auto" w:fill="E6E6E6"/>
          </w:tcPr>
          <w:p>
            <w:pPr>
              <w:spacing w:after="0"/>
              <w:rPr>
                <w:sz w:val="17"/>
                <w:szCs w:val="17"/>
                <w:color w:val="auto"/>
              </w:rPr>
            </w:pPr>
          </w:p>
        </w:tc>
        <w:tc>
          <w:tcPr>
            <w:tcW w:w="800" w:type="dxa"/>
            <w:vAlign w:val="bottom"/>
            <w:shd w:val="clear" w:color="auto" w:fill="E6E6E6"/>
          </w:tcPr>
          <w:p>
            <w:pPr>
              <w:jc w:val="right"/>
              <w:ind w:right="95"/>
              <w:spacing w:after="0" w:line="202" w:lineRule="exact"/>
              <w:rPr>
                <w:sz w:val="20"/>
                <w:szCs w:val="20"/>
                <w:color w:val="auto"/>
              </w:rPr>
            </w:pPr>
            <w:r>
              <w:rPr>
                <w:rFonts w:ascii="Arial" w:cs="Arial" w:eastAsia="Arial" w:hAnsi="Arial"/>
                <w:sz w:val="18"/>
                <w:szCs w:val="18"/>
                <w:color w:val="auto"/>
              </w:rPr>
              <w:t>2.7</w:t>
            </w:r>
          </w:p>
        </w:tc>
        <w:tc>
          <w:tcPr>
            <w:tcW w:w="520" w:type="dxa"/>
            <w:vAlign w:val="bottom"/>
            <w:shd w:val="clear" w:color="auto" w:fill="E6E6E6"/>
          </w:tcPr>
          <w:p>
            <w:pPr>
              <w:spacing w:after="0"/>
              <w:rPr>
                <w:sz w:val="17"/>
                <w:szCs w:val="17"/>
                <w:color w:val="auto"/>
              </w:rPr>
            </w:pPr>
          </w:p>
        </w:tc>
        <w:tc>
          <w:tcPr>
            <w:tcW w:w="820" w:type="dxa"/>
            <w:vAlign w:val="bottom"/>
            <w:shd w:val="clear" w:color="auto" w:fill="E6E6E6"/>
          </w:tcPr>
          <w:p>
            <w:pPr>
              <w:jc w:val="right"/>
              <w:ind w:right="35"/>
              <w:spacing w:after="0" w:line="202" w:lineRule="exact"/>
              <w:rPr>
                <w:sz w:val="20"/>
                <w:szCs w:val="20"/>
                <w:color w:val="auto"/>
              </w:rPr>
            </w:pPr>
            <w:r>
              <w:rPr>
                <w:rFonts w:ascii="Arial" w:cs="Arial" w:eastAsia="Arial" w:hAnsi="Arial"/>
                <w:sz w:val="18"/>
                <w:szCs w:val="18"/>
                <w:color w:val="auto"/>
              </w:rPr>
              <w:t>72.1</w:t>
            </w:r>
          </w:p>
        </w:tc>
        <w:tc>
          <w:tcPr>
            <w:tcW w:w="20" w:type="dxa"/>
            <w:vAlign w:val="bottom"/>
          </w:tcPr>
          <w:p>
            <w:pPr>
              <w:spacing w:after="0"/>
              <w:rPr>
                <w:sz w:val="17"/>
                <w:szCs w:val="17"/>
                <w:color w:val="auto"/>
              </w:rPr>
            </w:pPr>
          </w:p>
        </w:tc>
      </w:tr>
      <w:tr>
        <w:trPr>
          <w:trHeight w:val="108"/>
        </w:trPr>
        <w:tc>
          <w:tcPr>
            <w:tcW w:w="5800" w:type="dxa"/>
            <w:vAlign w:val="bottom"/>
            <w:tcBorders>
              <w:bottom w:val="single" w:sz="8" w:color="808080"/>
            </w:tcBorders>
          </w:tcPr>
          <w:p>
            <w:pPr>
              <w:spacing w:after="0"/>
              <w:rPr>
                <w:sz w:val="9"/>
                <w:szCs w:val="9"/>
                <w:color w:val="auto"/>
              </w:rPr>
            </w:pPr>
          </w:p>
        </w:tc>
        <w:tc>
          <w:tcPr>
            <w:tcW w:w="212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r>
      <w:tr>
        <w:trPr>
          <w:trHeight w:val="316"/>
        </w:trPr>
        <w:tc>
          <w:tcPr>
            <w:tcW w:w="5800" w:type="dxa"/>
            <w:vAlign w:val="bottom"/>
          </w:tcPr>
          <w:p>
            <w:pPr>
              <w:spacing w:after="0"/>
              <w:rPr>
                <w:sz w:val="20"/>
                <w:szCs w:val="20"/>
                <w:color w:val="auto"/>
              </w:rPr>
            </w:pPr>
            <w:r>
              <w:rPr>
                <w:rFonts w:ascii="Arial" w:cs="Arial" w:eastAsia="Arial" w:hAnsi="Arial"/>
                <w:sz w:val="18"/>
                <w:szCs w:val="18"/>
                <w:b w:val="1"/>
                <w:bCs w:val="1"/>
                <w:color w:val="auto"/>
              </w:rPr>
              <w:t>Loss from discontinued operations, net of tax</w:t>
            </w:r>
          </w:p>
        </w:tc>
        <w:tc>
          <w:tcPr>
            <w:tcW w:w="2120" w:type="dxa"/>
            <w:vAlign w:val="bottom"/>
          </w:tcPr>
          <w:p>
            <w:pPr>
              <w:jc w:val="right"/>
              <w:ind w:right="212"/>
              <w:spacing w:after="0"/>
              <w:rPr>
                <w:sz w:val="20"/>
                <w:szCs w:val="20"/>
                <w:color w:val="auto"/>
              </w:rPr>
            </w:pPr>
            <w:r>
              <w:rPr>
                <w:rFonts w:ascii="Arial" w:cs="Arial" w:eastAsia="Arial" w:hAnsi="Arial"/>
                <w:sz w:val="18"/>
                <w:szCs w:val="18"/>
                <w:b w:val="1"/>
                <w:bCs w:val="1"/>
                <w:color w:val="auto"/>
              </w:rPr>
              <w:t>$</w:t>
            </w:r>
          </w:p>
        </w:tc>
        <w:tc>
          <w:tcPr>
            <w:tcW w:w="820" w:type="dxa"/>
            <w:vAlign w:val="bottom"/>
          </w:tcPr>
          <w:p>
            <w:pPr>
              <w:jc w:val="right"/>
              <w:ind w:right="115"/>
              <w:spacing w:after="0"/>
              <w:rPr>
                <w:sz w:val="20"/>
                <w:szCs w:val="20"/>
                <w:color w:val="auto"/>
              </w:rPr>
            </w:pPr>
            <w:r>
              <w:rPr>
                <w:rFonts w:ascii="Arial" w:cs="Arial" w:eastAsia="Arial" w:hAnsi="Arial"/>
                <w:sz w:val="18"/>
                <w:szCs w:val="18"/>
                <w:b w:val="1"/>
                <w:bCs w:val="1"/>
                <w:color w:val="auto"/>
              </w:rPr>
              <w:t>2.6</w:t>
            </w:r>
          </w:p>
        </w:tc>
        <w:tc>
          <w:tcPr>
            <w:tcW w:w="540" w:type="dxa"/>
            <w:vAlign w:val="bottom"/>
          </w:tcPr>
          <w:p>
            <w:pPr>
              <w:jc w:val="right"/>
              <w:ind w:right="212"/>
              <w:spacing w:after="0"/>
              <w:rPr>
                <w:sz w:val="20"/>
                <w:szCs w:val="20"/>
                <w:color w:val="auto"/>
              </w:rPr>
            </w:pPr>
            <w:r>
              <w:rPr>
                <w:rFonts w:ascii="Arial" w:cs="Arial" w:eastAsia="Arial" w:hAnsi="Arial"/>
                <w:sz w:val="18"/>
                <w:szCs w:val="18"/>
                <w:b w:val="1"/>
                <w:bCs w:val="1"/>
                <w:color w:val="auto"/>
              </w:rPr>
              <w:t>$</w:t>
            </w:r>
          </w:p>
        </w:tc>
        <w:tc>
          <w:tcPr>
            <w:tcW w:w="800" w:type="dxa"/>
            <w:vAlign w:val="bottom"/>
          </w:tcPr>
          <w:p>
            <w:pPr>
              <w:jc w:val="right"/>
              <w:ind w:right="95"/>
              <w:spacing w:after="0"/>
              <w:rPr>
                <w:sz w:val="20"/>
                <w:szCs w:val="20"/>
                <w:color w:val="auto"/>
              </w:rPr>
            </w:pPr>
            <w:r>
              <w:rPr>
                <w:rFonts w:ascii="Arial" w:cs="Arial" w:eastAsia="Arial" w:hAnsi="Arial"/>
                <w:sz w:val="18"/>
                <w:szCs w:val="18"/>
                <w:b w:val="1"/>
                <w:bCs w:val="1"/>
                <w:color w:val="auto"/>
              </w:rPr>
              <w:t>27.5</w:t>
            </w:r>
          </w:p>
        </w:tc>
        <w:tc>
          <w:tcPr>
            <w:tcW w:w="520" w:type="dxa"/>
            <w:vAlign w:val="bottom"/>
          </w:tcPr>
          <w:p>
            <w:pPr>
              <w:jc w:val="right"/>
              <w:ind w:right="172"/>
              <w:spacing w:after="0"/>
              <w:rPr>
                <w:sz w:val="20"/>
                <w:szCs w:val="20"/>
                <w:color w:val="auto"/>
              </w:rPr>
            </w:pPr>
            <w:r>
              <w:rPr>
                <w:rFonts w:ascii="Arial" w:cs="Arial" w:eastAsia="Arial" w:hAnsi="Arial"/>
                <w:sz w:val="18"/>
                <w:szCs w:val="18"/>
                <w:b w:val="1"/>
                <w:bCs w:val="1"/>
                <w:color w:val="auto"/>
              </w:rPr>
              <w:t>$</w:t>
            </w:r>
          </w:p>
        </w:tc>
        <w:tc>
          <w:tcPr>
            <w:tcW w:w="820" w:type="dxa"/>
            <w:vAlign w:val="bottom"/>
          </w:tcPr>
          <w:p>
            <w:pPr>
              <w:jc w:val="right"/>
              <w:ind w:right="35"/>
              <w:spacing w:after="0"/>
              <w:rPr>
                <w:sz w:val="20"/>
                <w:szCs w:val="20"/>
                <w:color w:val="auto"/>
              </w:rPr>
            </w:pPr>
            <w:r>
              <w:rPr>
                <w:rFonts w:ascii="Arial" w:cs="Arial" w:eastAsia="Arial" w:hAnsi="Arial"/>
                <w:sz w:val="18"/>
                <w:szCs w:val="18"/>
                <w:b w:val="1"/>
                <w:bCs w:val="1"/>
                <w:color w:val="auto"/>
              </w:rPr>
              <w:t>134.5</w:t>
            </w:r>
          </w:p>
        </w:tc>
        <w:tc>
          <w:tcPr>
            <w:tcW w:w="20" w:type="dxa"/>
            <w:vAlign w:val="bottom"/>
          </w:tcPr>
          <w:p>
            <w:pPr>
              <w:spacing w:after="0"/>
              <w:rPr>
                <w:sz w:val="24"/>
                <w:szCs w:val="24"/>
                <w:color w:val="auto"/>
              </w:rPr>
            </w:pPr>
          </w:p>
        </w:tc>
      </w:tr>
      <w:tr>
        <w:trPr>
          <w:trHeight w:val="97"/>
        </w:trPr>
        <w:tc>
          <w:tcPr>
            <w:tcW w:w="5800" w:type="dxa"/>
            <w:vAlign w:val="bottom"/>
            <w:tcBorders>
              <w:bottom w:val="single" w:sz="8" w:color="808080"/>
            </w:tcBorders>
          </w:tcPr>
          <w:p>
            <w:pPr>
              <w:spacing w:after="0"/>
              <w:rPr>
                <w:sz w:val="8"/>
                <w:szCs w:val="8"/>
                <w:color w:val="auto"/>
              </w:rPr>
            </w:pPr>
          </w:p>
        </w:tc>
        <w:tc>
          <w:tcPr>
            <w:tcW w:w="212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r>
    </w:tbl>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the assets and liabilities of the discontinued operations included in the Consolidated Balance Sheets of the Company as of May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263765" cy="889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30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800" w:type="dxa"/>
            <w:vAlign w:val="bottom"/>
          </w:tcPr>
          <w:p>
            <w:pPr>
              <w:jc w:val="right"/>
              <w:ind w:right="75"/>
              <w:spacing w:after="0"/>
              <w:rPr>
                <w:sz w:val="20"/>
                <w:szCs w:val="20"/>
                <w:color w:val="auto"/>
              </w:rPr>
            </w:pPr>
            <w:r>
              <w:rPr>
                <w:rFonts w:ascii="Arial" w:cs="Arial" w:eastAsia="Arial" w:hAnsi="Arial"/>
                <w:sz w:val="14"/>
                <w:szCs w:val="14"/>
                <w:b w:val="1"/>
                <w:bCs w:val="1"/>
                <w:color w:val="auto"/>
              </w:rPr>
              <w:t>2010</w:t>
            </w:r>
          </w:p>
        </w:tc>
        <w:tc>
          <w:tcPr>
            <w:tcW w:w="580" w:type="dxa"/>
            <w:vAlign w:val="bottom"/>
          </w:tcPr>
          <w:p>
            <w:pPr>
              <w:spacing w:after="0"/>
              <w:rPr>
                <w:sz w:val="15"/>
                <w:szCs w:val="15"/>
                <w:color w:val="auto"/>
              </w:rPr>
            </w:pPr>
          </w:p>
        </w:tc>
        <w:tc>
          <w:tcPr>
            <w:tcW w:w="760" w:type="dxa"/>
            <w:vAlign w:val="bottom"/>
          </w:tcPr>
          <w:p>
            <w:pPr>
              <w:jc w:val="right"/>
              <w:ind w:right="35"/>
              <w:spacing w:after="0"/>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300" w:type="dxa"/>
            <w:vAlign w:val="bottom"/>
            <w:tcBorders>
              <w:bottom w:val="single" w:sz="8" w:color="auto"/>
            </w:tcBorders>
          </w:tcPr>
          <w:p>
            <w:pPr>
              <w:spacing w:after="0"/>
              <w:rPr>
                <w:sz w:val="8"/>
                <w:szCs w:val="8"/>
                <w:color w:val="auto"/>
              </w:rPr>
            </w:pPr>
          </w:p>
        </w:tc>
        <w:tc>
          <w:tcPr>
            <w:tcW w:w="296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6320" w:type="dxa"/>
            <w:vAlign w:val="bottom"/>
            <w:gridSpan w:val="2"/>
          </w:tcPr>
          <w:p>
            <w:pPr>
              <w:spacing w:after="0"/>
              <w:rPr>
                <w:sz w:val="8"/>
                <w:szCs w:val="8"/>
                <w:color w:val="auto"/>
              </w:rPr>
            </w:pPr>
          </w:p>
        </w:tc>
        <w:tc>
          <w:tcPr>
            <w:tcW w:w="2960" w:type="dxa"/>
            <w:vAlign w:val="bottom"/>
          </w:tcPr>
          <w:p>
            <w:pPr>
              <w:spacing w:after="0"/>
              <w:rPr>
                <w:sz w:val="8"/>
                <w:szCs w:val="8"/>
                <w:color w:val="auto"/>
              </w:rPr>
            </w:pPr>
          </w:p>
        </w:tc>
        <w:tc>
          <w:tcPr>
            <w:tcW w:w="800" w:type="dxa"/>
            <w:vAlign w:val="bottom"/>
          </w:tcPr>
          <w:p>
            <w:pPr>
              <w:spacing w:after="0"/>
              <w:rPr>
                <w:sz w:val="8"/>
                <w:szCs w:val="8"/>
                <w:color w:val="auto"/>
              </w:rPr>
            </w:pPr>
          </w:p>
        </w:tc>
        <w:tc>
          <w:tcPr>
            <w:tcW w:w="58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0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Accounts Receivable, net</w:t>
            </w:r>
          </w:p>
        </w:tc>
        <w:tc>
          <w:tcPr>
            <w:tcW w:w="2960" w:type="dxa"/>
            <w:vAlign w:val="bottom"/>
            <w:shd w:val="clear" w:color="auto" w:fill="E6E6E6"/>
          </w:tcPr>
          <w:p>
            <w:pPr>
              <w:jc w:val="right"/>
              <w:ind w:right="192"/>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E6E6E6"/>
          </w:tcPr>
          <w:p>
            <w:pPr>
              <w:jc w:val="right"/>
              <w:ind w:right="75"/>
              <w:spacing w:after="0" w:line="202" w:lineRule="exact"/>
              <w:rPr>
                <w:sz w:val="20"/>
                <w:szCs w:val="20"/>
                <w:color w:val="auto"/>
              </w:rPr>
            </w:pPr>
            <w:r>
              <w:rPr>
                <w:rFonts w:ascii="Arial" w:cs="Arial" w:eastAsia="Arial" w:hAnsi="Arial"/>
                <w:sz w:val="18"/>
                <w:szCs w:val="18"/>
                <w:color w:val="auto"/>
              </w:rPr>
              <w:t>3.7</w:t>
            </w:r>
          </w:p>
        </w:tc>
        <w:tc>
          <w:tcPr>
            <w:tcW w:w="580" w:type="dxa"/>
            <w:vAlign w:val="bottom"/>
            <w:shd w:val="clear" w:color="auto" w:fill="E6E6E6"/>
          </w:tcPr>
          <w:p>
            <w:pPr>
              <w:jc w:val="right"/>
              <w:ind w:right="212"/>
              <w:spacing w:after="0" w:line="202" w:lineRule="exact"/>
              <w:rPr>
                <w:sz w:val="20"/>
                <w:szCs w:val="20"/>
                <w:color w:val="auto"/>
              </w:rPr>
            </w:pPr>
            <w:r>
              <w:rPr>
                <w:rFonts w:ascii="Arial" w:cs="Arial" w:eastAsia="Arial" w:hAnsi="Arial"/>
                <w:sz w:val="18"/>
                <w:szCs w:val="18"/>
                <w:color w:val="auto"/>
              </w:rPr>
              <w:t>$</w:t>
            </w:r>
          </w:p>
        </w:tc>
        <w:tc>
          <w:tcPr>
            <w:tcW w:w="760" w:type="dxa"/>
            <w:vAlign w:val="bottom"/>
            <w:shd w:val="clear" w:color="auto" w:fill="E6E6E6"/>
          </w:tcPr>
          <w:p>
            <w:pPr>
              <w:jc w:val="right"/>
              <w:ind w:right="35"/>
              <w:spacing w:after="0" w:line="202" w:lineRule="exact"/>
              <w:rPr>
                <w:sz w:val="20"/>
                <w:szCs w:val="20"/>
                <w:color w:val="auto"/>
              </w:rPr>
            </w:pPr>
            <w:r>
              <w:rPr>
                <w:rFonts w:ascii="Arial" w:cs="Arial" w:eastAsia="Arial" w:hAnsi="Arial"/>
                <w:sz w:val="18"/>
                <w:szCs w:val="18"/>
                <w:color w:val="auto"/>
              </w:rPr>
              <w:t>13.6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20" w:type="dxa"/>
            <w:vAlign w:val="bottom"/>
            <w:gridSpan w:val="2"/>
          </w:tcPr>
          <w:p>
            <w:pPr>
              <w:spacing w:after="0" w:line="202" w:lineRule="exact"/>
              <w:rPr>
                <w:sz w:val="20"/>
                <w:szCs w:val="20"/>
                <w:color w:val="auto"/>
              </w:rPr>
            </w:pPr>
            <w:r>
              <w:rPr>
                <w:rFonts w:ascii="Arial" w:cs="Arial" w:eastAsia="Arial" w:hAnsi="Arial"/>
                <w:sz w:val="18"/>
                <w:szCs w:val="18"/>
                <w:color w:val="auto"/>
              </w:rPr>
              <w:t>Inventories, net</w:t>
            </w:r>
          </w:p>
        </w:tc>
        <w:tc>
          <w:tcPr>
            <w:tcW w:w="2960" w:type="dxa"/>
            <w:vAlign w:val="bottom"/>
          </w:tcPr>
          <w:p>
            <w:pPr>
              <w:spacing w:after="0"/>
              <w:rPr>
                <w:sz w:val="17"/>
                <w:szCs w:val="17"/>
                <w:color w:val="auto"/>
              </w:rPr>
            </w:pPr>
          </w:p>
        </w:tc>
        <w:tc>
          <w:tcPr>
            <w:tcW w:w="800" w:type="dxa"/>
            <w:vAlign w:val="bottom"/>
          </w:tcPr>
          <w:p>
            <w:pPr>
              <w:jc w:val="right"/>
              <w:ind w:right="75"/>
              <w:spacing w:after="0" w:line="202" w:lineRule="exact"/>
              <w:rPr>
                <w:sz w:val="20"/>
                <w:szCs w:val="20"/>
                <w:color w:val="auto"/>
              </w:rPr>
            </w:pPr>
            <w:r>
              <w:rPr>
                <w:rFonts w:ascii="Arial" w:cs="Arial" w:eastAsia="Arial" w:hAnsi="Arial"/>
                <w:sz w:val="18"/>
                <w:szCs w:val="18"/>
                <w:color w:val="auto"/>
              </w:rPr>
              <w:t>—</w:t>
            </w:r>
          </w:p>
        </w:tc>
        <w:tc>
          <w:tcPr>
            <w:tcW w:w="580" w:type="dxa"/>
            <w:vAlign w:val="bottom"/>
          </w:tcPr>
          <w:p>
            <w:pPr>
              <w:spacing w:after="0"/>
              <w:rPr>
                <w:sz w:val="17"/>
                <w:szCs w:val="17"/>
                <w:color w:val="auto"/>
              </w:rPr>
            </w:pPr>
          </w:p>
        </w:tc>
        <w:tc>
          <w:tcPr>
            <w:tcW w:w="760" w:type="dxa"/>
            <w:vAlign w:val="bottom"/>
          </w:tcPr>
          <w:p>
            <w:pPr>
              <w:jc w:val="right"/>
              <w:ind w:right="35"/>
              <w:spacing w:after="0" w:line="202" w:lineRule="exact"/>
              <w:rPr>
                <w:sz w:val="20"/>
                <w:szCs w:val="20"/>
                <w:color w:val="auto"/>
              </w:rPr>
            </w:pPr>
            <w:r>
              <w:rPr>
                <w:rFonts w:ascii="Arial" w:cs="Arial" w:eastAsia="Arial" w:hAnsi="Arial"/>
                <w:sz w:val="18"/>
                <w:szCs w:val="18"/>
                <w:color w:val="auto"/>
              </w:rPr>
              <w:t>0.8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0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Other assets</w:t>
            </w:r>
          </w:p>
        </w:tc>
        <w:tc>
          <w:tcPr>
            <w:tcW w:w="2960" w:type="dxa"/>
            <w:vAlign w:val="bottom"/>
            <w:shd w:val="clear" w:color="auto" w:fill="E6E6E6"/>
          </w:tcPr>
          <w:p>
            <w:pPr>
              <w:spacing w:after="0"/>
              <w:rPr>
                <w:sz w:val="17"/>
                <w:szCs w:val="17"/>
                <w:color w:val="auto"/>
              </w:rPr>
            </w:pPr>
          </w:p>
        </w:tc>
        <w:tc>
          <w:tcPr>
            <w:tcW w:w="800" w:type="dxa"/>
            <w:vAlign w:val="bottom"/>
            <w:shd w:val="clear" w:color="auto" w:fill="E6E6E6"/>
          </w:tcPr>
          <w:p>
            <w:pPr>
              <w:jc w:val="right"/>
              <w:ind w:right="75"/>
              <w:spacing w:after="0" w:line="202" w:lineRule="exact"/>
              <w:rPr>
                <w:sz w:val="20"/>
                <w:szCs w:val="20"/>
                <w:color w:val="auto"/>
              </w:rPr>
            </w:pPr>
            <w:r>
              <w:rPr>
                <w:rFonts w:ascii="Arial" w:cs="Arial" w:eastAsia="Arial" w:hAnsi="Arial"/>
                <w:sz w:val="18"/>
                <w:szCs w:val="18"/>
                <w:color w:val="auto"/>
              </w:rPr>
              <w:t>16.7</w:t>
            </w:r>
          </w:p>
        </w:tc>
        <w:tc>
          <w:tcPr>
            <w:tcW w:w="580" w:type="dxa"/>
            <w:vAlign w:val="bottom"/>
            <w:shd w:val="clear" w:color="auto" w:fill="E6E6E6"/>
          </w:tcPr>
          <w:p>
            <w:pPr>
              <w:spacing w:after="0"/>
              <w:rPr>
                <w:sz w:val="17"/>
                <w:szCs w:val="17"/>
                <w:color w:val="auto"/>
              </w:rPr>
            </w:pPr>
          </w:p>
        </w:tc>
        <w:tc>
          <w:tcPr>
            <w:tcW w:w="760" w:type="dxa"/>
            <w:vAlign w:val="bottom"/>
            <w:shd w:val="clear" w:color="auto" w:fill="E6E6E6"/>
          </w:tcPr>
          <w:p>
            <w:pPr>
              <w:jc w:val="right"/>
              <w:ind w:right="35"/>
              <w:spacing w:after="0" w:line="202" w:lineRule="exact"/>
              <w:rPr>
                <w:sz w:val="20"/>
                <w:szCs w:val="20"/>
                <w:color w:val="auto"/>
              </w:rPr>
            </w:pPr>
            <w:r>
              <w:rPr>
                <w:rFonts w:ascii="Arial" w:cs="Arial" w:eastAsia="Arial" w:hAnsi="Arial"/>
                <w:sz w:val="18"/>
                <w:szCs w:val="18"/>
                <w:color w:val="auto"/>
              </w:rPr>
              <w:t>16.6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300" w:type="dxa"/>
            <w:vAlign w:val="bottom"/>
            <w:tcBorders>
              <w:bottom w:val="single" w:sz="8" w:color="808080"/>
            </w:tcBorders>
          </w:tcPr>
          <w:p>
            <w:pPr>
              <w:spacing w:after="0"/>
              <w:rPr>
                <w:sz w:val="9"/>
                <w:szCs w:val="9"/>
                <w:color w:val="auto"/>
              </w:rPr>
            </w:pPr>
          </w:p>
        </w:tc>
        <w:tc>
          <w:tcPr>
            <w:tcW w:w="296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6320" w:type="dxa"/>
            <w:vAlign w:val="bottom"/>
            <w:gridSpan w:val="2"/>
          </w:tcPr>
          <w:p>
            <w:pPr>
              <w:spacing w:after="0"/>
              <w:rPr>
                <w:sz w:val="20"/>
                <w:szCs w:val="20"/>
                <w:color w:val="auto"/>
              </w:rPr>
            </w:pPr>
            <w:r>
              <w:rPr>
                <w:rFonts w:ascii="Arial" w:cs="Arial" w:eastAsia="Arial" w:hAnsi="Arial"/>
                <w:sz w:val="18"/>
                <w:szCs w:val="18"/>
                <w:b w:val="1"/>
                <w:bCs w:val="1"/>
                <w:color w:val="auto"/>
              </w:rPr>
              <w:t>Current assets of discontinued operations</w:t>
            </w:r>
          </w:p>
        </w:tc>
        <w:tc>
          <w:tcPr>
            <w:tcW w:w="2960" w:type="dxa"/>
            <w:vAlign w:val="bottom"/>
          </w:tcPr>
          <w:p>
            <w:pPr>
              <w:jc w:val="right"/>
              <w:ind w:right="192"/>
              <w:spacing w:after="0"/>
              <w:rPr>
                <w:sz w:val="20"/>
                <w:szCs w:val="20"/>
                <w:color w:val="auto"/>
              </w:rPr>
            </w:pPr>
            <w:r>
              <w:rPr>
                <w:rFonts w:ascii="Arial" w:cs="Arial" w:eastAsia="Arial" w:hAnsi="Arial"/>
                <w:sz w:val="18"/>
                <w:szCs w:val="18"/>
                <w:b w:val="1"/>
                <w:bCs w:val="1"/>
                <w:color w:val="auto"/>
              </w:rPr>
              <w:t>$</w:t>
            </w:r>
          </w:p>
        </w:tc>
        <w:tc>
          <w:tcPr>
            <w:tcW w:w="800" w:type="dxa"/>
            <w:vAlign w:val="bottom"/>
          </w:tcPr>
          <w:p>
            <w:pPr>
              <w:jc w:val="right"/>
              <w:ind w:right="75"/>
              <w:spacing w:after="0"/>
              <w:rPr>
                <w:sz w:val="20"/>
                <w:szCs w:val="20"/>
                <w:color w:val="auto"/>
              </w:rPr>
            </w:pPr>
            <w:r>
              <w:rPr>
                <w:rFonts w:ascii="Arial" w:cs="Arial" w:eastAsia="Arial" w:hAnsi="Arial"/>
                <w:sz w:val="18"/>
                <w:szCs w:val="18"/>
                <w:b w:val="1"/>
                <w:bCs w:val="1"/>
                <w:color w:val="auto"/>
              </w:rPr>
              <w:t>20.4</w:t>
            </w:r>
          </w:p>
        </w:tc>
        <w:tc>
          <w:tcPr>
            <w:tcW w:w="580" w:type="dxa"/>
            <w:vAlign w:val="bottom"/>
          </w:tcPr>
          <w:p>
            <w:pPr>
              <w:jc w:val="right"/>
              <w:ind w:right="212"/>
              <w:spacing w:after="0"/>
              <w:rPr>
                <w:sz w:val="20"/>
                <w:szCs w:val="20"/>
                <w:color w:val="auto"/>
              </w:rPr>
            </w:pPr>
            <w:r>
              <w:rPr>
                <w:rFonts w:ascii="Arial" w:cs="Arial" w:eastAsia="Arial" w:hAnsi="Arial"/>
                <w:sz w:val="18"/>
                <w:szCs w:val="18"/>
                <w:b w:val="1"/>
                <w:bCs w:val="1"/>
                <w:color w:val="auto"/>
              </w:rPr>
              <w:t>$</w:t>
            </w:r>
          </w:p>
        </w:tc>
        <w:tc>
          <w:tcPr>
            <w:tcW w:w="760" w:type="dxa"/>
            <w:vAlign w:val="bottom"/>
          </w:tcPr>
          <w:p>
            <w:pPr>
              <w:jc w:val="right"/>
              <w:ind w:right="35"/>
              <w:spacing w:after="0"/>
              <w:rPr>
                <w:sz w:val="20"/>
                <w:szCs w:val="20"/>
                <w:color w:val="auto"/>
              </w:rPr>
            </w:pPr>
            <w:r>
              <w:rPr>
                <w:rFonts w:ascii="Arial" w:cs="Arial" w:eastAsia="Arial" w:hAnsi="Arial"/>
                <w:sz w:val="18"/>
                <w:szCs w:val="18"/>
                <w:b w:val="1"/>
                <w:bCs w:val="1"/>
                <w:color w:val="auto"/>
              </w:rPr>
              <w:t>31.0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6320" w:type="dxa"/>
            <w:vAlign w:val="bottom"/>
            <w:tcBorders>
              <w:bottom w:val="single" w:sz="8" w:color="808080"/>
            </w:tcBorders>
            <w:gridSpan w:val="2"/>
          </w:tcPr>
          <w:p>
            <w:pPr>
              <w:spacing w:after="0"/>
              <w:rPr>
                <w:sz w:val="8"/>
                <w:szCs w:val="8"/>
                <w:color w:val="auto"/>
              </w:rPr>
            </w:pPr>
          </w:p>
        </w:tc>
        <w:tc>
          <w:tcPr>
            <w:tcW w:w="296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6320" w:type="dxa"/>
            <w:vAlign w:val="bottom"/>
            <w:gridSpan w:val="2"/>
          </w:tcPr>
          <w:p>
            <w:pPr>
              <w:spacing w:after="0"/>
              <w:rPr>
                <w:sz w:val="8"/>
                <w:szCs w:val="8"/>
                <w:color w:val="auto"/>
              </w:rPr>
            </w:pPr>
          </w:p>
        </w:tc>
        <w:tc>
          <w:tcPr>
            <w:tcW w:w="2960" w:type="dxa"/>
            <w:vAlign w:val="bottom"/>
          </w:tcPr>
          <w:p>
            <w:pPr>
              <w:spacing w:after="0"/>
              <w:rPr>
                <w:sz w:val="8"/>
                <w:szCs w:val="8"/>
                <w:color w:val="auto"/>
              </w:rPr>
            </w:pPr>
          </w:p>
        </w:tc>
        <w:tc>
          <w:tcPr>
            <w:tcW w:w="800" w:type="dxa"/>
            <w:vAlign w:val="bottom"/>
          </w:tcPr>
          <w:p>
            <w:pPr>
              <w:spacing w:after="0"/>
              <w:rPr>
                <w:sz w:val="8"/>
                <w:szCs w:val="8"/>
                <w:color w:val="auto"/>
              </w:rPr>
            </w:pPr>
          </w:p>
        </w:tc>
        <w:tc>
          <w:tcPr>
            <w:tcW w:w="58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0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Accounts payable</w:t>
            </w:r>
          </w:p>
        </w:tc>
        <w:tc>
          <w:tcPr>
            <w:tcW w:w="2960" w:type="dxa"/>
            <w:vAlign w:val="bottom"/>
            <w:shd w:val="clear" w:color="auto" w:fill="E6E6E6"/>
          </w:tcPr>
          <w:p>
            <w:pPr>
              <w:spacing w:after="0"/>
              <w:rPr>
                <w:sz w:val="17"/>
                <w:szCs w:val="17"/>
                <w:color w:val="auto"/>
              </w:rPr>
            </w:pPr>
          </w:p>
        </w:tc>
        <w:tc>
          <w:tcPr>
            <w:tcW w:w="800" w:type="dxa"/>
            <w:vAlign w:val="bottom"/>
            <w:shd w:val="clear" w:color="auto" w:fill="E6E6E6"/>
          </w:tcPr>
          <w:p>
            <w:pPr>
              <w:jc w:val="right"/>
              <w:ind w:right="75"/>
              <w:spacing w:after="0" w:line="202" w:lineRule="exact"/>
              <w:rPr>
                <w:sz w:val="20"/>
                <w:szCs w:val="20"/>
                <w:color w:val="auto"/>
              </w:rPr>
            </w:pPr>
            <w:r>
              <w:rPr>
                <w:rFonts w:ascii="Arial" w:cs="Arial" w:eastAsia="Arial" w:hAnsi="Arial"/>
                <w:sz w:val="18"/>
                <w:szCs w:val="18"/>
                <w:color w:val="auto"/>
              </w:rPr>
              <w:t>—</w:t>
            </w:r>
          </w:p>
        </w:tc>
        <w:tc>
          <w:tcPr>
            <w:tcW w:w="580" w:type="dxa"/>
            <w:vAlign w:val="bottom"/>
            <w:shd w:val="clear" w:color="auto" w:fill="E6E6E6"/>
          </w:tcPr>
          <w:p>
            <w:pPr>
              <w:spacing w:after="0"/>
              <w:rPr>
                <w:sz w:val="17"/>
                <w:szCs w:val="17"/>
                <w:color w:val="auto"/>
              </w:rPr>
            </w:pPr>
          </w:p>
        </w:tc>
        <w:tc>
          <w:tcPr>
            <w:tcW w:w="760" w:type="dxa"/>
            <w:vAlign w:val="bottom"/>
            <w:shd w:val="clear" w:color="auto" w:fill="E6E6E6"/>
          </w:tcPr>
          <w:p>
            <w:pPr>
              <w:jc w:val="right"/>
              <w:ind w:right="35"/>
              <w:spacing w:after="0" w:line="202" w:lineRule="exact"/>
              <w:rPr>
                <w:sz w:val="20"/>
                <w:szCs w:val="20"/>
                <w:color w:val="auto"/>
              </w:rPr>
            </w:pPr>
            <w:r>
              <w:rPr>
                <w:rFonts w:ascii="Arial" w:cs="Arial" w:eastAsia="Arial" w:hAnsi="Arial"/>
                <w:sz w:val="18"/>
                <w:szCs w:val="18"/>
                <w:color w:val="auto"/>
              </w:rPr>
              <w:t>2.2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6320" w:type="dxa"/>
            <w:vAlign w:val="bottom"/>
            <w:gridSpan w:val="2"/>
          </w:tcPr>
          <w:p>
            <w:pPr>
              <w:spacing w:after="0"/>
              <w:rPr>
                <w:sz w:val="20"/>
                <w:szCs w:val="20"/>
                <w:color w:val="auto"/>
              </w:rPr>
            </w:pPr>
            <w:r>
              <w:rPr>
                <w:rFonts w:ascii="Arial" w:cs="Arial" w:eastAsia="Arial" w:hAnsi="Arial"/>
                <w:sz w:val="18"/>
                <w:szCs w:val="18"/>
                <w:color w:val="auto"/>
              </w:rPr>
              <w:t>Accrued expenses and other current liabilities</w:t>
            </w:r>
          </w:p>
        </w:tc>
        <w:tc>
          <w:tcPr>
            <w:tcW w:w="2960" w:type="dxa"/>
            <w:vAlign w:val="bottom"/>
          </w:tcPr>
          <w:p>
            <w:pPr>
              <w:spacing w:after="0"/>
              <w:rPr>
                <w:sz w:val="18"/>
                <w:szCs w:val="18"/>
                <w:color w:val="auto"/>
              </w:rPr>
            </w:pPr>
          </w:p>
        </w:tc>
        <w:tc>
          <w:tcPr>
            <w:tcW w:w="800" w:type="dxa"/>
            <w:vAlign w:val="bottom"/>
          </w:tcPr>
          <w:p>
            <w:pPr>
              <w:jc w:val="right"/>
              <w:ind w:right="75"/>
              <w:spacing w:after="0"/>
              <w:rPr>
                <w:sz w:val="20"/>
                <w:szCs w:val="20"/>
                <w:color w:val="auto"/>
              </w:rPr>
            </w:pPr>
            <w:r>
              <w:rPr>
                <w:rFonts w:ascii="Arial" w:cs="Arial" w:eastAsia="Arial" w:hAnsi="Arial"/>
                <w:sz w:val="18"/>
                <w:szCs w:val="18"/>
                <w:color w:val="auto"/>
              </w:rPr>
              <w:t>3.9</w:t>
            </w:r>
          </w:p>
        </w:tc>
        <w:tc>
          <w:tcPr>
            <w:tcW w:w="580" w:type="dxa"/>
            <w:vAlign w:val="bottom"/>
          </w:tcPr>
          <w:p>
            <w:pPr>
              <w:spacing w:after="0"/>
              <w:rPr>
                <w:sz w:val="18"/>
                <w:szCs w:val="18"/>
                <w:color w:val="auto"/>
              </w:rPr>
            </w:pPr>
          </w:p>
        </w:tc>
        <w:tc>
          <w:tcPr>
            <w:tcW w:w="760" w:type="dxa"/>
            <w:vAlign w:val="bottom"/>
          </w:tcPr>
          <w:p>
            <w:pPr>
              <w:jc w:val="right"/>
              <w:ind w:right="35"/>
              <w:spacing w:after="0"/>
              <w:rPr>
                <w:sz w:val="20"/>
                <w:szCs w:val="20"/>
                <w:color w:val="auto"/>
              </w:rPr>
            </w:pPr>
            <w:r>
              <w:rPr>
                <w:rFonts w:ascii="Arial" w:cs="Arial" w:eastAsia="Arial" w:hAnsi="Arial"/>
                <w:sz w:val="18"/>
                <w:szCs w:val="18"/>
                <w:color w:val="auto"/>
              </w:rPr>
              <w:t>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7"/>
        </w:trPr>
        <w:tc>
          <w:tcPr>
            <w:tcW w:w="6320" w:type="dxa"/>
            <w:vAlign w:val="bottom"/>
            <w:tcBorders>
              <w:bottom w:val="single" w:sz="8" w:color="808080"/>
            </w:tcBorders>
            <w:gridSpan w:val="2"/>
          </w:tcPr>
          <w:p>
            <w:pPr>
              <w:spacing w:after="0"/>
              <w:rPr>
                <w:sz w:val="8"/>
                <w:szCs w:val="8"/>
                <w:color w:val="auto"/>
              </w:rPr>
            </w:pPr>
          </w:p>
        </w:tc>
        <w:tc>
          <w:tcPr>
            <w:tcW w:w="296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300" w:type="dxa"/>
            <w:vAlign w:val="bottom"/>
          </w:tcPr>
          <w:p>
            <w:pPr>
              <w:spacing w:after="0"/>
              <w:rPr>
                <w:sz w:val="8"/>
                <w:szCs w:val="8"/>
                <w:color w:val="auto"/>
              </w:rPr>
            </w:pPr>
          </w:p>
        </w:tc>
        <w:tc>
          <w:tcPr>
            <w:tcW w:w="2960" w:type="dxa"/>
            <w:vAlign w:val="bottom"/>
          </w:tcPr>
          <w:p>
            <w:pPr>
              <w:spacing w:after="0"/>
              <w:rPr>
                <w:sz w:val="8"/>
                <w:szCs w:val="8"/>
                <w:color w:val="auto"/>
              </w:rPr>
            </w:pPr>
          </w:p>
        </w:tc>
        <w:tc>
          <w:tcPr>
            <w:tcW w:w="800" w:type="dxa"/>
            <w:vAlign w:val="bottom"/>
          </w:tcPr>
          <w:p>
            <w:pPr>
              <w:spacing w:after="0"/>
              <w:rPr>
                <w:sz w:val="8"/>
                <w:szCs w:val="8"/>
                <w:color w:val="auto"/>
              </w:rPr>
            </w:pPr>
          </w:p>
        </w:tc>
        <w:tc>
          <w:tcPr>
            <w:tcW w:w="58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300" w:type="dxa"/>
            <w:vAlign w:val="bottom"/>
            <w:shd w:val="clear" w:color="auto" w:fill="E6E6E6"/>
          </w:tcPr>
          <w:p>
            <w:pPr>
              <w:spacing w:after="0" w:line="202" w:lineRule="exact"/>
              <w:rPr>
                <w:sz w:val="20"/>
                <w:szCs w:val="20"/>
                <w:color w:val="auto"/>
              </w:rPr>
            </w:pPr>
            <w:r>
              <w:rPr>
                <w:rFonts w:ascii="Arial" w:cs="Arial" w:eastAsia="Arial" w:hAnsi="Arial"/>
                <w:sz w:val="18"/>
                <w:szCs w:val="18"/>
                <w:b w:val="1"/>
                <w:bCs w:val="1"/>
                <w:color w:val="auto"/>
              </w:rPr>
              <w:t>Current liabilities of discontinued operations</w:t>
            </w:r>
          </w:p>
        </w:tc>
        <w:tc>
          <w:tcPr>
            <w:tcW w:w="2960" w:type="dxa"/>
            <w:vAlign w:val="bottom"/>
            <w:shd w:val="clear" w:color="auto" w:fill="E6E6E6"/>
          </w:tcPr>
          <w:p>
            <w:pPr>
              <w:jc w:val="right"/>
              <w:ind w:right="192"/>
              <w:spacing w:after="0" w:line="202" w:lineRule="exact"/>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E6E6E6"/>
          </w:tcPr>
          <w:p>
            <w:pPr>
              <w:jc w:val="right"/>
              <w:ind w:right="75"/>
              <w:spacing w:after="0" w:line="202" w:lineRule="exact"/>
              <w:rPr>
                <w:sz w:val="20"/>
                <w:szCs w:val="20"/>
                <w:color w:val="auto"/>
              </w:rPr>
            </w:pPr>
            <w:r>
              <w:rPr>
                <w:rFonts w:ascii="Arial" w:cs="Arial" w:eastAsia="Arial" w:hAnsi="Arial"/>
                <w:sz w:val="18"/>
                <w:szCs w:val="18"/>
                <w:b w:val="1"/>
                <w:bCs w:val="1"/>
                <w:color w:val="auto"/>
              </w:rPr>
              <w:t>3.9</w:t>
            </w:r>
          </w:p>
        </w:tc>
        <w:tc>
          <w:tcPr>
            <w:tcW w:w="580" w:type="dxa"/>
            <w:vAlign w:val="bottom"/>
            <w:shd w:val="clear" w:color="auto" w:fill="E6E6E6"/>
          </w:tcPr>
          <w:p>
            <w:pPr>
              <w:jc w:val="right"/>
              <w:ind w:right="212"/>
              <w:spacing w:after="0" w:line="202" w:lineRule="exact"/>
              <w:rPr>
                <w:sz w:val="20"/>
                <w:szCs w:val="20"/>
                <w:color w:val="auto"/>
              </w:rPr>
            </w:pPr>
            <w:r>
              <w:rPr>
                <w:rFonts w:ascii="Arial" w:cs="Arial" w:eastAsia="Arial" w:hAnsi="Arial"/>
                <w:sz w:val="18"/>
                <w:szCs w:val="18"/>
                <w:b w:val="1"/>
                <w:bCs w:val="1"/>
                <w:color w:val="auto"/>
              </w:rPr>
              <w:t>$</w:t>
            </w:r>
          </w:p>
        </w:tc>
        <w:tc>
          <w:tcPr>
            <w:tcW w:w="760" w:type="dxa"/>
            <w:vAlign w:val="bottom"/>
            <w:shd w:val="clear" w:color="auto" w:fill="E6E6E6"/>
          </w:tcPr>
          <w:p>
            <w:pPr>
              <w:jc w:val="right"/>
              <w:ind w:right="35"/>
              <w:spacing w:after="0" w:line="202" w:lineRule="exact"/>
              <w:rPr>
                <w:sz w:val="20"/>
                <w:szCs w:val="20"/>
                <w:color w:val="auto"/>
              </w:rPr>
            </w:pPr>
            <w:r>
              <w:rPr>
                <w:rFonts w:ascii="Arial" w:cs="Arial" w:eastAsia="Arial" w:hAnsi="Arial"/>
                <w:sz w:val="18"/>
                <w:szCs w:val="18"/>
                <w:b w:val="1"/>
                <w:bCs w:val="1"/>
                <w:color w:val="auto"/>
              </w:rPr>
              <w:t>7.3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300" w:type="dxa"/>
            <w:vAlign w:val="bottom"/>
            <w:tcBorders>
              <w:bottom w:val="single" w:sz="8" w:color="808080"/>
            </w:tcBorders>
          </w:tcPr>
          <w:p>
            <w:pPr>
              <w:spacing w:after="0"/>
              <w:rPr>
                <w:sz w:val="9"/>
                <w:szCs w:val="9"/>
                <w:color w:val="auto"/>
              </w:rPr>
            </w:pPr>
          </w:p>
        </w:tc>
        <w:tc>
          <w:tcPr>
            <w:tcW w:w="296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2663825</wp:posOffset>
            </wp:positionH>
            <wp:positionV relativeFrom="paragraph">
              <wp:posOffset>205740</wp:posOffset>
            </wp:positionV>
            <wp:extent cx="1929765" cy="23177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1929765" cy="231775"/>
                    </a:xfrm>
                    <a:prstGeom prst="rect">
                      <a:avLst/>
                    </a:prstGeom>
                    <a:noFill/>
                  </pic:spPr>
                </pic:pic>
              </a:graphicData>
            </a:graphic>
          </wp:anchor>
        </w:drawing>
      </w:r>
    </w:p>
    <w:p>
      <w:pPr>
        <w:sectPr>
          <w:pgSz w:w="11900" w:h="16838" w:orient="portrait"/>
          <w:cols w:equalWidth="0" w:num="1">
            <w:col w:w="11440"/>
          </w:cols>
          <w:pgMar w:left="240" w:top="827" w:right="2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67575" cy="3873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40"/>
          </w:cols>
          <w:pgMar w:left="240" w:top="827" w:right="219" w:bottom="1440" w:gutter="0" w:footer="0" w:header="0"/>
          <w:type w:val="continuous"/>
        </w:sectPr>
      </w:pPr>
    </w:p>
    <w:bookmarkStart w:id="54" w:name="page55"/>
    <w:bookmarkEnd w:id="5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263765" cy="8890"/>
                    </a:xfrm>
                    <a:prstGeom prst="rect">
                      <a:avLst/>
                    </a:prstGeom>
                    <a:noFill/>
                  </pic:spPr>
                </pic:pic>
              </a:graphicData>
            </a:graphic>
          </wp:anchor>
        </w:drawing>
        <w:t>3. SEGMENT INFORMATION</w:t>
      </w:r>
    </w:p>
    <w:p>
      <w:pPr>
        <w:spacing w:after="0" w:line="231"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 xml:space="preserve">The Company categorizes its businesses into four reportable segments: </w:t>
      </w:r>
      <w:r>
        <w:rPr>
          <w:rFonts w:ascii="Arial" w:cs="Arial" w:eastAsia="Arial" w:hAnsi="Arial"/>
          <w:sz w:val="18"/>
          <w:szCs w:val="18"/>
          <w:i w:val="1"/>
          <w:iCs w:val="1"/>
          <w:color w:val="auto"/>
        </w:rPr>
        <w:t>Children’s Book Publishing and Distribution; Educational Publishing; Media, Licensing</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and Advertising </w:t>
      </w:r>
      <w:r>
        <w:rPr>
          <w:rFonts w:ascii="Arial" w:cs="Arial" w:eastAsia="Arial" w:hAnsi="Arial"/>
          <w:sz w:val="18"/>
          <w:szCs w:val="18"/>
          <w:color w:val="auto"/>
        </w:rPr>
        <w:t>(which collectively represent the Company’s domestic operations); and</w:t>
      </w:r>
      <w:r>
        <w:rPr>
          <w:rFonts w:ascii="Arial" w:cs="Arial" w:eastAsia="Arial" w:hAnsi="Arial"/>
          <w:sz w:val="18"/>
          <w:szCs w:val="18"/>
          <w:i w:val="1"/>
          <w:iCs w:val="1"/>
          <w:color w:val="auto"/>
        </w:rPr>
        <w:t xml:space="preserve"> International</w:t>
      </w:r>
      <w:r>
        <w:rPr>
          <w:rFonts w:ascii="Arial" w:cs="Arial" w:eastAsia="Arial" w:hAnsi="Arial"/>
          <w:sz w:val="18"/>
          <w:szCs w:val="18"/>
          <w:color w:val="auto"/>
        </w:rPr>
        <w:t>. This classification reflects the nature of products and</w:t>
      </w:r>
      <w:r>
        <w:rPr>
          <w:rFonts w:ascii="Arial" w:cs="Arial" w:eastAsia="Arial" w:hAnsi="Arial"/>
          <w:sz w:val="18"/>
          <w:szCs w:val="18"/>
          <w:i w:val="1"/>
          <w:iCs w:val="1"/>
          <w:color w:val="auto"/>
        </w:rPr>
        <w:t xml:space="preserve"> </w:t>
      </w:r>
      <w:r>
        <w:rPr>
          <w:rFonts w:ascii="Arial" w:cs="Arial" w:eastAsia="Arial" w:hAnsi="Arial"/>
          <w:sz w:val="18"/>
          <w:szCs w:val="18"/>
          <w:color w:val="auto"/>
        </w:rPr>
        <w:t>services consistent with the method by which the Company’s chief operating decision-maker assesses operating performance and allocates resources. Revenues and operating margin related to a segment’s products sold or services rendered through another segment’s distribution channel are reallocated to the segment originating the products or services.</w:t>
      </w:r>
    </w:p>
    <w:p>
      <w:pPr>
        <w:spacing w:after="0" w:line="200" w:lineRule="exact"/>
        <w:rPr>
          <w:sz w:val="20"/>
          <w:szCs w:val="20"/>
          <w:color w:val="auto"/>
        </w:rPr>
      </w:pPr>
    </w:p>
    <w:p>
      <w:pPr>
        <w:ind w:left="460" w:right="100" w:hanging="452"/>
        <w:spacing w:after="0" w:line="345" w:lineRule="auto"/>
        <w:tabs>
          <w:tab w:leader="none" w:pos="460" w:val="left"/>
        </w:tabs>
        <w:numPr>
          <w:ilvl w:val="0"/>
          <w:numId w:val="12"/>
        </w:numPr>
        <w:rPr>
          <w:rFonts w:ascii="Arial" w:cs="Arial" w:eastAsia="Arial" w:hAnsi="Arial"/>
          <w:sz w:val="16"/>
          <w:szCs w:val="16"/>
          <w:color w:val="auto"/>
        </w:rPr>
      </w:pPr>
      <w:r>
        <w:rPr>
          <w:rFonts w:ascii="Arial" w:cs="Arial" w:eastAsia="Arial" w:hAnsi="Arial"/>
          <w:sz w:val="16"/>
          <w:szCs w:val="16"/>
          <w:b w:val="1"/>
          <w:bCs w:val="1"/>
          <w:color w:val="auto"/>
        </w:rPr>
        <w:t xml:space="preserve">Children’s Book Publishing and Distribution </w:t>
      </w:r>
      <w:r>
        <w:rPr>
          <w:rFonts w:ascii="Arial" w:cs="Arial" w:eastAsia="Arial" w:hAnsi="Arial"/>
          <w:sz w:val="16"/>
          <w:szCs w:val="16"/>
          <w:color w:val="auto"/>
        </w:rPr>
        <w:t>operates as an integrated business which includes the publication and distribution of children’s books</w:t>
      </w:r>
      <w:r>
        <w:rPr>
          <w:rFonts w:ascii="Arial" w:cs="Arial" w:eastAsia="Arial" w:hAnsi="Arial"/>
          <w:sz w:val="16"/>
          <w:szCs w:val="16"/>
          <w:b w:val="1"/>
          <w:bCs w:val="1"/>
          <w:color w:val="auto"/>
        </w:rPr>
        <w:t xml:space="preserve"> </w:t>
      </w:r>
      <w:r>
        <w:rPr>
          <w:rFonts w:ascii="Arial" w:cs="Arial" w:eastAsia="Arial" w:hAnsi="Arial"/>
          <w:sz w:val="16"/>
          <w:szCs w:val="16"/>
          <w:color w:val="auto"/>
        </w:rPr>
        <w:t>in the United States through school-based book clubs and book fairs and the trade channel. This segment is comprised of three operating segments.</w:t>
      </w:r>
    </w:p>
    <w:p>
      <w:pPr>
        <w:spacing w:after="0" w:line="51" w:lineRule="exact"/>
        <w:rPr>
          <w:rFonts w:ascii="Arial" w:cs="Arial" w:eastAsia="Arial" w:hAnsi="Arial"/>
          <w:sz w:val="16"/>
          <w:szCs w:val="16"/>
          <w:color w:val="auto"/>
        </w:rPr>
      </w:pPr>
    </w:p>
    <w:p>
      <w:pPr>
        <w:ind w:left="460" w:right="120" w:hanging="452"/>
        <w:spacing w:after="0" w:line="265"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 xml:space="preserve">Educational Publishing </w:t>
      </w:r>
      <w:r>
        <w:rPr>
          <w:rFonts w:ascii="Arial" w:cs="Arial" w:eastAsia="Arial" w:hAnsi="Arial"/>
          <w:sz w:val="18"/>
          <w:szCs w:val="18"/>
          <w:color w:val="auto"/>
        </w:rPr>
        <w:t>includes the production and/or publication and distribution to schools and libraries of educational technology products,</w:t>
      </w:r>
      <w:r>
        <w:rPr>
          <w:rFonts w:ascii="Arial" w:cs="Arial" w:eastAsia="Arial" w:hAnsi="Arial"/>
          <w:sz w:val="18"/>
          <w:szCs w:val="18"/>
          <w:b w:val="1"/>
          <w:bCs w:val="1"/>
          <w:color w:val="auto"/>
        </w:rPr>
        <w:t xml:space="preserve"> </w:t>
      </w:r>
      <w:r>
        <w:rPr>
          <w:rFonts w:ascii="Arial" w:cs="Arial" w:eastAsia="Arial" w:hAnsi="Arial"/>
          <w:sz w:val="18"/>
          <w:szCs w:val="18"/>
          <w:color w:val="auto"/>
        </w:rPr>
        <w:t>curriculum materials, children’s books, classroom magazines and print and on-line reference and non-fiction products for grades pre-kindergarten to 12 in the United States. This segment is comprised of two operating segments.</w:t>
      </w:r>
    </w:p>
    <w:p>
      <w:pPr>
        <w:spacing w:after="0" w:line="111" w:lineRule="exact"/>
        <w:rPr>
          <w:rFonts w:ascii="Arial" w:cs="Arial" w:eastAsia="Arial" w:hAnsi="Arial"/>
          <w:sz w:val="18"/>
          <w:szCs w:val="18"/>
          <w:color w:val="auto"/>
        </w:rPr>
      </w:pPr>
    </w:p>
    <w:p>
      <w:pPr>
        <w:ind w:left="460" w:right="840" w:hanging="452"/>
        <w:spacing w:after="0" w:line="280"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 xml:space="preserve">Media, Licensing and Advertising </w:t>
      </w:r>
      <w:r>
        <w:rPr>
          <w:rFonts w:ascii="Arial" w:cs="Arial" w:eastAsia="Arial" w:hAnsi="Arial"/>
          <w:sz w:val="18"/>
          <w:szCs w:val="18"/>
          <w:color w:val="auto"/>
        </w:rPr>
        <w:t>includes the production and/or distribution of media, merchandising and advertising revenue, including</w:t>
      </w:r>
      <w:r>
        <w:rPr>
          <w:rFonts w:ascii="Arial" w:cs="Arial" w:eastAsia="Arial" w:hAnsi="Arial"/>
          <w:sz w:val="18"/>
          <w:szCs w:val="18"/>
          <w:b w:val="1"/>
          <w:bCs w:val="1"/>
          <w:color w:val="auto"/>
        </w:rPr>
        <w:t xml:space="preserve"> </w:t>
      </w:r>
      <w:r>
        <w:rPr>
          <w:rFonts w:ascii="Arial" w:cs="Arial" w:eastAsia="Arial" w:hAnsi="Arial"/>
          <w:sz w:val="18"/>
          <w:szCs w:val="18"/>
          <w:color w:val="auto"/>
        </w:rPr>
        <w:t>sponsorship programs and consumer promotions. This segment is comprised of three operating segments.</w:t>
      </w:r>
    </w:p>
    <w:p>
      <w:pPr>
        <w:spacing w:after="0" w:line="97" w:lineRule="exact"/>
        <w:rPr>
          <w:rFonts w:ascii="Arial" w:cs="Arial" w:eastAsia="Arial" w:hAnsi="Arial"/>
          <w:sz w:val="18"/>
          <w:szCs w:val="18"/>
          <w:color w:val="auto"/>
        </w:rPr>
      </w:pPr>
    </w:p>
    <w:p>
      <w:pPr>
        <w:ind w:left="460" w:right="100" w:hanging="452"/>
        <w:spacing w:after="0" w:line="280"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 xml:space="preserve">International </w:t>
      </w:r>
      <w:r>
        <w:rPr>
          <w:rFonts w:ascii="Arial" w:cs="Arial" w:eastAsia="Arial" w:hAnsi="Arial"/>
          <w:sz w:val="18"/>
          <w:szCs w:val="18"/>
          <w:color w:val="auto"/>
        </w:rPr>
        <w:t>includes the publication and distribution of products and services outside the United States by the Company’s international operations, and</w:t>
      </w:r>
      <w:r>
        <w:rPr>
          <w:rFonts w:ascii="Arial" w:cs="Arial" w:eastAsia="Arial" w:hAnsi="Arial"/>
          <w:sz w:val="18"/>
          <w:szCs w:val="18"/>
          <w:b w:val="1"/>
          <w:bCs w:val="1"/>
          <w:color w:val="auto"/>
        </w:rPr>
        <w:t xml:space="preserve"> </w:t>
      </w:r>
      <w:r>
        <w:rPr>
          <w:rFonts w:ascii="Arial" w:cs="Arial" w:eastAsia="Arial" w:hAnsi="Arial"/>
          <w:sz w:val="18"/>
          <w:szCs w:val="18"/>
          <w:color w:val="auto"/>
        </w:rPr>
        <w:t>its export and foreign rights businesses. This segment is comprised of two operating segments.</w:t>
      </w:r>
    </w:p>
    <w:p>
      <w:pPr>
        <w:spacing w:after="0" w:line="17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 xml:space="preserve">In the first quarter of fiscal 2010, the Company reclassified certain revenues and operating expenses formerly included in the </w:t>
      </w:r>
      <w:r>
        <w:rPr>
          <w:rFonts w:ascii="Arial" w:cs="Arial" w:eastAsia="Arial" w:hAnsi="Arial"/>
          <w:sz w:val="16"/>
          <w:szCs w:val="16"/>
          <w:i w:val="1"/>
          <w:iCs w:val="1"/>
          <w:color w:val="auto"/>
        </w:rPr>
        <w:t>Media, Licensing and Advertising</w:t>
      </w:r>
      <w:r>
        <w:rPr>
          <w:rFonts w:ascii="Arial" w:cs="Arial" w:eastAsia="Arial" w:hAnsi="Arial"/>
          <w:sz w:val="16"/>
          <w:szCs w:val="16"/>
          <w:color w:val="auto"/>
        </w:rPr>
        <w:t xml:space="preserve"> segment to the </w:t>
      </w:r>
      <w:r>
        <w:rPr>
          <w:rFonts w:ascii="Arial" w:cs="Arial" w:eastAsia="Arial" w:hAnsi="Arial"/>
          <w:sz w:val="16"/>
          <w:szCs w:val="16"/>
          <w:i w:val="1"/>
          <w:iCs w:val="1"/>
          <w:color w:val="auto"/>
        </w:rPr>
        <w:t>Children’s Book Publishing and Distribution</w:t>
      </w:r>
      <w:r>
        <w:rPr>
          <w:rFonts w:ascii="Arial" w:cs="Arial" w:eastAsia="Arial" w:hAnsi="Arial"/>
          <w:sz w:val="16"/>
          <w:szCs w:val="16"/>
          <w:color w:val="auto"/>
        </w:rPr>
        <w:t xml:space="preserve"> segment. This reclassification consists of revenues and operating expenses derived from sales of media and interactive products sold through the various channels employed by the </w:t>
      </w:r>
      <w:r>
        <w:rPr>
          <w:rFonts w:ascii="Arial" w:cs="Arial" w:eastAsia="Arial" w:hAnsi="Arial"/>
          <w:sz w:val="16"/>
          <w:szCs w:val="16"/>
          <w:i w:val="1"/>
          <w:iCs w:val="1"/>
          <w:color w:val="auto"/>
        </w:rPr>
        <w:t>Children’s Book Publishing and Distribution</w:t>
      </w:r>
      <w:r>
        <w:rPr>
          <w:rFonts w:ascii="Arial" w:cs="Arial" w:eastAsia="Arial" w:hAnsi="Arial"/>
          <w:sz w:val="16"/>
          <w:szCs w:val="16"/>
          <w:color w:val="auto"/>
        </w:rPr>
        <w:t xml:space="preserve"> segment. This change in reporting is consistent with changes in the Company’s internal financial reporting structure, and reflects the chief operating decision maker’s assessment of performance and asset allocation. Prior period results have been reclassified for consistency with the change in reporting structure. Revenues and operating income of $26.9 and $12.1, respectively, for the fiscal year ending May 31, 2009, and $26.1 and $10.1, respectively, for the fiscal year ending May 31, 2008, were reclassified to the </w:t>
      </w:r>
      <w:r>
        <w:rPr>
          <w:rFonts w:ascii="Arial" w:cs="Arial" w:eastAsia="Arial" w:hAnsi="Arial"/>
          <w:sz w:val="16"/>
          <w:szCs w:val="16"/>
          <w:i w:val="1"/>
          <w:iCs w:val="1"/>
          <w:color w:val="auto"/>
        </w:rPr>
        <w:t>Children’s Book Publishing and Distribution</w:t>
      </w:r>
      <w:r>
        <w:rPr>
          <w:rFonts w:ascii="Arial" w:cs="Arial" w:eastAsia="Arial" w:hAnsi="Arial"/>
          <w:sz w:val="16"/>
          <w:szCs w:val="16"/>
          <w:color w:val="auto"/>
        </w:rPr>
        <w:t xml:space="preserve"> segment from the </w:t>
      </w:r>
      <w:r>
        <w:rPr>
          <w:rFonts w:ascii="Arial" w:cs="Arial" w:eastAsia="Arial" w:hAnsi="Arial"/>
          <w:sz w:val="16"/>
          <w:szCs w:val="16"/>
          <w:i w:val="1"/>
          <w:iCs w:val="1"/>
          <w:color w:val="auto"/>
        </w:rPr>
        <w:t>Media, Licensing and Advertising</w:t>
      </w:r>
      <w:r>
        <w:rPr>
          <w:rFonts w:ascii="Arial" w:cs="Arial" w:eastAsia="Arial" w:hAnsi="Arial"/>
          <w:sz w:val="16"/>
          <w:szCs w:val="16"/>
          <w:color w:val="auto"/>
        </w:rPr>
        <w:t xml:space="preserve">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2663825</wp:posOffset>
            </wp:positionH>
            <wp:positionV relativeFrom="paragraph">
              <wp:posOffset>114935</wp:posOffset>
            </wp:positionV>
            <wp:extent cx="1929765" cy="23177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1929765"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3873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827" w:right="259" w:bottom="1440" w:gutter="0" w:footer="0" w:header="0"/>
        </w:sectPr>
      </w:pPr>
    </w:p>
    <w:bookmarkStart w:id="55" w:name="page56"/>
    <w:bookmarkEnd w:id="5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263765" cy="8890"/>
                    </a:xfrm>
                    <a:prstGeom prst="rect">
                      <a:avLst/>
                    </a:prstGeom>
                    <a:noFill/>
                  </pic:spPr>
                </pic:pic>
              </a:graphicData>
            </a:graphic>
          </wp:anchor>
        </w:drawing>
        <w:t>The following table sets forth information for the three fiscal years ended May 31 for the Company’s segments: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Children’s</w:t>
            </w: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Book</w:t>
            </w: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Media,</w:t>
            </w: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Publishing</w:t>
            </w: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Licensing</w:t>
            </w: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and</w:t>
            </w:r>
          </w:p>
        </w:tc>
        <w:tc>
          <w:tcPr>
            <w:tcW w:w="2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Educational</w:t>
            </w:r>
          </w:p>
        </w:tc>
        <w:tc>
          <w:tcPr>
            <w:tcW w:w="1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and</w:t>
            </w:r>
          </w:p>
        </w:tc>
        <w:tc>
          <w:tcPr>
            <w:tcW w:w="200" w:type="dxa"/>
            <w:vAlign w:val="bottom"/>
          </w:tcPr>
          <w:p>
            <w:pPr>
              <w:spacing w:after="0"/>
              <w:rPr>
                <w:sz w:val="15"/>
                <w:szCs w:val="15"/>
                <w:color w:val="auto"/>
              </w:rPr>
            </w:pPr>
          </w:p>
        </w:tc>
        <w:tc>
          <w:tcPr>
            <w:tcW w:w="1060" w:type="dxa"/>
            <w:vAlign w:val="bottom"/>
            <w:vMerge w:val="restart"/>
          </w:tcPr>
          <w:p>
            <w:pPr>
              <w:jc w:val="right"/>
              <w:ind w:right="13"/>
              <w:spacing w:after="0"/>
              <w:rPr>
                <w:sz w:val="20"/>
                <w:szCs w:val="20"/>
                <w:color w:val="auto"/>
              </w:rPr>
            </w:pPr>
            <w:r>
              <w:rPr>
                <w:rFonts w:ascii="Arial" w:cs="Arial" w:eastAsia="Arial" w:hAnsi="Arial"/>
                <w:sz w:val="14"/>
                <w:szCs w:val="14"/>
                <w:b w:val="1"/>
                <w:bCs w:val="1"/>
                <w:color w:val="auto"/>
                <w:w w:val="93"/>
              </w:rPr>
              <w:t>Overhead</w:t>
            </w:r>
            <w:r>
              <w:rPr>
                <w:rFonts w:ascii="Arial" w:cs="Arial" w:eastAsia="Arial" w:hAnsi="Arial"/>
                <w:sz w:val="22"/>
                <w:szCs w:val="22"/>
                <w:b w:val="1"/>
                <w:bCs w:val="1"/>
                <w:color w:val="auto"/>
                <w:w w:val="93"/>
                <w:vertAlign w:val="superscript"/>
              </w:rPr>
              <w:t>(1)(2)</w:t>
            </w:r>
          </w:p>
        </w:tc>
        <w:tc>
          <w:tcPr>
            <w:tcW w:w="2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Total</w:t>
            </w:r>
          </w:p>
        </w:tc>
        <w:tc>
          <w:tcPr>
            <w:tcW w:w="28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International</w:t>
            </w:r>
            <w:r>
              <w:rPr>
                <w:rFonts w:ascii="Arial" w:cs="Arial" w:eastAsia="Arial" w:hAnsi="Arial"/>
                <w:sz w:val="22"/>
                <w:szCs w:val="22"/>
                <w:b w:val="1"/>
                <w:bCs w:val="1"/>
                <w:color w:val="auto"/>
                <w:vertAlign w:val="superscript"/>
              </w:rPr>
              <w:t>(1)</w:t>
            </w: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7"/>
              </w:rPr>
              <w:t>Distribution</w:t>
            </w:r>
            <w:r>
              <w:rPr>
                <w:rFonts w:ascii="Arial" w:cs="Arial" w:eastAsia="Arial" w:hAnsi="Arial"/>
                <w:sz w:val="22"/>
                <w:szCs w:val="22"/>
                <w:b w:val="1"/>
                <w:bCs w:val="1"/>
                <w:color w:val="auto"/>
                <w:w w:val="97"/>
                <w:vertAlign w:val="superscript"/>
              </w:rPr>
              <w:t>(1)</w:t>
            </w:r>
          </w:p>
        </w:tc>
        <w:tc>
          <w:tcPr>
            <w:tcW w:w="2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Publishing</w:t>
            </w:r>
            <w:r>
              <w:rPr>
                <w:rFonts w:ascii="Arial" w:cs="Arial" w:eastAsia="Arial" w:hAnsi="Arial"/>
                <w:sz w:val="22"/>
                <w:szCs w:val="22"/>
                <w:b w:val="1"/>
                <w:bCs w:val="1"/>
                <w:color w:val="auto"/>
                <w:vertAlign w:val="superscript"/>
              </w:rPr>
              <w:t>(1)</w:t>
            </w:r>
          </w:p>
        </w:tc>
        <w:tc>
          <w:tcPr>
            <w:tcW w:w="1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8"/>
              </w:rPr>
              <w:t>Advertising</w:t>
            </w:r>
            <w:r>
              <w:rPr>
                <w:rFonts w:ascii="Arial" w:cs="Arial" w:eastAsia="Arial" w:hAnsi="Arial"/>
                <w:sz w:val="22"/>
                <w:szCs w:val="22"/>
                <w:b w:val="1"/>
                <w:bCs w:val="1"/>
                <w:color w:val="auto"/>
                <w:w w:val="98"/>
                <w:vertAlign w:val="superscript"/>
              </w:rPr>
              <w:t>(1)</w:t>
            </w:r>
          </w:p>
        </w:tc>
        <w:tc>
          <w:tcPr>
            <w:tcW w:w="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vMerge w:val="continue"/>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Domestic</w:t>
            </w:r>
          </w:p>
        </w:tc>
        <w:tc>
          <w:tcPr>
            <w:tcW w:w="2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vMerge w:val="continue"/>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gridSpan w:val="2"/>
          </w:tcPr>
          <w:p>
            <w:pPr>
              <w:ind w:lef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8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60" w:type="dxa"/>
            <w:vAlign w:val="bottom"/>
            <w:shd w:val="clear" w:color="auto" w:fill="E6E6E6"/>
          </w:tcPr>
          <w:p>
            <w:pPr>
              <w:spacing w:after="0"/>
              <w:rPr>
                <w:sz w:val="20"/>
                <w:szCs w:val="20"/>
                <w:color w:val="auto"/>
              </w:rPr>
            </w:pPr>
            <w:r>
              <w:rPr>
                <w:rFonts w:ascii="Arial" w:cs="Arial" w:eastAsia="Arial" w:hAnsi="Arial"/>
                <w:sz w:val="18"/>
                <w:szCs w:val="18"/>
                <w:b w:val="1"/>
                <w:bCs w:val="1"/>
                <w:color w:val="auto"/>
              </w:rPr>
              <w:t>2010</w:t>
            </w:r>
          </w:p>
        </w:tc>
        <w:tc>
          <w:tcPr>
            <w:tcW w:w="380" w:type="dxa"/>
            <w:vAlign w:val="bottom"/>
            <w:shd w:val="clear" w:color="auto" w:fill="E6E6E6"/>
          </w:tcPr>
          <w:p>
            <w:pPr>
              <w:spacing w:after="0"/>
              <w:rPr>
                <w:sz w:val="18"/>
                <w:szCs w:val="18"/>
                <w:color w:val="auto"/>
              </w:rPr>
            </w:pPr>
          </w:p>
        </w:tc>
        <w:tc>
          <w:tcPr>
            <w:tcW w:w="1020" w:type="dxa"/>
            <w:vAlign w:val="bottom"/>
            <w:shd w:val="clear" w:color="auto" w:fill="E6E6E6"/>
          </w:tcPr>
          <w:p>
            <w:pPr>
              <w:spacing w:after="0"/>
              <w:rPr>
                <w:sz w:val="18"/>
                <w:szCs w:val="18"/>
                <w:color w:val="auto"/>
              </w:rPr>
            </w:pPr>
          </w:p>
        </w:tc>
        <w:tc>
          <w:tcPr>
            <w:tcW w:w="240" w:type="dxa"/>
            <w:vAlign w:val="bottom"/>
            <w:shd w:val="clear" w:color="auto" w:fill="E6E6E6"/>
          </w:tcPr>
          <w:p>
            <w:pPr>
              <w:spacing w:after="0"/>
              <w:rPr>
                <w:sz w:val="18"/>
                <w:szCs w:val="18"/>
                <w:color w:val="auto"/>
              </w:rPr>
            </w:pPr>
          </w:p>
        </w:tc>
        <w:tc>
          <w:tcPr>
            <w:tcW w:w="1000" w:type="dxa"/>
            <w:vAlign w:val="bottom"/>
            <w:shd w:val="clear" w:color="auto" w:fill="E6E6E6"/>
          </w:tcPr>
          <w:p>
            <w:pPr>
              <w:spacing w:after="0"/>
              <w:rPr>
                <w:sz w:val="18"/>
                <w:szCs w:val="18"/>
                <w:color w:val="auto"/>
              </w:rPr>
            </w:pPr>
          </w:p>
        </w:tc>
        <w:tc>
          <w:tcPr>
            <w:tcW w:w="180" w:type="dxa"/>
            <w:vAlign w:val="bottom"/>
            <w:shd w:val="clear" w:color="auto" w:fill="E6E6E6"/>
          </w:tcPr>
          <w:p>
            <w:pPr>
              <w:spacing w:after="0"/>
              <w:rPr>
                <w:sz w:val="18"/>
                <w:szCs w:val="18"/>
                <w:color w:val="auto"/>
              </w:rPr>
            </w:pPr>
          </w:p>
        </w:tc>
        <w:tc>
          <w:tcPr>
            <w:tcW w:w="1040" w:type="dxa"/>
            <w:vAlign w:val="bottom"/>
            <w:shd w:val="clear" w:color="auto" w:fill="E6E6E6"/>
          </w:tcPr>
          <w:p>
            <w:pPr>
              <w:spacing w:after="0"/>
              <w:rPr>
                <w:sz w:val="18"/>
                <w:szCs w:val="18"/>
                <w:color w:val="auto"/>
              </w:rPr>
            </w:pPr>
          </w:p>
        </w:tc>
        <w:tc>
          <w:tcPr>
            <w:tcW w:w="200" w:type="dxa"/>
            <w:vAlign w:val="bottom"/>
            <w:shd w:val="clear" w:color="auto" w:fill="E6E6E6"/>
          </w:tcPr>
          <w:p>
            <w:pPr>
              <w:spacing w:after="0"/>
              <w:rPr>
                <w:sz w:val="18"/>
                <w:szCs w:val="18"/>
                <w:color w:val="auto"/>
              </w:rPr>
            </w:pPr>
          </w:p>
        </w:tc>
        <w:tc>
          <w:tcPr>
            <w:tcW w:w="1060" w:type="dxa"/>
            <w:vAlign w:val="bottom"/>
            <w:shd w:val="clear" w:color="auto" w:fill="E6E6E6"/>
          </w:tcPr>
          <w:p>
            <w:pPr>
              <w:spacing w:after="0"/>
              <w:rPr>
                <w:sz w:val="18"/>
                <w:szCs w:val="18"/>
                <w:color w:val="auto"/>
              </w:rPr>
            </w:pPr>
          </w:p>
        </w:tc>
        <w:tc>
          <w:tcPr>
            <w:tcW w:w="220" w:type="dxa"/>
            <w:vAlign w:val="bottom"/>
            <w:shd w:val="clear" w:color="auto" w:fill="E6E6E6"/>
          </w:tcPr>
          <w:p>
            <w:pPr>
              <w:spacing w:after="0"/>
              <w:rPr>
                <w:sz w:val="18"/>
                <w:szCs w:val="18"/>
                <w:color w:val="auto"/>
              </w:rPr>
            </w:pPr>
          </w:p>
        </w:tc>
        <w:tc>
          <w:tcPr>
            <w:tcW w:w="740" w:type="dxa"/>
            <w:vAlign w:val="bottom"/>
            <w:shd w:val="clear" w:color="auto" w:fill="E6E6E6"/>
          </w:tcPr>
          <w:p>
            <w:pPr>
              <w:spacing w:after="0"/>
              <w:rPr>
                <w:sz w:val="18"/>
                <w:szCs w:val="18"/>
                <w:color w:val="auto"/>
              </w:rPr>
            </w:pPr>
          </w:p>
        </w:tc>
        <w:tc>
          <w:tcPr>
            <w:tcW w:w="280" w:type="dxa"/>
            <w:vAlign w:val="bottom"/>
            <w:shd w:val="clear" w:color="auto" w:fill="E6E6E6"/>
          </w:tcPr>
          <w:p>
            <w:pPr>
              <w:spacing w:after="0"/>
              <w:rPr>
                <w:sz w:val="18"/>
                <w:szCs w:val="18"/>
                <w:color w:val="auto"/>
              </w:rPr>
            </w:pPr>
          </w:p>
        </w:tc>
        <w:tc>
          <w:tcPr>
            <w:tcW w:w="1120" w:type="dxa"/>
            <w:vAlign w:val="bottom"/>
            <w:shd w:val="clear" w:color="auto" w:fill="E6E6E6"/>
          </w:tcPr>
          <w:p>
            <w:pPr>
              <w:spacing w:after="0"/>
              <w:rPr>
                <w:sz w:val="18"/>
                <w:szCs w:val="18"/>
                <w:color w:val="auto"/>
              </w:rPr>
            </w:pPr>
          </w:p>
        </w:tc>
        <w:tc>
          <w:tcPr>
            <w:tcW w:w="260" w:type="dxa"/>
            <w:vAlign w:val="bottom"/>
            <w:shd w:val="clear" w:color="auto" w:fill="E6E6E6"/>
          </w:tcPr>
          <w:p>
            <w:pPr>
              <w:spacing w:after="0"/>
              <w:rPr>
                <w:sz w:val="18"/>
                <w:szCs w:val="18"/>
                <w:color w:val="auto"/>
              </w:rPr>
            </w:pPr>
          </w:p>
        </w:tc>
        <w:tc>
          <w:tcPr>
            <w:tcW w:w="800" w:type="dxa"/>
            <w:vAlign w:val="bottom"/>
            <w:shd w:val="clear" w:color="auto" w:fill="E6E6E6"/>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86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04"/>
        </w:trPr>
        <w:tc>
          <w:tcPr>
            <w:tcW w:w="2880" w:type="dxa"/>
            <w:vAlign w:val="bottom"/>
            <w:gridSpan w:val="2"/>
          </w:tcPr>
          <w:p>
            <w:pPr>
              <w:spacing w:after="0"/>
              <w:rPr>
                <w:sz w:val="20"/>
                <w:szCs w:val="20"/>
                <w:color w:val="auto"/>
              </w:rPr>
            </w:pPr>
            <w:r>
              <w:rPr>
                <w:rFonts w:ascii="Arial" w:cs="Arial" w:eastAsia="Arial" w:hAnsi="Arial"/>
                <w:sz w:val="18"/>
                <w:szCs w:val="18"/>
                <w:color w:val="auto"/>
              </w:rPr>
              <w:t>Revenues</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910.6</w:t>
            </w:r>
          </w:p>
        </w:tc>
        <w:tc>
          <w:tcPr>
            <w:tcW w:w="2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476.5</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113.8</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2"/>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1,500.9</w:t>
            </w:r>
          </w:p>
        </w:tc>
        <w:tc>
          <w:tcPr>
            <w:tcW w:w="2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412.0</w:t>
            </w:r>
          </w:p>
        </w:tc>
        <w:tc>
          <w:tcPr>
            <w:tcW w:w="2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1,912.9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6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Bad debts</w:t>
            </w:r>
          </w:p>
        </w:tc>
        <w:tc>
          <w:tcPr>
            <w:tcW w:w="380" w:type="dxa"/>
            <w:vAlign w:val="bottom"/>
            <w:shd w:val="clear" w:color="auto" w:fill="E6E6E6"/>
          </w:tcPr>
          <w:p>
            <w:pPr>
              <w:spacing w:after="0"/>
              <w:rPr>
                <w:sz w:val="17"/>
                <w:szCs w:val="17"/>
                <w:color w:val="auto"/>
              </w:rPr>
            </w:pPr>
          </w:p>
        </w:tc>
        <w:tc>
          <w:tcPr>
            <w:tcW w:w="102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3.9</w:t>
            </w:r>
          </w:p>
        </w:tc>
        <w:tc>
          <w:tcPr>
            <w:tcW w:w="240" w:type="dxa"/>
            <w:vAlign w:val="bottom"/>
            <w:shd w:val="clear" w:color="auto" w:fill="E6E6E6"/>
          </w:tcPr>
          <w:p>
            <w:pPr>
              <w:spacing w:after="0"/>
              <w:rPr>
                <w:sz w:val="17"/>
                <w:szCs w:val="17"/>
                <w:color w:val="auto"/>
              </w:rPr>
            </w:pPr>
          </w:p>
        </w:tc>
        <w:tc>
          <w:tcPr>
            <w:tcW w:w="100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1.7</w:t>
            </w:r>
          </w:p>
        </w:tc>
        <w:tc>
          <w:tcPr>
            <w:tcW w:w="180" w:type="dxa"/>
            <w:vAlign w:val="bottom"/>
            <w:shd w:val="clear" w:color="auto" w:fill="E6E6E6"/>
          </w:tcPr>
          <w:p>
            <w:pPr>
              <w:spacing w:after="0"/>
              <w:rPr>
                <w:sz w:val="17"/>
                <w:szCs w:val="17"/>
                <w:color w:val="auto"/>
              </w:rPr>
            </w:pPr>
          </w:p>
        </w:tc>
        <w:tc>
          <w:tcPr>
            <w:tcW w:w="104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0.1</w:t>
            </w:r>
          </w:p>
        </w:tc>
        <w:tc>
          <w:tcPr>
            <w:tcW w:w="200" w:type="dxa"/>
            <w:vAlign w:val="bottom"/>
            <w:shd w:val="clear" w:color="auto" w:fill="E6E6E6"/>
          </w:tcPr>
          <w:p>
            <w:pPr>
              <w:spacing w:after="0"/>
              <w:rPr>
                <w:sz w:val="17"/>
                <w:szCs w:val="17"/>
                <w:color w:val="auto"/>
              </w:rPr>
            </w:pPr>
          </w:p>
        </w:tc>
        <w:tc>
          <w:tcPr>
            <w:tcW w:w="1060" w:type="dxa"/>
            <w:vAlign w:val="bottom"/>
            <w:shd w:val="clear" w:color="auto" w:fill="E6E6E6"/>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E6E6E6"/>
          </w:tcPr>
          <w:p>
            <w:pPr>
              <w:spacing w:after="0"/>
              <w:rPr>
                <w:sz w:val="17"/>
                <w:szCs w:val="17"/>
                <w:color w:val="auto"/>
              </w:rPr>
            </w:pPr>
          </w:p>
        </w:tc>
        <w:tc>
          <w:tcPr>
            <w:tcW w:w="74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5.7</w:t>
            </w:r>
          </w:p>
        </w:tc>
        <w:tc>
          <w:tcPr>
            <w:tcW w:w="280" w:type="dxa"/>
            <w:vAlign w:val="bottom"/>
            <w:shd w:val="clear" w:color="auto" w:fill="E6E6E6"/>
          </w:tcPr>
          <w:p>
            <w:pPr>
              <w:spacing w:after="0"/>
              <w:rPr>
                <w:sz w:val="17"/>
                <w:szCs w:val="17"/>
                <w:color w:val="auto"/>
              </w:rPr>
            </w:pPr>
          </w:p>
        </w:tc>
        <w:tc>
          <w:tcPr>
            <w:tcW w:w="112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3.8</w:t>
            </w:r>
          </w:p>
        </w:tc>
        <w:tc>
          <w:tcPr>
            <w:tcW w:w="260" w:type="dxa"/>
            <w:vAlign w:val="bottom"/>
            <w:shd w:val="clear" w:color="auto" w:fill="E6E6E6"/>
          </w:tcPr>
          <w:p>
            <w:pPr>
              <w:spacing w:after="0"/>
              <w:rPr>
                <w:sz w:val="17"/>
                <w:szCs w:val="17"/>
                <w:color w:val="auto"/>
              </w:rPr>
            </w:pPr>
          </w:p>
        </w:tc>
        <w:tc>
          <w:tcPr>
            <w:tcW w:w="800" w:type="dxa"/>
            <w:vAlign w:val="bottom"/>
            <w:shd w:val="clear" w:color="auto" w:fill="E6E6E6"/>
          </w:tcPr>
          <w:p>
            <w:pPr>
              <w:jc w:val="right"/>
              <w:ind w:right="33"/>
              <w:spacing w:after="0" w:line="202" w:lineRule="exact"/>
              <w:rPr>
                <w:sz w:val="20"/>
                <w:szCs w:val="20"/>
                <w:color w:val="auto"/>
              </w:rPr>
            </w:pPr>
            <w:r>
              <w:rPr>
                <w:rFonts w:ascii="Arial" w:cs="Arial" w:eastAsia="Arial" w:hAnsi="Arial"/>
                <w:sz w:val="18"/>
                <w:szCs w:val="18"/>
                <w:color w:val="auto"/>
              </w:rPr>
              <w:t>9.5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880" w:type="dxa"/>
            <w:vAlign w:val="bottom"/>
            <w:gridSpan w:val="2"/>
          </w:tcPr>
          <w:p>
            <w:pPr>
              <w:spacing w:after="0" w:line="243" w:lineRule="exact"/>
              <w:rPr>
                <w:sz w:val="20"/>
                <w:szCs w:val="20"/>
                <w:color w:val="auto"/>
              </w:rPr>
            </w:pPr>
            <w:r>
              <w:rPr>
                <w:rFonts w:ascii="Arial" w:cs="Arial" w:eastAsia="Arial" w:hAnsi="Arial"/>
                <w:sz w:val="17"/>
                <w:szCs w:val="17"/>
                <w:color w:val="auto"/>
              </w:rPr>
              <w:t>Depreciation and amortization</w:t>
            </w:r>
            <w:r>
              <w:rPr>
                <w:rFonts w:ascii="Arial" w:cs="Arial" w:eastAsia="Arial" w:hAnsi="Arial"/>
                <w:sz w:val="28"/>
                <w:szCs w:val="28"/>
                <w:color w:val="auto"/>
                <w:vertAlign w:val="superscript"/>
              </w:rPr>
              <w:t>(3)</w:t>
            </w:r>
          </w:p>
        </w:tc>
        <w:tc>
          <w:tcPr>
            <w:tcW w:w="3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14.2</w:t>
            </w: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w:t>
            </w:r>
          </w:p>
        </w:tc>
        <w:tc>
          <w:tcPr>
            <w:tcW w:w="1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0.7</w:t>
            </w:r>
          </w:p>
        </w:tc>
        <w:tc>
          <w:tcPr>
            <w:tcW w:w="20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35.6</w:t>
            </w:r>
          </w:p>
        </w:tc>
        <w:tc>
          <w:tcPr>
            <w:tcW w:w="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53.5</w:t>
            </w:r>
          </w:p>
        </w:tc>
        <w:tc>
          <w:tcPr>
            <w:tcW w:w="2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6.0</w:t>
            </w:r>
          </w:p>
        </w:tc>
        <w:tc>
          <w:tcPr>
            <w:tcW w:w="260" w:type="dxa"/>
            <w:vAlign w:val="bottom"/>
          </w:tcPr>
          <w:p>
            <w:pPr>
              <w:spacing w:after="0"/>
              <w:rPr>
                <w:sz w:val="21"/>
                <w:szCs w:val="21"/>
                <w:color w:val="auto"/>
              </w:rPr>
            </w:pP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59.5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860" w:type="dxa"/>
            <w:vAlign w:val="bottom"/>
            <w:shd w:val="clear" w:color="auto" w:fill="E6E6E6"/>
          </w:tcPr>
          <w:p>
            <w:pPr>
              <w:spacing w:after="0" w:line="243" w:lineRule="exact"/>
              <w:rPr>
                <w:sz w:val="20"/>
                <w:szCs w:val="20"/>
                <w:color w:val="auto"/>
              </w:rPr>
            </w:pPr>
            <w:r>
              <w:rPr>
                <w:rFonts w:ascii="Arial" w:cs="Arial" w:eastAsia="Arial" w:hAnsi="Arial"/>
                <w:sz w:val="17"/>
                <w:szCs w:val="17"/>
                <w:color w:val="auto"/>
              </w:rPr>
              <w:t>Amortization</w:t>
            </w:r>
            <w:r>
              <w:rPr>
                <w:rFonts w:ascii="Arial" w:cs="Arial" w:eastAsia="Arial" w:hAnsi="Arial"/>
                <w:sz w:val="28"/>
                <w:szCs w:val="28"/>
                <w:color w:val="auto"/>
                <w:vertAlign w:val="superscript"/>
              </w:rPr>
              <w:t>(4)</w:t>
            </w:r>
          </w:p>
        </w:tc>
        <w:tc>
          <w:tcPr>
            <w:tcW w:w="380" w:type="dxa"/>
            <w:vAlign w:val="bottom"/>
            <w:shd w:val="clear" w:color="auto" w:fill="E6E6E6"/>
          </w:tcPr>
          <w:p>
            <w:pPr>
              <w:spacing w:after="0"/>
              <w:rPr>
                <w:sz w:val="21"/>
                <w:szCs w:val="21"/>
                <w:color w:val="auto"/>
              </w:rPr>
            </w:pPr>
          </w:p>
        </w:tc>
        <w:tc>
          <w:tcPr>
            <w:tcW w:w="10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12.0</w:t>
            </w:r>
          </w:p>
        </w:tc>
        <w:tc>
          <w:tcPr>
            <w:tcW w:w="240" w:type="dxa"/>
            <w:vAlign w:val="bottom"/>
            <w:shd w:val="clear" w:color="auto" w:fill="E6E6E6"/>
          </w:tcPr>
          <w:p>
            <w:pPr>
              <w:spacing w:after="0"/>
              <w:rPr>
                <w:sz w:val="21"/>
                <w:szCs w:val="21"/>
                <w:color w:val="auto"/>
              </w:rPr>
            </w:pPr>
          </w:p>
        </w:tc>
        <w:tc>
          <w:tcPr>
            <w:tcW w:w="10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25.9</w:t>
            </w:r>
          </w:p>
        </w:tc>
        <w:tc>
          <w:tcPr>
            <w:tcW w:w="180" w:type="dxa"/>
            <w:vAlign w:val="bottom"/>
            <w:shd w:val="clear" w:color="auto" w:fill="E6E6E6"/>
          </w:tcPr>
          <w:p>
            <w:pPr>
              <w:spacing w:after="0"/>
              <w:rPr>
                <w:sz w:val="21"/>
                <w:szCs w:val="21"/>
                <w:color w:val="auto"/>
              </w:rPr>
            </w:pPr>
          </w:p>
        </w:tc>
        <w:tc>
          <w:tcPr>
            <w:tcW w:w="104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10.2</w:t>
            </w:r>
          </w:p>
        </w:tc>
        <w:tc>
          <w:tcPr>
            <w:tcW w:w="200" w:type="dxa"/>
            <w:vAlign w:val="bottom"/>
            <w:shd w:val="clear" w:color="auto" w:fill="E6E6E6"/>
          </w:tcPr>
          <w:p>
            <w:pPr>
              <w:spacing w:after="0"/>
              <w:rPr>
                <w:sz w:val="21"/>
                <w:szCs w:val="21"/>
                <w:color w:val="auto"/>
              </w:rPr>
            </w:pPr>
          </w:p>
        </w:tc>
        <w:tc>
          <w:tcPr>
            <w:tcW w:w="1060" w:type="dxa"/>
            <w:vAlign w:val="bottom"/>
            <w:shd w:val="clear" w:color="auto" w:fill="E6E6E6"/>
          </w:tcPr>
          <w:p>
            <w:pPr>
              <w:jc w:val="right"/>
              <w:ind w:right="13"/>
              <w:spacing w:after="0"/>
              <w:rPr>
                <w:sz w:val="20"/>
                <w:szCs w:val="20"/>
                <w:color w:val="auto"/>
              </w:rPr>
            </w:pPr>
            <w:r>
              <w:rPr>
                <w:rFonts w:ascii="Arial" w:cs="Arial" w:eastAsia="Arial" w:hAnsi="Arial"/>
                <w:sz w:val="18"/>
                <w:szCs w:val="18"/>
                <w:color w:val="auto"/>
              </w:rPr>
              <w:t>—</w:t>
            </w:r>
          </w:p>
        </w:tc>
        <w:tc>
          <w:tcPr>
            <w:tcW w:w="220" w:type="dxa"/>
            <w:vAlign w:val="bottom"/>
            <w:shd w:val="clear" w:color="auto" w:fill="E6E6E6"/>
          </w:tcPr>
          <w:p>
            <w:pPr>
              <w:spacing w:after="0"/>
              <w:rPr>
                <w:sz w:val="21"/>
                <w:szCs w:val="21"/>
                <w:color w:val="auto"/>
              </w:rPr>
            </w:pPr>
          </w:p>
        </w:tc>
        <w:tc>
          <w:tcPr>
            <w:tcW w:w="740" w:type="dxa"/>
            <w:vAlign w:val="bottom"/>
            <w:shd w:val="clear" w:color="auto" w:fill="E6E6E6"/>
          </w:tcPr>
          <w:p>
            <w:pPr>
              <w:jc w:val="right"/>
              <w:spacing w:after="0"/>
              <w:rPr>
                <w:sz w:val="20"/>
                <w:szCs w:val="20"/>
                <w:color w:val="auto"/>
              </w:rPr>
            </w:pPr>
            <w:r>
              <w:rPr>
                <w:rFonts w:ascii="Arial" w:cs="Arial" w:eastAsia="Arial" w:hAnsi="Arial"/>
                <w:sz w:val="18"/>
                <w:szCs w:val="18"/>
                <w:color w:val="auto"/>
              </w:rPr>
              <w:t>48.1</w:t>
            </w:r>
          </w:p>
        </w:tc>
        <w:tc>
          <w:tcPr>
            <w:tcW w:w="280" w:type="dxa"/>
            <w:vAlign w:val="bottom"/>
            <w:shd w:val="clear" w:color="auto" w:fill="E6E6E6"/>
          </w:tcPr>
          <w:p>
            <w:pPr>
              <w:spacing w:after="0"/>
              <w:rPr>
                <w:sz w:val="21"/>
                <w:szCs w:val="21"/>
                <w:color w:val="auto"/>
              </w:rPr>
            </w:pPr>
          </w:p>
        </w:tc>
        <w:tc>
          <w:tcPr>
            <w:tcW w:w="11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2.9</w:t>
            </w:r>
          </w:p>
        </w:tc>
        <w:tc>
          <w:tcPr>
            <w:tcW w:w="260" w:type="dxa"/>
            <w:vAlign w:val="bottom"/>
            <w:shd w:val="clear" w:color="auto" w:fill="E6E6E6"/>
          </w:tcPr>
          <w:p>
            <w:pPr>
              <w:spacing w:after="0"/>
              <w:rPr>
                <w:sz w:val="21"/>
                <w:szCs w:val="21"/>
                <w:color w:val="auto"/>
              </w:rPr>
            </w:pPr>
          </w:p>
        </w:tc>
        <w:tc>
          <w:tcPr>
            <w:tcW w:w="800" w:type="dxa"/>
            <w:vAlign w:val="bottom"/>
            <w:shd w:val="clear" w:color="auto" w:fill="E6E6E6"/>
          </w:tcPr>
          <w:p>
            <w:pPr>
              <w:jc w:val="right"/>
              <w:ind w:right="33"/>
              <w:spacing w:after="0"/>
              <w:rPr>
                <w:sz w:val="20"/>
                <w:szCs w:val="20"/>
                <w:color w:val="auto"/>
              </w:rPr>
            </w:pPr>
            <w:r>
              <w:rPr>
                <w:rFonts w:ascii="Arial" w:cs="Arial" w:eastAsia="Arial" w:hAnsi="Arial"/>
                <w:sz w:val="18"/>
                <w:szCs w:val="18"/>
                <w:color w:val="auto"/>
              </w:rPr>
              <w:t>51.0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2880" w:type="dxa"/>
            <w:vAlign w:val="bottom"/>
            <w:gridSpan w:val="2"/>
          </w:tcPr>
          <w:p>
            <w:pPr>
              <w:spacing w:after="0" w:line="202" w:lineRule="exact"/>
              <w:rPr>
                <w:sz w:val="20"/>
                <w:szCs w:val="20"/>
                <w:color w:val="auto"/>
              </w:rPr>
            </w:pPr>
            <w:r>
              <w:rPr>
                <w:rFonts w:ascii="Arial" w:cs="Arial" w:eastAsia="Arial" w:hAnsi="Arial"/>
                <w:sz w:val="18"/>
                <w:szCs w:val="18"/>
                <w:color w:val="auto"/>
              </w:rPr>
              <w:t>Asset Impairments</w:t>
            </w:r>
          </w:p>
        </w:tc>
        <w:tc>
          <w:tcPr>
            <w:tcW w:w="38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36.3</w:t>
            </w:r>
          </w:p>
        </w:tc>
        <w:tc>
          <w:tcPr>
            <w:tcW w:w="18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3.0</w:t>
            </w:r>
          </w:p>
        </w:tc>
        <w:tc>
          <w:tcPr>
            <w:tcW w:w="200" w:type="dxa"/>
            <w:vAlign w:val="bottom"/>
          </w:tcPr>
          <w:p>
            <w:pPr>
              <w:spacing w:after="0"/>
              <w:rPr>
                <w:sz w:val="17"/>
                <w:szCs w:val="17"/>
                <w:color w:val="auto"/>
              </w:rPr>
            </w:pPr>
          </w:p>
        </w:tc>
        <w:tc>
          <w:tcPr>
            <w:tcW w:w="10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39.3</w:t>
            </w:r>
          </w:p>
        </w:tc>
        <w:tc>
          <w:tcPr>
            <w:tcW w:w="28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3.8</w:t>
            </w:r>
          </w:p>
        </w:tc>
        <w:tc>
          <w:tcPr>
            <w:tcW w:w="260" w:type="dxa"/>
            <w:vAlign w:val="bottom"/>
          </w:tcPr>
          <w:p>
            <w:pPr>
              <w:spacing w:after="0"/>
              <w:rPr>
                <w:sz w:val="17"/>
                <w:szCs w:val="17"/>
                <w:color w:val="auto"/>
              </w:rPr>
            </w:pPr>
          </w:p>
        </w:tc>
        <w:tc>
          <w:tcPr>
            <w:tcW w:w="800" w:type="dxa"/>
            <w:vAlign w:val="bottom"/>
          </w:tcPr>
          <w:p>
            <w:pPr>
              <w:jc w:val="right"/>
              <w:ind w:right="33"/>
              <w:spacing w:after="0" w:line="202" w:lineRule="exact"/>
              <w:rPr>
                <w:sz w:val="20"/>
                <w:szCs w:val="20"/>
                <w:color w:val="auto"/>
              </w:rPr>
            </w:pPr>
            <w:r>
              <w:rPr>
                <w:rFonts w:ascii="Arial" w:cs="Arial" w:eastAsia="Arial" w:hAnsi="Arial"/>
                <w:sz w:val="18"/>
                <w:szCs w:val="18"/>
                <w:color w:val="auto"/>
              </w:rPr>
              <w:t>43.1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6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Royalty advances expensed</w:t>
            </w:r>
          </w:p>
        </w:tc>
        <w:tc>
          <w:tcPr>
            <w:tcW w:w="380" w:type="dxa"/>
            <w:vAlign w:val="bottom"/>
            <w:shd w:val="clear" w:color="auto" w:fill="E6E6E6"/>
          </w:tcPr>
          <w:p>
            <w:pPr>
              <w:spacing w:after="0"/>
              <w:rPr>
                <w:sz w:val="17"/>
                <w:szCs w:val="17"/>
                <w:color w:val="auto"/>
              </w:rPr>
            </w:pPr>
          </w:p>
        </w:tc>
        <w:tc>
          <w:tcPr>
            <w:tcW w:w="102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20.3</w:t>
            </w:r>
          </w:p>
        </w:tc>
        <w:tc>
          <w:tcPr>
            <w:tcW w:w="240" w:type="dxa"/>
            <w:vAlign w:val="bottom"/>
            <w:shd w:val="clear" w:color="auto" w:fill="E6E6E6"/>
          </w:tcPr>
          <w:p>
            <w:pPr>
              <w:spacing w:after="0"/>
              <w:rPr>
                <w:sz w:val="17"/>
                <w:szCs w:val="17"/>
                <w:color w:val="auto"/>
              </w:rPr>
            </w:pPr>
          </w:p>
        </w:tc>
        <w:tc>
          <w:tcPr>
            <w:tcW w:w="100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0.7</w:t>
            </w:r>
          </w:p>
        </w:tc>
        <w:tc>
          <w:tcPr>
            <w:tcW w:w="180" w:type="dxa"/>
            <w:vAlign w:val="bottom"/>
            <w:shd w:val="clear" w:color="auto" w:fill="E6E6E6"/>
          </w:tcPr>
          <w:p>
            <w:pPr>
              <w:spacing w:after="0"/>
              <w:rPr>
                <w:sz w:val="17"/>
                <w:szCs w:val="17"/>
                <w:color w:val="auto"/>
              </w:rPr>
            </w:pPr>
          </w:p>
        </w:tc>
        <w:tc>
          <w:tcPr>
            <w:tcW w:w="104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0.9</w:t>
            </w:r>
          </w:p>
        </w:tc>
        <w:tc>
          <w:tcPr>
            <w:tcW w:w="200" w:type="dxa"/>
            <w:vAlign w:val="bottom"/>
            <w:shd w:val="clear" w:color="auto" w:fill="E6E6E6"/>
          </w:tcPr>
          <w:p>
            <w:pPr>
              <w:spacing w:after="0"/>
              <w:rPr>
                <w:sz w:val="17"/>
                <w:szCs w:val="17"/>
                <w:color w:val="auto"/>
              </w:rPr>
            </w:pPr>
          </w:p>
        </w:tc>
        <w:tc>
          <w:tcPr>
            <w:tcW w:w="1060" w:type="dxa"/>
            <w:vAlign w:val="bottom"/>
            <w:shd w:val="clear" w:color="auto" w:fill="E6E6E6"/>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E6E6E6"/>
          </w:tcPr>
          <w:p>
            <w:pPr>
              <w:spacing w:after="0"/>
              <w:rPr>
                <w:sz w:val="17"/>
                <w:szCs w:val="17"/>
                <w:color w:val="auto"/>
              </w:rPr>
            </w:pPr>
          </w:p>
        </w:tc>
        <w:tc>
          <w:tcPr>
            <w:tcW w:w="74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21.9</w:t>
            </w:r>
          </w:p>
        </w:tc>
        <w:tc>
          <w:tcPr>
            <w:tcW w:w="280" w:type="dxa"/>
            <w:vAlign w:val="bottom"/>
            <w:shd w:val="clear" w:color="auto" w:fill="E6E6E6"/>
          </w:tcPr>
          <w:p>
            <w:pPr>
              <w:spacing w:after="0"/>
              <w:rPr>
                <w:sz w:val="17"/>
                <w:szCs w:val="17"/>
                <w:color w:val="auto"/>
              </w:rPr>
            </w:pPr>
          </w:p>
        </w:tc>
        <w:tc>
          <w:tcPr>
            <w:tcW w:w="112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4.1</w:t>
            </w:r>
          </w:p>
        </w:tc>
        <w:tc>
          <w:tcPr>
            <w:tcW w:w="260" w:type="dxa"/>
            <w:vAlign w:val="bottom"/>
            <w:shd w:val="clear" w:color="auto" w:fill="E6E6E6"/>
          </w:tcPr>
          <w:p>
            <w:pPr>
              <w:spacing w:after="0"/>
              <w:rPr>
                <w:sz w:val="17"/>
                <w:szCs w:val="17"/>
                <w:color w:val="auto"/>
              </w:rPr>
            </w:pPr>
          </w:p>
        </w:tc>
        <w:tc>
          <w:tcPr>
            <w:tcW w:w="800" w:type="dxa"/>
            <w:vAlign w:val="bottom"/>
            <w:shd w:val="clear" w:color="auto" w:fill="E6E6E6"/>
          </w:tcPr>
          <w:p>
            <w:pPr>
              <w:jc w:val="right"/>
              <w:ind w:right="33"/>
              <w:spacing w:after="0" w:line="202" w:lineRule="exact"/>
              <w:rPr>
                <w:sz w:val="20"/>
                <w:szCs w:val="20"/>
                <w:color w:val="auto"/>
              </w:rPr>
            </w:pPr>
            <w:r>
              <w:rPr>
                <w:rFonts w:ascii="Arial" w:cs="Arial" w:eastAsia="Arial" w:hAnsi="Arial"/>
                <w:sz w:val="18"/>
                <w:szCs w:val="18"/>
                <w:color w:val="auto"/>
              </w:rPr>
              <w:t>26.0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80" w:type="dxa"/>
            <w:vAlign w:val="bottom"/>
            <w:gridSpan w:val="2"/>
          </w:tcPr>
          <w:p>
            <w:pPr>
              <w:spacing w:after="0" w:line="202" w:lineRule="exact"/>
              <w:rPr>
                <w:sz w:val="20"/>
                <w:szCs w:val="20"/>
                <w:color w:val="auto"/>
              </w:rPr>
            </w:pPr>
            <w:r>
              <w:rPr>
                <w:rFonts w:ascii="Arial" w:cs="Arial" w:eastAsia="Arial" w:hAnsi="Arial"/>
                <w:sz w:val="18"/>
                <w:szCs w:val="18"/>
                <w:color w:val="auto"/>
              </w:rPr>
              <w:t>Segment operating income/(loss)</w:t>
            </w:r>
          </w:p>
        </w:tc>
        <w:tc>
          <w:tcPr>
            <w:tcW w:w="38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117.9</w:t>
            </w:r>
          </w:p>
        </w:tc>
        <w:tc>
          <w:tcPr>
            <w:tcW w:w="24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67.2</w:t>
            </w:r>
          </w:p>
        </w:tc>
        <w:tc>
          <w:tcPr>
            <w:tcW w:w="18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(4.2)</w:t>
            </w:r>
          </w:p>
        </w:tc>
        <w:tc>
          <w:tcPr>
            <w:tcW w:w="20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(82.5)</w:t>
            </w:r>
          </w:p>
        </w:tc>
        <w:tc>
          <w:tcPr>
            <w:tcW w:w="22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98.4</w:t>
            </w:r>
          </w:p>
        </w:tc>
        <w:tc>
          <w:tcPr>
            <w:tcW w:w="28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30.0</w:t>
            </w:r>
          </w:p>
        </w:tc>
        <w:tc>
          <w:tcPr>
            <w:tcW w:w="260" w:type="dxa"/>
            <w:vAlign w:val="bottom"/>
          </w:tcPr>
          <w:p>
            <w:pPr>
              <w:spacing w:after="0"/>
              <w:rPr>
                <w:sz w:val="17"/>
                <w:szCs w:val="17"/>
                <w:color w:val="auto"/>
              </w:rPr>
            </w:pPr>
          </w:p>
        </w:tc>
        <w:tc>
          <w:tcPr>
            <w:tcW w:w="800" w:type="dxa"/>
            <w:vAlign w:val="bottom"/>
          </w:tcPr>
          <w:p>
            <w:pPr>
              <w:jc w:val="right"/>
              <w:ind w:right="33"/>
              <w:spacing w:after="0" w:line="202" w:lineRule="exact"/>
              <w:rPr>
                <w:sz w:val="20"/>
                <w:szCs w:val="20"/>
                <w:color w:val="auto"/>
              </w:rPr>
            </w:pPr>
            <w:r>
              <w:rPr>
                <w:rFonts w:ascii="Arial" w:cs="Arial" w:eastAsia="Arial" w:hAnsi="Arial"/>
                <w:sz w:val="18"/>
                <w:szCs w:val="18"/>
                <w:color w:val="auto"/>
              </w:rPr>
              <w:t>128.4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6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Segment assets</w:t>
            </w:r>
          </w:p>
        </w:tc>
        <w:tc>
          <w:tcPr>
            <w:tcW w:w="380" w:type="dxa"/>
            <w:vAlign w:val="bottom"/>
            <w:shd w:val="clear" w:color="auto" w:fill="E6E6E6"/>
          </w:tcPr>
          <w:p>
            <w:pPr>
              <w:spacing w:after="0"/>
              <w:rPr>
                <w:sz w:val="17"/>
                <w:szCs w:val="17"/>
                <w:color w:val="auto"/>
              </w:rPr>
            </w:pPr>
          </w:p>
        </w:tc>
        <w:tc>
          <w:tcPr>
            <w:tcW w:w="102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516.3</w:t>
            </w:r>
          </w:p>
        </w:tc>
        <w:tc>
          <w:tcPr>
            <w:tcW w:w="240" w:type="dxa"/>
            <w:vAlign w:val="bottom"/>
            <w:shd w:val="clear" w:color="auto" w:fill="E6E6E6"/>
          </w:tcPr>
          <w:p>
            <w:pPr>
              <w:spacing w:after="0"/>
              <w:rPr>
                <w:sz w:val="17"/>
                <w:szCs w:val="17"/>
                <w:color w:val="auto"/>
              </w:rPr>
            </w:pPr>
          </w:p>
        </w:tc>
        <w:tc>
          <w:tcPr>
            <w:tcW w:w="100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344.3</w:t>
            </w:r>
          </w:p>
        </w:tc>
        <w:tc>
          <w:tcPr>
            <w:tcW w:w="180" w:type="dxa"/>
            <w:vAlign w:val="bottom"/>
            <w:shd w:val="clear" w:color="auto" w:fill="E6E6E6"/>
          </w:tcPr>
          <w:p>
            <w:pPr>
              <w:spacing w:after="0"/>
              <w:rPr>
                <w:sz w:val="17"/>
                <w:szCs w:val="17"/>
                <w:color w:val="auto"/>
              </w:rPr>
            </w:pPr>
          </w:p>
        </w:tc>
        <w:tc>
          <w:tcPr>
            <w:tcW w:w="104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59.2</w:t>
            </w:r>
          </w:p>
        </w:tc>
        <w:tc>
          <w:tcPr>
            <w:tcW w:w="200" w:type="dxa"/>
            <w:vAlign w:val="bottom"/>
            <w:shd w:val="clear" w:color="auto" w:fill="E6E6E6"/>
          </w:tcPr>
          <w:p>
            <w:pPr>
              <w:spacing w:after="0"/>
              <w:rPr>
                <w:sz w:val="17"/>
                <w:szCs w:val="17"/>
                <w:color w:val="auto"/>
              </w:rPr>
            </w:pPr>
          </w:p>
        </w:tc>
        <w:tc>
          <w:tcPr>
            <w:tcW w:w="1060" w:type="dxa"/>
            <w:vAlign w:val="bottom"/>
            <w:shd w:val="clear" w:color="auto" w:fill="E6E6E6"/>
          </w:tcPr>
          <w:p>
            <w:pPr>
              <w:jc w:val="right"/>
              <w:ind w:right="13"/>
              <w:spacing w:after="0" w:line="202" w:lineRule="exact"/>
              <w:rPr>
                <w:sz w:val="20"/>
                <w:szCs w:val="20"/>
                <w:color w:val="auto"/>
              </w:rPr>
            </w:pPr>
            <w:r>
              <w:rPr>
                <w:rFonts w:ascii="Arial" w:cs="Arial" w:eastAsia="Arial" w:hAnsi="Arial"/>
                <w:sz w:val="18"/>
                <w:szCs w:val="18"/>
                <w:color w:val="auto"/>
              </w:rPr>
              <w:t>369.5</w:t>
            </w:r>
          </w:p>
        </w:tc>
        <w:tc>
          <w:tcPr>
            <w:tcW w:w="220" w:type="dxa"/>
            <w:vAlign w:val="bottom"/>
            <w:shd w:val="clear" w:color="auto" w:fill="E6E6E6"/>
          </w:tcPr>
          <w:p>
            <w:pPr>
              <w:spacing w:after="0"/>
              <w:rPr>
                <w:sz w:val="17"/>
                <w:szCs w:val="17"/>
                <w:color w:val="auto"/>
              </w:rPr>
            </w:pPr>
          </w:p>
        </w:tc>
        <w:tc>
          <w:tcPr>
            <w:tcW w:w="74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1,289.3</w:t>
            </w:r>
          </w:p>
        </w:tc>
        <w:tc>
          <w:tcPr>
            <w:tcW w:w="280" w:type="dxa"/>
            <w:vAlign w:val="bottom"/>
            <w:shd w:val="clear" w:color="auto" w:fill="E6E6E6"/>
          </w:tcPr>
          <w:p>
            <w:pPr>
              <w:spacing w:after="0"/>
              <w:rPr>
                <w:sz w:val="17"/>
                <w:szCs w:val="17"/>
                <w:color w:val="auto"/>
              </w:rPr>
            </w:pPr>
          </w:p>
        </w:tc>
        <w:tc>
          <w:tcPr>
            <w:tcW w:w="112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290.7</w:t>
            </w:r>
          </w:p>
        </w:tc>
        <w:tc>
          <w:tcPr>
            <w:tcW w:w="260" w:type="dxa"/>
            <w:vAlign w:val="bottom"/>
            <w:shd w:val="clear" w:color="auto" w:fill="E6E6E6"/>
          </w:tcPr>
          <w:p>
            <w:pPr>
              <w:spacing w:after="0"/>
              <w:rPr>
                <w:sz w:val="17"/>
                <w:szCs w:val="17"/>
                <w:color w:val="auto"/>
              </w:rPr>
            </w:pPr>
          </w:p>
        </w:tc>
        <w:tc>
          <w:tcPr>
            <w:tcW w:w="800" w:type="dxa"/>
            <w:vAlign w:val="bottom"/>
            <w:shd w:val="clear" w:color="auto" w:fill="E6E6E6"/>
          </w:tcPr>
          <w:p>
            <w:pPr>
              <w:jc w:val="right"/>
              <w:ind w:right="33"/>
              <w:spacing w:after="0" w:line="202" w:lineRule="exact"/>
              <w:rPr>
                <w:sz w:val="20"/>
                <w:szCs w:val="20"/>
                <w:color w:val="auto"/>
              </w:rPr>
            </w:pPr>
            <w:r>
              <w:rPr>
                <w:rFonts w:ascii="Arial" w:cs="Arial" w:eastAsia="Arial" w:hAnsi="Arial"/>
                <w:sz w:val="18"/>
                <w:szCs w:val="18"/>
                <w:color w:val="auto"/>
              </w:rPr>
              <w:t>1,580.0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80" w:type="dxa"/>
            <w:vAlign w:val="bottom"/>
            <w:gridSpan w:val="2"/>
          </w:tcPr>
          <w:p>
            <w:pPr>
              <w:spacing w:after="0" w:line="202" w:lineRule="exact"/>
              <w:rPr>
                <w:sz w:val="20"/>
                <w:szCs w:val="20"/>
                <w:color w:val="auto"/>
              </w:rPr>
            </w:pPr>
            <w:r>
              <w:rPr>
                <w:rFonts w:ascii="Arial" w:cs="Arial" w:eastAsia="Arial" w:hAnsi="Arial"/>
                <w:sz w:val="18"/>
                <w:szCs w:val="18"/>
                <w:color w:val="auto"/>
              </w:rPr>
              <w:t>Goodwill</w:t>
            </w:r>
          </w:p>
        </w:tc>
        <w:tc>
          <w:tcPr>
            <w:tcW w:w="38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54.3</w:t>
            </w:r>
          </w:p>
        </w:tc>
        <w:tc>
          <w:tcPr>
            <w:tcW w:w="24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88.4</w:t>
            </w:r>
          </w:p>
        </w:tc>
        <w:tc>
          <w:tcPr>
            <w:tcW w:w="18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5.4</w:t>
            </w:r>
          </w:p>
        </w:tc>
        <w:tc>
          <w:tcPr>
            <w:tcW w:w="200" w:type="dxa"/>
            <w:vAlign w:val="bottom"/>
          </w:tcPr>
          <w:p>
            <w:pPr>
              <w:spacing w:after="0"/>
              <w:rPr>
                <w:sz w:val="17"/>
                <w:szCs w:val="17"/>
                <w:color w:val="auto"/>
              </w:rPr>
            </w:pPr>
          </w:p>
        </w:tc>
        <w:tc>
          <w:tcPr>
            <w:tcW w:w="10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148.1</w:t>
            </w:r>
          </w:p>
        </w:tc>
        <w:tc>
          <w:tcPr>
            <w:tcW w:w="28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8.5</w:t>
            </w:r>
          </w:p>
        </w:tc>
        <w:tc>
          <w:tcPr>
            <w:tcW w:w="260" w:type="dxa"/>
            <w:vAlign w:val="bottom"/>
          </w:tcPr>
          <w:p>
            <w:pPr>
              <w:spacing w:after="0"/>
              <w:rPr>
                <w:sz w:val="17"/>
                <w:szCs w:val="17"/>
                <w:color w:val="auto"/>
              </w:rPr>
            </w:pPr>
          </w:p>
        </w:tc>
        <w:tc>
          <w:tcPr>
            <w:tcW w:w="800" w:type="dxa"/>
            <w:vAlign w:val="bottom"/>
          </w:tcPr>
          <w:p>
            <w:pPr>
              <w:jc w:val="right"/>
              <w:ind w:right="33"/>
              <w:spacing w:after="0" w:line="202" w:lineRule="exact"/>
              <w:rPr>
                <w:sz w:val="20"/>
                <w:szCs w:val="20"/>
                <w:color w:val="auto"/>
              </w:rPr>
            </w:pPr>
            <w:r>
              <w:rPr>
                <w:rFonts w:ascii="Arial" w:cs="Arial" w:eastAsia="Arial" w:hAnsi="Arial"/>
                <w:sz w:val="18"/>
                <w:szCs w:val="18"/>
                <w:color w:val="auto"/>
              </w:rPr>
              <w:t>156.6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6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Expenditures for long-lived assets</w:t>
            </w:r>
          </w:p>
        </w:tc>
        <w:tc>
          <w:tcPr>
            <w:tcW w:w="380" w:type="dxa"/>
            <w:vAlign w:val="bottom"/>
            <w:shd w:val="clear" w:color="auto" w:fill="E6E6E6"/>
          </w:tcPr>
          <w:p>
            <w:pPr>
              <w:spacing w:after="0"/>
              <w:rPr>
                <w:sz w:val="17"/>
                <w:szCs w:val="17"/>
                <w:color w:val="auto"/>
              </w:rPr>
            </w:pPr>
          </w:p>
        </w:tc>
        <w:tc>
          <w:tcPr>
            <w:tcW w:w="102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43.7</w:t>
            </w:r>
          </w:p>
        </w:tc>
        <w:tc>
          <w:tcPr>
            <w:tcW w:w="240" w:type="dxa"/>
            <w:vAlign w:val="bottom"/>
            <w:shd w:val="clear" w:color="auto" w:fill="E6E6E6"/>
          </w:tcPr>
          <w:p>
            <w:pPr>
              <w:spacing w:after="0"/>
              <w:rPr>
                <w:sz w:val="17"/>
                <w:szCs w:val="17"/>
                <w:color w:val="auto"/>
              </w:rPr>
            </w:pPr>
          </w:p>
        </w:tc>
        <w:tc>
          <w:tcPr>
            <w:tcW w:w="100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31.8</w:t>
            </w:r>
          </w:p>
        </w:tc>
        <w:tc>
          <w:tcPr>
            <w:tcW w:w="180" w:type="dxa"/>
            <w:vAlign w:val="bottom"/>
            <w:shd w:val="clear" w:color="auto" w:fill="E6E6E6"/>
          </w:tcPr>
          <w:p>
            <w:pPr>
              <w:spacing w:after="0"/>
              <w:rPr>
                <w:sz w:val="17"/>
                <w:szCs w:val="17"/>
                <w:color w:val="auto"/>
              </w:rPr>
            </w:pPr>
          </w:p>
        </w:tc>
        <w:tc>
          <w:tcPr>
            <w:tcW w:w="104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6.9</w:t>
            </w:r>
          </w:p>
        </w:tc>
        <w:tc>
          <w:tcPr>
            <w:tcW w:w="200" w:type="dxa"/>
            <w:vAlign w:val="bottom"/>
            <w:shd w:val="clear" w:color="auto" w:fill="E6E6E6"/>
          </w:tcPr>
          <w:p>
            <w:pPr>
              <w:spacing w:after="0"/>
              <w:rPr>
                <w:sz w:val="17"/>
                <w:szCs w:val="17"/>
                <w:color w:val="auto"/>
              </w:rPr>
            </w:pPr>
          </w:p>
        </w:tc>
        <w:tc>
          <w:tcPr>
            <w:tcW w:w="1060" w:type="dxa"/>
            <w:vAlign w:val="bottom"/>
            <w:shd w:val="clear" w:color="auto" w:fill="E6E6E6"/>
          </w:tcPr>
          <w:p>
            <w:pPr>
              <w:jc w:val="right"/>
              <w:ind w:right="13"/>
              <w:spacing w:after="0" w:line="202" w:lineRule="exact"/>
              <w:rPr>
                <w:sz w:val="20"/>
                <w:szCs w:val="20"/>
                <w:color w:val="auto"/>
              </w:rPr>
            </w:pPr>
            <w:r>
              <w:rPr>
                <w:rFonts w:ascii="Arial" w:cs="Arial" w:eastAsia="Arial" w:hAnsi="Arial"/>
                <w:sz w:val="18"/>
                <w:szCs w:val="18"/>
                <w:color w:val="auto"/>
              </w:rPr>
              <w:t>28.9</w:t>
            </w:r>
          </w:p>
        </w:tc>
        <w:tc>
          <w:tcPr>
            <w:tcW w:w="220" w:type="dxa"/>
            <w:vAlign w:val="bottom"/>
            <w:shd w:val="clear" w:color="auto" w:fill="E6E6E6"/>
          </w:tcPr>
          <w:p>
            <w:pPr>
              <w:spacing w:after="0"/>
              <w:rPr>
                <w:sz w:val="17"/>
                <w:szCs w:val="17"/>
                <w:color w:val="auto"/>
              </w:rPr>
            </w:pPr>
          </w:p>
        </w:tc>
        <w:tc>
          <w:tcPr>
            <w:tcW w:w="74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111.3</w:t>
            </w:r>
          </w:p>
        </w:tc>
        <w:tc>
          <w:tcPr>
            <w:tcW w:w="280" w:type="dxa"/>
            <w:vAlign w:val="bottom"/>
            <w:shd w:val="clear" w:color="auto" w:fill="E6E6E6"/>
          </w:tcPr>
          <w:p>
            <w:pPr>
              <w:spacing w:after="0"/>
              <w:rPr>
                <w:sz w:val="17"/>
                <w:szCs w:val="17"/>
                <w:color w:val="auto"/>
              </w:rPr>
            </w:pPr>
          </w:p>
        </w:tc>
        <w:tc>
          <w:tcPr>
            <w:tcW w:w="112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11.2</w:t>
            </w:r>
          </w:p>
        </w:tc>
        <w:tc>
          <w:tcPr>
            <w:tcW w:w="260" w:type="dxa"/>
            <w:vAlign w:val="bottom"/>
            <w:shd w:val="clear" w:color="auto" w:fill="E6E6E6"/>
          </w:tcPr>
          <w:p>
            <w:pPr>
              <w:spacing w:after="0"/>
              <w:rPr>
                <w:sz w:val="17"/>
                <w:szCs w:val="17"/>
                <w:color w:val="auto"/>
              </w:rPr>
            </w:pPr>
          </w:p>
        </w:tc>
        <w:tc>
          <w:tcPr>
            <w:tcW w:w="800" w:type="dxa"/>
            <w:vAlign w:val="bottom"/>
            <w:shd w:val="clear" w:color="auto" w:fill="E6E6E6"/>
          </w:tcPr>
          <w:p>
            <w:pPr>
              <w:jc w:val="right"/>
              <w:ind w:right="33"/>
              <w:spacing w:after="0" w:line="202" w:lineRule="exact"/>
              <w:rPr>
                <w:sz w:val="20"/>
                <w:szCs w:val="20"/>
                <w:color w:val="auto"/>
              </w:rPr>
            </w:pPr>
            <w:r>
              <w:rPr>
                <w:rFonts w:ascii="Arial" w:cs="Arial" w:eastAsia="Arial" w:hAnsi="Arial"/>
                <w:sz w:val="18"/>
                <w:szCs w:val="18"/>
                <w:color w:val="auto"/>
              </w:rPr>
              <w:t>122.5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880" w:type="dxa"/>
            <w:vAlign w:val="bottom"/>
            <w:gridSpan w:val="2"/>
          </w:tcPr>
          <w:p>
            <w:pPr>
              <w:spacing w:after="0"/>
              <w:rPr>
                <w:sz w:val="20"/>
                <w:szCs w:val="20"/>
                <w:color w:val="auto"/>
              </w:rPr>
            </w:pPr>
            <w:r>
              <w:rPr>
                <w:rFonts w:ascii="Arial" w:cs="Arial" w:eastAsia="Arial" w:hAnsi="Arial"/>
                <w:sz w:val="18"/>
                <w:szCs w:val="18"/>
                <w:color w:val="auto"/>
              </w:rPr>
              <w:t>Long-lived assets</w:t>
            </w:r>
          </w:p>
        </w:tc>
        <w:tc>
          <w:tcPr>
            <w:tcW w:w="3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176.8</w:t>
            </w: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169.8</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19.2</w:t>
            </w:r>
          </w:p>
        </w:tc>
        <w:tc>
          <w:tcPr>
            <w:tcW w:w="200" w:type="dxa"/>
            <w:vAlign w:val="bottom"/>
          </w:tcPr>
          <w:p>
            <w:pPr>
              <w:spacing w:after="0"/>
              <w:rPr>
                <w:sz w:val="18"/>
                <w:szCs w:val="18"/>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224.7</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590.5</w:t>
            </w: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67.1</w:t>
            </w:r>
          </w:p>
        </w:tc>
        <w:tc>
          <w:tcPr>
            <w:tcW w:w="260" w:type="dxa"/>
            <w:vAlign w:val="bottom"/>
          </w:tcPr>
          <w:p>
            <w:pPr>
              <w:spacing w:after="0"/>
              <w:rPr>
                <w:sz w:val="18"/>
                <w:szCs w:val="18"/>
                <w:color w:val="auto"/>
              </w:rPr>
            </w:pP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657.6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7"/>
        </w:trPr>
        <w:tc>
          <w:tcPr>
            <w:tcW w:w="2880" w:type="dxa"/>
            <w:vAlign w:val="bottom"/>
            <w:tcBorders>
              <w:bottom w:val="single" w:sz="8" w:color="808080"/>
            </w:tcBorders>
            <w:gridSpan w:val="2"/>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12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8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60" w:type="dxa"/>
            <w:vAlign w:val="bottom"/>
            <w:shd w:val="clear" w:color="auto" w:fill="E6E6E6"/>
          </w:tcPr>
          <w:p>
            <w:pPr>
              <w:spacing w:after="0"/>
              <w:rPr>
                <w:sz w:val="20"/>
                <w:szCs w:val="20"/>
                <w:color w:val="auto"/>
              </w:rPr>
            </w:pPr>
            <w:r>
              <w:rPr>
                <w:rFonts w:ascii="Arial" w:cs="Arial" w:eastAsia="Arial" w:hAnsi="Arial"/>
                <w:sz w:val="18"/>
                <w:szCs w:val="18"/>
                <w:b w:val="1"/>
                <w:bCs w:val="1"/>
                <w:color w:val="auto"/>
              </w:rPr>
              <w:t>2009</w:t>
            </w:r>
          </w:p>
        </w:tc>
        <w:tc>
          <w:tcPr>
            <w:tcW w:w="380" w:type="dxa"/>
            <w:vAlign w:val="bottom"/>
            <w:shd w:val="clear" w:color="auto" w:fill="E6E6E6"/>
          </w:tcPr>
          <w:p>
            <w:pPr>
              <w:spacing w:after="0"/>
              <w:rPr>
                <w:sz w:val="18"/>
                <w:szCs w:val="18"/>
                <w:color w:val="auto"/>
              </w:rPr>
            </w:pPr>
          </w:p>
        </w:tc>
        <w:tc>
          <w:tcPr>
            <w:tcW w:w="1020" w:type="dxa"/>
            <w:vAlign w:val="bottom"/>
            <w:shd w:val="clear" w:color="auto" w:fill="E6E6E6"/>
          </w:tcPr>
          <w:p>
            <w:pPr>
              <w:spacing w:after="0"/>
              <w:rPr>
                <w:sz w:val="18"/>
                <w:szCs w:val="18"/>
                <w:color w:val="auto"/>
              </w:rPr>
            </w:pPr>
          </w:p>
        </w:tc>
        <w:tc>
          <w:tcPr>
            <w:tcW w:w="240" w:type="dxa"/>
            <w:vAlign w:val="bottom"/>
            <w:shd w:val="clear" w:color="auto" w:fill="E6E6E6"/>
          </w:tcPr>
          <w:p>
            <w:pPr>
              <w:spacing w:after="0"/>
              <w:rPr>
                <w:sz w:val="18"/>
                <w:szCs w:val="18"/>
                <w:color w:val="auto"/>
              </w:rPr>
            </w:pPr>
          </w:p>
        </w:tc>
        <w:tc>
          <w:tcPr>
            <w:tcW w:w="1000" w:type="dxa"/>
            <w:vAlign w:val="bottom"/>
            <w:shd w:val="clear" w:color="auto" w:fill="E6E6E6"/>
          </w:tcPr>
          <w:p>
            <w:pPr>
              <w:spacing w:after="0"/>
              <w:rPr>
                <w:sz w:val="18"/>
                <w:szCs w:val="18"/>
                <w:color w:val="auto"/>
              </w:rPr>
            </w:pPr>
          </w:p>
        </w:tc>
        <w:tc>
          <w:tcPr>
            <w:tcW w:w="180" w:type="dxa"/>
            <w:vAlign w:val="bottom"/>
            <w:shd w:val="clear" w:color="auto" w:fill="E6E6E6"/>
          </w:tcPr>
          <w:p>
            <w:pPr>
              <w:spacing w:after="0"/>
              <w:rPr>
                <w:sz w:val="18"/>
                <w:szCs w:val="18"/>
                <w:color w:val="auto"/>
              </w:rPr>
            </w:pPr>
          </w:p>
        </w:tc>
        <w:tc>
          <w:tcPr>
            <w:tcW w:w="1040" w:type="dxa"/>
            <w:vAlign w:val="bottom"/>
            <w:shd w:val="clear" w:color="auto" w:fill="E6E6E6"/>
          </w:tcPr>
          <w:p>
            <w:pPr>
              <w:spacing w:after="0"/>
              <w:rPr>
                <w:sz w:val="18"/>
                <w:szCs w:val="18"/>
                <w:color w:val="auto"/>
              </w:rPr>
            </w:pPr>
          </w:p>
        </w:tc>
        <w:tc>
          <w:tcPr>
            <w:tcW w:w="200" w:type="dxa"/>
            <w:vAlign w:val="bottom"/>
            <w:shd w:val="clear" w:color="auto" w:fill="E6E6E6"/>
          </w:tcPr>
          <w:p>
            <w:pPr>
              <w:spacing w:after="0"/>
              <w:rPr>
                <w:sz w:val="18"/>
                <w:szCs w:val="18"/>
                <w:color w:val="auto"/>
              </w:rPr>
            </w:pPr>
          </w:p>
        </w:tc>
        <w:tc>
          <w:tcPr>
            <w:tcW w:w="1060" w:type="dxa"/>
            <w:vAlign w:val="bottom"/>
            <w:shd w:val="clear" w:color="auto" w:fill="E6E6E6"/>
          </w:tcPr>
          <w:p>
            <w:pPr>
              <w:spacing w:after="0"/>
              <w:rPr>
                <w:sz w:val="18"/>
                <w:szCs w:val="18"/>
                <w:color w:val="auto"/>
              </w:rPr>
            </w:pPr>
          </w:p>
        </w:tc>
        <w:tc>
          <w:tcPr>
            <w:tcW w:w="220" w:type="dxa"/>
            <w:vAlign w:val="bottom"/>
            <w:shd w:val="clear" w:color="auto" w:fill="E6E6E6"/>
          </w:tcPr>
          <w:p>
            <w:pPr>
              <w:spacing w:after="0"/>
              <w:rPr>
                <w:sz w:val="18"/>
                <w:szCs w:val="18"/>
                <w:color w:val="auto"/>
              </w:rPr>
            </w:pPr>
          </w:p>
        </w:tc>
        <w:tc>
          <w:tcPr>
            <w:tcW w:w="740" w:type="dxa"/>
            <w:vAlign w:val="bottom"/>
            <w:shd w:val="clear" w:color="auto" w:fill="E6E6E6"/>
          </w:tcPr>
          <w:p>
            <w:pPr>
              <w:spacing w:after="0"/>
              <w:rPr>
                <w:sz w:val="18"/>
                <w:szCs w:val="18"/>
                <w:color w:val="auto"/>
              </w:rPr>
            </w:pPr>
          </w:p>
        </w:tc>
        <w:tc>
          <w:tcPr>
            <w:tcW w:w="280" w:type="dxa"/>
            <w:vAlign w:val="bottom"/>
            <w:shd w:val="clear" w:color="auto" w:fill="E6E6E6"/>
          </w:tcPr>
          <w:p>
            <w:pPr>
              <w:spacing w:after="0"/>
              <w:rPr>
                <w:sz w:val="18"/>
                <w:szCs w:val="18"/>
                <w:color w:val="auto"/>
              </w:rPr>
            </w:pPr>
          </w:p>
        </w:tc>
        <w:tc>
          <w:tcPr>
            <w:tcW w:w="1120" w:type="dxa"/>
            <w:vAlign w:val="bottom"/>
            <w:shd w:val="clear" w:color="auto" w:fill="E6E6E6"/>
          </w:tcPr>
          <w:p>
            <w:pPr>
              <w:spacing w:after="0"/>
              <w:rPr>
                <w:sz w:val="18"/>
                <w:szCs w:val="18"/>
                <w:color w:val="auto"/>
              </w:rPr>
            </w:pPr>
          </w:p>
        </w:tc>
        <w:tc>
          <w:tcPr>
            <w:tcW w:w="260" w:type="dxa"/>
            <w:vAlign w:val="bottom"/>
            <w:shd w:val="clear" w:color="auto" w:fill="E6E6E6"/>
          </w:tcPr>
          <w:p>
            <w:pPr>
              <w:spacing w:after="0"/>
              <w:rPr>
                <w:sz w:val="18"/>
                <w:szCs w:val="18"/>
                <w:color w:val="auto"/>
              </w:rPr>
            </w:pPr>
          </w:p>
        </w:tc>
        <w:tc>
          <w:tcPr>
            <w:tcW w:w="800" w:type="dxa"/>
            <w:vAlign w:val="bottom"/>
            <w:shd w:val="clear" w:color="auto" w:fill="E6E6E6"/>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86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04"/>
        </w:trPr>
        <w:tc>
          <w:tcPr>
            <w:tcW w:w="2880" w:type="dxa"/>
            <w:vAlign w:val="bottom"/>
            <w:gridSpan w:val="2"/>
          </w:tcPr>
          <w:p>
            <w:pPr>
              <w:spacing w:after="0"/>
              <w:rPr>
                <w:sz w:val="20"/>
                <w:szCs w:val="20"/>
                <w:color w:val="auto"/>
              </w:rPr>
            </w:pPr>
            <w:r>
              <w:rPr>
                <w:rFonts w:ascii="Arial" w:cs="Arial" w:eastAsia="Arial" w:hAnsi="Arial"/>
                <w:sz w:val="18"/>
                <w:szCs w:val="18"/>
                <w:color w:val="auto"/>
              </w:rPr>
              <w:t>Revenues</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940.4</w:t>
            </w:r>
          </w:p>
        </w:tc>
        <w:tc>
          <w:tcPr>
            <w:tcW w:w="2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384.2</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125.7</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2"/>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1,450.3</w:t>
            </w:r>
          </w:p>
        </w:tc>
        <w:tc>
          <w:tcPr>
            <w:tcW w:w="2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399.0</w:t>
            </w:r>
          </w:p>
        </w:tc>
        <w:tc>
          <w:tcPr>
            <w:tcW w:w="2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1,849.3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6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Bad debts</w:t>
            </w:r>
          </w:p>
        </w:tc>
        <w:tc>
          <w:tcPr>
            <w:tcW w:w="380" w:type="dxa"/>
            <w:vAlign w:val="bottom"/>
            <w:shd w:val="clear" w:color="auto" w:fill="E6E6E6"/>
          </w:tcPr>
          <w:p>
            <w:pPr>
              <w:spacing w:after="0"/>
              <w:rPr>
                <w:sz w:val="17"/>
                <w:szCs w:val="17"/>
                <w:color w:val="auto"/>
              </w:rPr>
            </w:pPr>
          </w:p>
        </w:tc>
        <w:tc>
          <w:tcPr>
            <w:tcW w:w="102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10.0</w:t>
            </w:r>
          </w:p>
        </w:tc>
        <w:tc>
          <w:tcPr>
            <w:tcW w:w="240" w:type="dxa"/>
            <w:vAlign w:val="bottom"/>
            <w:shd w:val="clear" w:color="auto" w:fill="E6E6E6"/>
          </w:tcPr>
          <w:p>
            <w:pPr>
              <w:spacing w:after="0"/>
              <w:rPr>
                <w:sz w:val="17"/>
                <w:szCs w:val="17"/>
                <w:color w:val="auto"/>
              </w:rPr>
            </w:pPr>
          </w:p>
        </w:tc>
        <w:tc>
          <w:tcPr>
            <w:tcW w:w="100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1.6</w:t>
            </w:r>
          </w:p>
        </w:tc>
        <w:tc>
          <w:tcPr>
            <w:tcW w:w="180" w:type="dxa"/>
            <w:vAlign w:val="bottom"/>
            <w:shd w:val="clear" w:color="auto" w:fill="E6E6E6"/>
          </w:tcPr>
          <w:p>
            <w:pPr>
              <w:spacing w:after="0"/>
              <w:rPr>
                <w:sz w:val="17"/>
                <w:szCs w:val="17"/>
                <w:color w:val="auto"/>
              </w:rPr>
            </w:pPr>
          </w:p>
        </w:tc>
        <w:tc>
          <w:tcPr>
            <w:tcW w:w="104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0.3</w:t>
            </w:r>
          </w:p>
        </w:tc>
        <w:tc>
          <w:tcPr>
            <w:tcW w:w="200" w:type="dxa"/>
            <w:vAlign w:val="bottom"/>
            <w:shd w:val="clear" w:color="auto" w:fill="E6E6E6"/>
          </w:tcPr>
          <w:p>
            <w:pPr>
              <w:spacing w:after="0"/>
              <w:rPr>
                <w:sz w:val="17"/>
                <w:szCs w:val="17"/>
                <w:color w:val="auto"/>
              </w:rPr>
            </w:pPr>
          </w:p>
        </w:tc>
        <w:tc>
          <w:tcPr>
            <w:tcW w:w="1060" w:type="dxa"/>
            <w:vAlign w:val="bottom"/>
            <w:shd w:val="clear" w:color="auto" w:fill="E6E6E6"/>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E6E6E6"/>
          </w:tcPr>
          <w:p>
            <w:pPr>
              <w:spacing w:after="0"/>
              <w:rPr>
                <w:sz w:val="17"/>
                <w:szCs w:val="17"/>
                <w:color w:val="auto"/>
              </w:rPr>
            </w:pPr>
          </w:p>
        </w:tc>
        <w:tc>
          <w:tcPr>
            <w:tcW w:w="74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11.9</w:t>
            </w:r>
          </w:p>
        </w:tc>
        <w:tc>
          <w:tcPr>
            <w:tcW w:w="280" w:type="dxa"/>
            <w:vAlign w:val="bottom"/>
            <w:shd w:val="clear" w:color="auto" w:fill="E6E6E6"/>
          </w:tcPr>
          <w:p>
            <w:pPr>
              <w:spacing w:after="0"/>
              <w:rPr>
                <w:sz w:val="17"/>
                <w:szCs w:val="17"/>
                <w:color w:val="auto"/>
              </w:rPr>
            </w:pPr>
          </w:p>
        </w:tc>
        <w:tc>
          <w:tcPr>
            <w:tcW w:w="112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3.9</w:t>
            </w:r>
          </w:p>
        </w:tc>
        <w:tc>
          <w:tcPr>
            <w:tcW w:w="260" w:type="dxa"/>
            <w:vAlign w:val="bottom"/>
            <w:shd w:val="clear" w:color="auto" w:fill="E6E6E6"/>
          </w:tcPr>
          <w:p>
            <w:pPr>
              <w:spacing w:after="0"/>
              <w:rPr>
                <w:sz w:val="17"/>
                <w:szCs w:val="17"/>
                <w:color w:val="auto"/>
              </w:rPr>
            </w:pPr>
          </w:p>
        </w:tc>
        <w:tc>
          <w:tcPr>
            <w:tcW w:w="800" w:type="dxa"/>
            <w:vAlign w:val="bottom"/>
            <w:shd w:val="clear" w:color="auto" w:fill="E6E6E6"/>
          </w:tcPr>
          <w:p>
            <w:pPr>
              <w:jc w:val="right"/>
              <w:ind w:right="33"/>
              <w:spacing w:after="0" w:line="202" w:lineRule="exact"/>
              <w:rPr>
                <w:sz w:val="20"/>
                <w:szCs w:val="20"/>
                <w:color w:val="auto"/>
              </w:rPr>
            </w:pPr>
            <w:r>
              <w:rPr>
                <w:rFonts w:ascii="Arial" w:cs="Arial" w:eastAsia="Arial" w:hAnsi="Arial"/>
                <w:sz w:val="18"/>
                <w:szCs w:val="18"/>
                <w:color w:val="auto"/>
              </w:rPr>
              <w:t>15.8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880" w:type="dxa"/>
            <w:vAlign w:val="bottom"/>
            <w:gridSpan w:val="2"/>
          </w:tcPr>
          <w:p>
            <w:pPr>
              <w:spacing w:after="0" w:line="243" w:lineRule="exact"/>
              <w:rPr>
                <w:sz w:val="20"/>
                <w:szCs w:val="20"/>
                <w:color w:val="auto"/>
              </w:rPr>
            </w:pPr>
            <w:r>
              <w:rPr>
                <w:rFonts w:ascii="Arial" w:cs="Arial" w:eastAsia="Arial" w:hAnsi="Arial"/>
                <w:sz w:val="17"/>
                <w:szCs w:val="17"/>
                <w:color w:val="auto"/>
              </w:rPr>
              <w:t>Depreciation and amortization</w:t>
            </w:r>
            <w:r>
              <w:rPr>
                <w:rFonts w:ascii="Arial" w:cs="Arial" w:eastAsia="Arial" w:hAnsi="Arial"/>
                <w:sz w:val="28"/>
                <w:szCs w:val="28"/>
                <w:color w:val="auto"/>
                <w:vertAlign w:val="superscript"/>
              </w:rPr>
              <w:t>(3)</w:t>
            </w:r>
          </w:p>
        </w:tc>
        <w:tc>
          <w:tcPr>
            <w:tcW w:w="3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16.3</w:t>
            </w: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3.8</w:t>
            </w:r>
          </w:p>
        </w:tc>
        <w:tc>
          <w:tcPr>
            <w:tcW w:w="1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33.8</w:t>
            </w:r>
          </w:p>
        </w:tc>
        <w:tc>
          <w:tcPr>
            <w:tcW w:w="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54.9</w:t>
            </w:r>
          </w:p>
        </w:tc>
        <w:tc>
          <w:tcPr>
            <w:tcW w:w="2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5.8</w:t>
            </w:r>
          </w:p>
        </w:tc>
        <w:tc>
          <w:tcPr>
            <w:tcW w:w="260" w:type="dxa"/>
            <w:vAlign w:val="bottom"/>
          </w:tcPr>
          <w:p>
            <w:pPr>
              <w:spacing w:after="0"/>
              <w:rPr>
                <w:sz w:val="21"/>
                <w:szCs w:val="21"/>
                <w:color w:val="auto"/>
              </w:rPr>
            </w:pP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60.7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860" w:type="dxa"/>
            <w:vAlign w:val="bottom"/>
            <w:shd w:val="clear" w:color="auto" w:fill="E6E6E6"/>
          </w:tcPr>
          <w:p>
            <w:pPr>
              <w:spacing w:after="0" w:line="243" w:lineRule="exact"/>
              <w:rPr>
                <w:sz w:val="20"/>
                <w:szCs w:val="20"/>
                <w:color w:val="auto"/>
              </w:rPr>
            </w:pPr>
            <w:r>
              <w:rPr>
                <w:rFonts w:ascii="Arial" w:cs="Arial" w:eastAsia="Arial" w:hAnsi="Arial"/>
                <w:sz w:val="17"/>
                <w:szCs w:val="17"/>
                <w:color w:val="auto"/>
              </w:rPr>
              <w:t>Amortization</w:t>
            </w:r>
            <w:r>
              <w:rPr>
                <w:rFonts w:ascii="Arial" w:cs="Arial" w:eastAsia="Arial" w:hAnsi="Arial"/>
                <w:sz w:val="28"/>
                <w:szCs w:val="28"/>
                <w:color w:val="auto"/>
                <w:vertAlign w:val="superscript"/>
              </w:rPr>
              <w:t>(4)</w:t>
            </w:r>
          </w:p>
        </w:tc>
        <w:tc>
          <w:tcPr>
            <w:tcW w:w="380" w:type="dxa"/>
            <w:vAlign w:val="bottom"/>
            <w:shd w:val="clear" w:color="auto" w:fill="E6E6E6"/>
          </w:tcPr>
          <w:p>
            <w:pPr>
              <w:spacing w:after="0"/>
              <w:rPr>
                <w:sz w:val="21"/>
                <w:szCs w:val="21"/>
                <w:color w:val="auto"/>
              </w:rPr>
            </w:pPr>
          </w:p>
        </w:tc>
        <w:tc>
          <w:tcPr>
            <w:tcW w:w="10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12.3</w:t>
            </w:r>
          </w:p>
        </w:tc>
        <w:tc>
          <w:tcPr>
            <w:tcW w:w="240" w:type="dxa"/>
            <w:vAlign w:val="bottom"/>
            <w:shd w:val="clear" w:color="auto" w:fill="E6E6E6"/>
          </w:tcPr>
          <w:p>
            <w:pPr>
              <w:spacing w:after="0"/>
              <w:rPr>
                <w:sz w:val="21"/>
                <w:szCs w:val="21"/>
                <w:color w:val="auto"/>
              </w:rPr>
            </w:pPr>
          </w:p>
        </w:tc>
        <w:tc>
          <w:tcPr>
            <w:tcW w:w="10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22.5</w:t>
            </w:r>
          </w:p>
        </w:tc>
        <w:tc>
          <w:tcPr>
            <w:tcW w:w="180" w:type="dxa"/>
            <w:vAlign w:val="bottom"/>
            <w:shd w:val="clear" w:color="auto" w:fill="E6E6E6"/>
          </w:tcPr>
          <w:p>
            <w:pPr>
              <w:spacing w:after="0"/>
              <w:rPr>
                <w:sz w:val="21"/>
                <w:szCs w:val="21"/>
                <w:color w:val="auto"/>
              </w:rPr>
            </w:pPr>
          </w:p>
        </w:tc>
        <w:tc>
          <w:tcPr>
            <w:tcW w:w="1040" w:type="dxa"/>
            <w:vAlign w:val="bottom"/>
            <w:shd w:val="clear" w:color="auto" w:fill="E6E6E6"/>
          </w:tcPr>
          <w:p>
            <w:pPr>
              <w:jc w:val="right"/>
              <w:spacing w:after="0"/>
              <w:rPr>
                <w:sz w:val="20"/>
                <w:szCs w:val="20"/>
                <w:color w:val="auto"/>
              </w:rPr>
            </w:pPr>
            <w:r>
              <w:rPr>
                <w:rFonts w:ascii="Arial" w:cs="Arial" w:eastAsia="Arial" w:hAnsi="Arial"/>
                <w:sz w:val="18"/>
                <w:szCs w:val="18"/>
                <w:color w:val="auto"/>
              </w:rPr>
              <w:t>7.9</w:t>
            </w:r>
          </w:p>
        </w:tc>
        <w:tc>
          <w:tcPr>
            <w:tcW w:w="200" w:type="dxa"/>
            <w:vAlign w:val="bottom"/>
            <w:shd w:val="clear" w:color="auto" w:fill="E6E6E6"/>
          </w:tcPr>
          <w:p>
            <w:pPr>
              <w:spacing w:after="0"/>
              <w:rPr>
                <w:sz w:val="21"/>
                <w:szCs w:val="21"/>
                <w:color w:val="auto"/>
              </w:rPr>
            </w:pPr>
          </w:p>
        </w:tc>
        <w:tc>
          <w:tcPr>
            <w:tcW w:w="1060" w:type="dxa"/>
            <w:vAlign w:val="bottom"/>
            <w:shd w:val="clear" w:color="auto" w:fill="E6E6E6"/>
          </w:tcPr>
          <w:p>
            <w:pPr>
              <w:jc w:val="right"/>
              <w:ind w:right="13"/>
              <w:spacing w:after="0"/>
              <w:rPr>
                <w:sz w:val="20"/>
                <w:szCs w:val="20"/>
                <w:color w:val="auto"/>
              </w:rPr>
            </w:pPr>
            <w:r>
              <w:rPr>
                <w:rFonts w:ascii="Arial" w:cs="Arial" w:eastAsia="Arial" w:hAnsi="Arial"/>
                <w:sz w:val="18"/>
                <w:szCs w:val="18"/>
                <w:color w:val="auto"/>
              </w:rPr>
              <w:t>—</w:t>
            </w:r>
          </w:p>
        </w:tc>
        <w:tc>
          <w:tcPr>
            <w:tcW w:w="220" w:type="dxa"/>
            <w:vAlign w:val="bottom"/>
            <w:shd w:val="clear" w:color="auto" w:fill="E6E6E6"/>
          </w:tcPr>
          <w:p>
            <w:pPr>
              <w:spacing w:after="0"/>
              <w:rPr>
                <w:sz w:val="21"/>
                <w:szCs w:val="21"/>
                <w:color w:val="auto"/>
              </w:rPr>
            </w:pPr>
          </w:p>
        </w:tc>
        <w:tc>
          <w:tcPr>
            <w:tcW w:w="740" w:type="dxa"/>
            <w:vAlign w:val="bottom"/>
            <w:shd w:val="clear" w:color="auto" w:fill="E6E6E6"/>
          </w:tcPr>
          <w:p>
            <w:pPr>
              <w:jc w:val="right"/>
              <w:spacing w:after="0"/>
              <w:rPr>
                <w:sz w:val="20"/>
                <w:szCs w:val="20"/>
                <w:color w:val="auto"/>
              </w:rPr>
            </w:pPr>
            <w:r>
              <w:rPr>
                <w:rFonts w:ascii="Arial" w:cs="Arial" w:eastAsia="Arial" w:hAnsi="Arial"/>
                <w:sz w:val="18"/>
                <w:szCs w:val="18"/>
                <w:color w:val="auto"/>
              </w:rPr>
              <w:t>42.7</w:t>
            </w:r>
          </w:p>
        </w:tc>
        <w:tc>
          <w:tcPr>
            <w:tcW w:w="280" w:type="dxa"/>
            <w:vAlign w:val="bottom"/>
            <w:shd w:val="clear" w:color="auto" w:fill="E6E6E6"/>
          </w:tcPr>
          <w:p>
            <w:pPr>
              <w:spacing w:after="0"/>
              <w:rPr>
                <w:sz w:val="21"/>
                <w:szCs w:val="21"/>
                <w:color w:val="auto"/>
              </w:rPr>
            </w:pPr>
          </w:p>
        </w:tc>
        <w:tc>
          <w:tcPr>
            <w:tcW w:w="11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2.1</w:t>
            </w:r>
          </w:p>
        </w:tc>
        <w:tc>
          <w:tcPr>
            <w:tcW w:w="260" w:type="dxa"/>
            <w:vAlign w:val="bottom"/>
            <w:shd w:val="clear" w:color="auto" w:fill="E6E6E6"/>
          </w:tcPr>
          <w:p>
            <w:pPr>
              <w:spacing w:after="0"/>
              <w:rPr>
                <w:sz w:val="21"/>
                <w:szCs w:val="21"/>
                <w:color w:val="auto"/>
              </w:rPr>
            </w:pPr>
          </w:p>
        </w:tc>
        <w:tc>
          <w:tcPr>
            <w:tcW w:w="800" w:type="dxa"/>
            <w:vAlign w:val="bottom"/>
            <w:shd w:val="clear" w:color="auto" w:fill="E6E6E6"/>
          </w:tcPr>
          <w:p>
            <w:pPr>
              <w:jc w:val="right"/>
              <w:ind w:right="33"/>
              <w:spacing w:after="0"/>
              <w:rPr>
                <w:sz w:val="20"/>
                <w:szCs w:val="20"/>
                <w:color w:val="auto"/>
              </w:rPr>
            </w:pPr>
            <w:r>
              <w:rPr>
                <w:rFonts w:ascii="Arial" w:cs="Arial" w:eastAsia="Arial" w:hAnsi="Arial"/>
                <w:sz w:val="18"/>
                <w:szCs w:val="18"/>
                <w:color w:val="auto"/>
              </w:rPr>
              <w:t>44.8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2880" w:type="dxa"/>
            <w:vAlign w:val="bottom"/>
            <w:gridSpan w:val="2"/>
          </w:tcPr>
          <w:p>
            <w:pPr>
              <w:spacing w:after="0" w:line="202" w:lineRule="exact"/>
              <w:rPr>
                <w:sz w:val="20"/>
                <w:szCs w:val="20"/>
                <w:color w:val="auto"/>
              </w:rPr>
            </w:pPr>
            <w:r>
              <w:rPr>
                <w:rFonts w:ascii="Arial" w:cs="Arial" w:eastAsia="Arial" w:hAnsi="Arial"/>
                <w:sz w:val="18"/>
                <w:szCs w:val="18"/>
                <w:color w:val="auto"/>
              </w:rPr>
              <w:t>Asset Impairments</w:t>
            </w:r>
          </w:p>
        </w:tc>
        <w:tc>
          <w:tcPr>
            <w:tcW w:w="38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0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17.0</w:t>
            </w:r>
          </w:p>
        </w:tc>
        <w:tc>
          <w:tcPr>
            <w:tcW w:w="260" w:type="dxa"/>
            <w:vAlign w:val="bottom"/>
          </w:tcPr>
          <w:p>
            <w:pPr>
              <w:spacing w:after="0"/>
              <w:rPr>
                <w:sz w:val="17"/>
                <w:szCs w:val="17"/>
                <w:color w:val="auto"/>
              </w:rPr>
            </w:pPr>
          </w:p>
        </w:tc>
        <w:tc>
          <w:tcPr>
            <w:tcW w:w="800" w:type="dxa"/>
            <w:vAlign w:val="bottom"/>
          </w:tcPr>
          <w:p>
            <w:pPr>
              <w:jc w:val="right"/>
              <w:ind w:right="33"/>
              <w:spacing w:after="0" w:line="202" w:lineRule="exact"/>
              <w:rPr>
                <w:sz w:val="20"/>
                <w:szCs w:val="20"/>
                <w:color w:val="auto"/>
              </w:rPr>
            </w:pPr>
            <w:r>
              <w:rPr>
                <w:rFonts w:ascii="Arial" w:cs="Arial" w:eastAsia="Arial" w:hAnsi="Arial"/>
                <w:sz w:val="18"/>
                <w:szCs w:val="18"/>
                <w:color w:val="auto"/>
              </w:rPr>
              <w:t>17.0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6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Royalty advances expensed</w:t>
            </w:r>
          </w:p>
        </w:tc>
        <w:tc>
          <w:tcPr>
            <w:tcW w:w="380" w:type="dxa"/>
            <w:vAlign w:val="bottom"/>
            <w:shd w:val="clear" w:color="auto" w:fill="E6E6E6"/>
          </w:tcPr>
          <w:p>
            <w:pPr>
              <w:spacing w:after="0"/>
              <w:rPr>
                <w:sz w:val="17"/>
                <w:szCs w:val="17"/>
                <w:color w:val="auto"/>
              </w:rPr>
            </w:pPr>
          </w:p>
        </w:tc>
        <w:tc>
          <w:tcPr>
            <w:tcW w:w="102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26.3</w:t>
            </w:r>
          </w:p>
        </w:tc>
        <w:tc>
          <w:tcPr>
            <w:tcW w:w="240" w:type="dxa"/>
            <w:vAlign w:val="bottom"/>
            <w:shd w:val="clear" w:color="auto" w:fill="E6E6E6"/>
          </w:tcPr>
          <w:p>
            <w:pPr>
              <w:spacing w:after="0"/>
              <w:rPr>
                <w:sz w:val="17"/>
                <w:szCs w:val="17"/>
                <w:color w:val="auto"/>
              </w:rPr>
            </w:pPr>
          </w:p>
        </w:tc>
        <w:tc>
          <w:tcPr>
            <w:tcW w:w="100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1.7</w:t>
            </w:r>
          </w:p>
        </w:tc>
        <w:tc>
          <w:tcPr>
            <w:tcW w:w="180" w:type="dxa"/>
            <w:vAlign w:val="bottom"/>
            <w:shd w:val="clear" w:color="auto" w:fill="E6E6E6"/>
          </w:tcPr>
          <w:p>
            <w:pPr>
              <w:spacing w:after="0"/>
              <w:rPr>
                <w:sz w:val="17"/>
                <w:szCs w:val="17"/>
                <w:color w:val="auto"/>
              </w:rPr>
            </w:pPr>
          </w:p>
        </w:tc>
        <w:tc>
          <w:tcPr>
            <w:tcW w:w="104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0.6</w:t>
            </w:r>
          </w:p>
        </w:tc>
        <w:tc>
          <w:tcPr>
            <w:tcW w:w="200" w:type="dxa"/>
            <w:vAlign w:val="bottom"/>
            <w:shd w:val="clear" w:color="auto" w:fill="E6E6E6"/>
          </w:tcPr>
          <w:p>
            <w:pPr>
              <w:spacing w:after="0"/>
              <w:rPr>
                <w:sz w:val="17"/>
                <w:szCs w:val="17"/>
                <w:color w:val="auto"/>
              </w:rPr>
            </w:pPr>
          </w:p>
        </w:tc>
        <w:tc>
          <w:tcPr>
            <w:tcW w:w="1060" w:type="dxa"/>
            <w:vAlign w:val="bottom"/>
            <w:shd w:val="clear" w:color="auto" w:fill="E6E6E6"/>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E6E6E6"/>
          </w:tcPr>
          <w:p>
            <w:pPr>
              <w:spacing w:after="0"/>
              <w:rPr>
                <w:sz w:val="17"/>
                <w:szCs w:val="17"/>
                <w:color w:val="auto"/>
              </w:rPr>
            </w:pPr>
          </w:p>
        </w:tc>
        <w:tc>
          <w:tcPr>
            <w:tcW w:w="74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28.6</w:t>
            </w:r>
          </w:p>
        </w:tc>
        <w:tc>
          <w:tcPr>
            <w:tcW w:w="280" w:type="dxa"/>
            <w:vAlign w:val="bottom"/>
            <w:shd w:val="clear" w:color="auto" w:fill="E6E6E6"/>
          </w:tcPr>
          <w:p>
            <w:pPr>
              <w:spacing w:after="0"/>
              <w:rPr>
                <w:sz w:val="17"/>
                <w:szCs w:val="17"/>
                <w:color w:val="auto"/>
              </w:rPr>
            </w:pPr>
          </w:p>
        </w:tc>
        <w:tc>
          <w:tcPr>
            <w:tcW w:w="112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3.6</w:t>
            </w:r>
          </w:p>
        </w:tc>
        <w:tc>
          <w:tcPr>
            <w:tcW w:w="260" w:type="dxa"/>
            <w:vAlign w:val="bottom"/>
            <w:shd w:val="clear" w:color="auto" w:fill="E6E6E6"/>
          </w:tcPr>
          <w:p>
            <w:pPr>
              <w:spacing w:after="0"/>
              <w:rPr>
                <w:sz w:val="17"/>
                <w:szCs w:val="17"/>
                <w:color w:val="auto"/>
              </w:rPr>
            </w:pPr>
          </w:p>
        </w:tc>
        <w:tc>
          <w:tcPr>
            <w:tcW w:w="800" w:type="dxa"/>
            <w:vAlign w:val="bottom"/>
            <w:shd w:val="clear" w:color="auto" w:fill="E6E6E6"/>
          </w:tcPr>
          <w:p>
            <w:pPr>
              <w:jc w:val="right"/>
              <w:ind w:right="33"/>
              <w:spacing w:after="0" w:line="202" w:lineRule="exact"/>
              <w:rPr>
                <w:sz w:val="20"/>
                <w:szCs w:val="20"/>
                <w:color w:val="auto"/>
              </w:rPr>
            </w:pPr>
            <w:r>
              <w:rPr>
                <w:rFonts w:ascii="Arial" w:cs="Arial" w:eastAsia="Arial" w:hAnsi="Arial"/>
                <w:sz w:val="18"/>
                <w:szCs w:val="18"/>
                <w:color w:val="auto"/>
              </w:rPr>
              <w:t>32.2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80" w:type="dxa"/>
            <w:vAlign w:val="bottom"/>
            <w:gridSpan w:val="2"/>
          </w:tcPr>
          <w:p>
            <w:pPr>
              <w:spacing w:after="0" w:line="202" w:lineRule="exact"/>
              <w:rPr>
                <w:sz w:val="20"/>
                <w:szCs w:val="20"/>
                <w:color w:val="auto"/>
              </w:rPr>
            </w:pPr>
            <w:r>
              <w:rPr>
                <w:rFonts w:ascii="Arial" w:cs="Arial" w:eastAsia="Arial" w:hAnsi="Arial"/>
                <w:sz w:val="18"/>
                <w:szCs w:val="18"/>
                <w:color w:val="auto"/>
              </w:rPr>
              <w:t>Segment operating income/(loss)</w:t>
            </w:r>
          </w:p>
        </w:tc>
        <w:tc>
          <w:tcPr>
            <w:tcW w:w="38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101.8</w:t>
            </w:r>
          </w:p>
        </w:tc>
        <w:tc>
          <w:tcPr>
            <w:tcW w:w="24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55.8</w:t>
            </w:r>
          </w:p>
        </w:tc>
        <w:tc>
          <w:tcPr>
            <w:tcW w:w="18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(94.5)</w:t>
            </w:r>
          </w:p>
        </w:tc>
        <w:tc>
          <w:tcPr>
            <w:tcW w:w="22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63.1</w:t>
            </w:r>
          </w:p>
        </w:tc>
        <w:tc>
          <w:tcPr>
            <w:tcW w:w="28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7.3</w:t>
            </w:r>
          </w:p>
        </w:tc>
        <w:tc>
          <w:tcPr>
            <w:tcW w:w="260" w:type="dxa"/>
            <w:vAlign w:val="bottom"/>
          </w:tcPr>
          <w:p>
            <w:pPr>
              <w:spacing w:after="0"/>
              <w:rPr>
                <w:sz w:val="17"/>
                <w:szCs w:val="17"/>
                <w:color w:val="auto"/>
              </w:rPr>
            </w:pPr>
          </w:p>
        </w:tc>
        <w:tc>
          <w:tcPr>
            <w:tcW w:w="800" w:type="dxa"/>
            <w:vAlign w:val="bottom"/>
          </w:tcPr>
          <w:p>
            <w:pPr>
              <w:jc w:val="right"/>
              <w:ind w:right="33"/>
              <w:spacing w:after="0" w:line="202" w:lineRule="exact"/>
              <w:rPr>
                <w:sz w:val="20"/>
                <w:szCs w:val="20"/>
                <w:color w:val="auto"/>
              </w:rPr>
            </w:pPr>
            <w:r>
              <w:rPr>
                <w:rFonts w:ascii="Arial" w:cs="Arial" w:eastAsia="Arial" w:hAnsi="Arial"/>
                <w:sz w:val="18"/>
                <w:szCs w:val="18"/>
                <w:color w:val="auto"/>
              </w:rPr>
              <w:t>70.4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6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Segment assets</w:t>
            </w:r>
          </w:p>
        </w:tc>
        <w:tc>
          <w:tcPr>
            <w:tcW w:w="380" w:type="dxa"/>
            <w:vAlign w:val="bottom"/>
            <w:shd w:val="clear" w:color="auto" w:fill="E6E6E6"/>
          </w:tcPr>
          <w:p>
            <w:pPr>
              <w:spacing w:after="0"/>
              <w:rPr>
                <w:sz w:val="17"/>
                <w:szCs w:val="17"/>
                <w:color w:val="auto"/>
              </w:rPr>
            </w:pPr>
          </w:p>
        </w:tc>
        <w:tc>
          <w:tcPr>
            <w:tcW w:w="102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560.7</w:t>
            </w:r>
          </w:p>
        </w:tc>
        <w:tc>
          <w:tcPr>
            <w:tcW w:w="240" w:type="dxa"/>
            <w:vAlign w:val="bottom"/>
            <w:shd w:val="clear" w:color="auto" w:fill="E6E6E6"/>
          </w:tcPr>
          <w:p>
            <w:pPr>
              <w:spacing w:after="0"/>
              <w:rPr>
                <w:sz w:val="17"/>
                <w:szCs w:val="17"/>
                <w:color w:val="auto"/>
              </w:rPr>
            </w:pPr>
          </w:p>
        </w:tc>
        <w:tc>
          <w:tcPr>
            <w:tcW w:w="100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331.2</w:t>
            </w:r>
          </w:p>
        </w:tc>
        <w:tc>
          <w:tcPr>
            <w:tcW w:w="180" w:type="dxa"/>
            <w:vAlign w:val="bottom"/>
            <w:shd w:val="clear" w:color="auto" w:fill="E6E6E6"/>
          </w:tcPr>
          <w:p>
            <w:pPr>
              <w:spacing w:after="0"/>
              <w:rPr>
                <w:sz w:val="17"/>
                <w:szCs w:val="17"/>
                <w:color w:val="auto"/>
              </w:rPr>
            </w:pPr>
          </w:p>
        </w:tc>
        <w:tc>
          <w:tcPr>
            <w:tcW w:w="104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59.4</w:t>
            </w:r>
          </w:p>
        </w:tc>
        <w:tc>
          <w:tcPr>
            <w:tcW w:w="200" w:type="dxa"/>
            <w:vAlign w:val="bottom"/>
            <w:shd w:val="clear" w:color="auto" w:fill="E6E6E6"/>
          </w:tcPr>
          <w:p>
            <w:pPr>
              <w:spacing w:after="0"/>
              <w:rPr>
                <w:sz w:val="17"/>
                <w:szCs w:val="17"/>
                <w:color w:val="auto"/>
              </w:rPr>
            </w:pPr>
          </w:p>
        </w:tc>
        <w:tc>
          <w:tcPr>
            <w:tcW w:w="1060" w:type="dxa"/>
            <w:vAlign w:val="bottom"/>
            <w:shd w:val="clear" w:color="auto" w:fill="E6E6E6"/>
          </w:tcPr>
          <w:p>
            <w:pPr>
              <w:jc w:val="right"/>
              <w:ind w:right="13"/>
              <w:spacing w:after="0" w:line="202" w:lineRule="exact"/>
              <w:rPr>
                <w:sz w:val="20"/>
                <w:szCs w:val="20"/>
                <w:color w:val="auto"/>
              </w:rPr>
            </w:pPr>
            <w:r>
              <w:rPr>
                <w:rFonts w:ascii="Arial" w:cs="Arial" w:eastAsia="Arial" w:hAnsi="Arial"/>
                <w:sz w:val="18"/>
                <w:szCs w:val="18"/>
                <w:color w:val="auto"/>
              </w:rPr>
              <w:t>373.6</w:t>
            </w:r>
          </w:p>
        </w:tc>
        <w:tc>
          <w:tcPr>
            <w:tcW w:w="220" w:type="dxa"/>
            <w:vAlign w:val="bottom"/>
            <w:shd w:val="clear" w:color="auto" w:fill="E6E6E6"/>
          </w:tcPr>
          <w:p>
            <w:pPr>
              <w:spacing w:after="0"/>
              <w:rPr>
                <w:sz w:val="17"/>
                <w:szCs w:val="17"/>
                <w:color w:val="auto"/>
              </w:rPr>
            </w:pPr>
          </w:p>
        </w:tc>
        <w:tc>
          <w:tcPr>
            <w:tcW w:w="74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1,324.9</w:t>
            </w:r>
          </w:p>
        </w:tc>
        <w:tc>
          <w:tcPr>
            <w:tcW w:w="280" w:type="dxa"/>
            <w:vAlign w:val="bottom"/>
            <w:shd w:val="clear" w:color="auto" w:fill="E6E6E6"/>
          </w:tcPr>
          <w:p>
            <w:pPr>
              <w:spacing w:after="0"/>
              <w:rPr>
                <w:sz w:val="17"/>
                <w:szCs w:val="17"/>
                <w:color w:val="auto"/>
              </w:rPr>
            </w:pPr>
          </w:p>
        </w:tc>
        <w:tc>
          <w:tcPr>
            <w:tcW w:w="112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252.9</w:t>
            </w:r>
          </w:p>
        </w:tc>
        <w:tc>
          <w:tcPr>
            <w:tcW w:w="260" w:type="dxa"/>
            <w:vAlign w:val="bottom"/>
            <w:shd w:val="clear" w:color="auto" w:fill="E6E6E6"/>
          </w:tcPr>
          <w:p>
            <w:pPr>
              <w:spacing w:after="0"/>
              <w:rPr>
                <w:sz w:val="17"/>
                <w:szCs w:val="17"/>
                <w:color w:val="auto"/>
              </w:rPr>
            </w:pPr>
          </w:p>
        </w:tc>
        <w:tc>
          <w:tcPr>
            <w:tcW w:w="800" w:type="dxa"/>
            <w:vAlign w:val="bottom"/>
            <w:shd w:val="clear" w:color="auto" w:fill="E6E6E6"/>
          </w:tcPr>
          <w:p>
            <w:pPr>
              <w:jc w:val="right"/>
              <w:ind w:right="33"/>
              <w:spacing w:after="0" w:line="202" w:lineRule="exact"/>
              <w:rPr>
                <w:sz w:val="20"/>
                <w:szCs w:val="20"/>
                <w:color w:val="auto"/>
              </w:rPr>
            </w:pPr>
            <w:r>
              <w:rPr>
                <w:rFonts w:ascii="Arial" w:cs="Arial" w:eastAsia="Arial" w:hAnsi="Arial"/>
                <w:sz w:val="18"/>
                <w:szCs w:val="18"/>
                <w:color w:val="auto"/>
              </w:rPr>
              <w:t>1,577.8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80" w:type="dxa"/>
            <w:vAlign w:val="bottom"/>
            <w:gridSpan w:val="2"/>
          </w:tcPr>
          <w:p>
            <w:pPr>
              <w:spacing w:after="0" w:line="202" w:lineRule="exact"/>
              <w:rPr>
                <w:sz w:val="20"/>
                <w:szCs w:val="20"/>
                <w:color w:val="auto"/>
              </w:rPr>
            </w:pPr>
            <w:r>
              <w:rPr>
                <w:rFonts w:ascii="Arial" w:cs="Arial" w:eastAsia="Arial" w:hAnsi="Arial"/>
                <w:sz w:val="18"/>
                <w:szCs w:val="18"/>
                <w:color w:val="auto"/>
              </w:rPr>
              <w:t>Goodwill</w:t>
            </w:r>
          </w:p>
        </w:tc>
        <w:tc>
          <w:tcPr>
            <w:tcW w:w="38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54.3</w:t>
            </w:r>
          </w:p>
        </w:tc>
        <w:tc>
          <w:tcPr>
            <w:tcW w:w="24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88.4</w:t>
            </w:r>
          </w:p>
        </w:tc>
        <w:tc>
          <w:tcPr>
            <w:tcW w:w="18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5.8</w:t>
            </w:r>
          </w:p>
        </w:tc>
        <w:tc>
          <w:tcPr>
            <w:tcW w:w="200" w:type="dxa"/>
            <w:vAlign w:val="bottom"/>
          </w:tcPr>
          <w:p>
            <w:pPr>
              <w:spacing w:after="0"/>
              <w:rPr>
                <w:sz w:val="17"/>
                <w:szCs w:val="17"/>
                <w:color w:val="auto"/>
              </w:rPr>
            </w:pPr>
          </w:p>
        </w:tc>
        <w:tc>
          <w:tcPr>
            <w:tcW w:w="10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148.5</w:t>
            </w:r>
          </w:p>
        </w:tc>
        <w:tc>
          <w:tcPr>
            <w:tcW w:w="28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8.5</w:t>
            </w:r>
          </w:p>
        </w:tc>
        <w:tc>
          <w:tcPr>
            <w:tcW w:w="260" w:type="dxa"/>
            <w:vAlign w:val="bottom"/>
          </w:tcPr>
          <w:p>
            <w:pPr>
              <w:spacing w:after="0"/>
              <w:rPr>
                <w:sz w:val="17"/>
                <w:szCs w:val="17"/>
                <w:color w:val="auto"/>
              </w:rPr>
            </w:pPr>
          </w:p>
        </w:tc>
        <w:tc>
          <w:tcPr>
            <w:tcW w:w="800" w:type="dxa"/>
            <w:vAlign w:val="bottom"/>
          </w:tcPr>
          <w:p>
            <w:pPr>
              <w:jc w:val="right"/>
              <w:ind w:right="33"/>
              <w:spacing w:after="0" w:line="202" w:lineRule="exact"/>
              <w:rPr>
                <w:sz w:val="20"/>
                <w:szCs w:val="20"/>
                <w:color w:val="auto"/>
              </w:rPr>
            </w:pPr>
            <w:r>
              <w:rPr>
                <w:rFonts w:ascii="Arial" w:cs="Arial" w:eastAsia="Arial" w:hAnsi="Arial"/>
                <w:sz w:val="18"/>
                <w:szCs w:val="18"/>
                <w:color w:val="auto"/>
              </w:rPr>
              <w:t>157.0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6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Expenditures for long-lived assets</w:t>
            </w:r>
          </w:p>
        </w:tc>
        <w:tc>
          <w:tcPr>
            <w:tcW w:w="380" w:type="dxa"/>
            <w:vAlign w:val="bottom"/>
            <w:shd w:val="clear" w:color="auto" w:fill="E6E6E6"/>
          </w:tcPr>
          <w:p>
            <w:pPr>
              <w:spacing w:after="0"/>
              <w:rPr>
                <w:sz w:val="17"/>
                <w:szCs w:val="17"/>
                <w:color w:val="auto"/>
              </w:rPr>
            </w:pPr>
          </w:p>
        </w:tc>
        <w:tc>
          <w:tcPr>
            <w:tcW w:w="102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48.5</w:t>
            </w:r>
          </w:p>
        </w:tc>
        <w:tc>
          <w:tcPr>
            <w:tcW w:w="240" w:type="dxa"/>
            <w:vAlign w:val="bottom"/>
            <w:shd w:val="clear" w:color="auto" w:fill="E6E6E6"/>
          </w:tcPr>
          <w:p>
            <w:pPr>
              <w:spacing w:after="0"/>
              <w:rPr>
                <w:sz w:val="17"/>
                <w:szCs w:val="17"/>
                <w:color w:val="auto"/>
              </w:rPr>
            </w:pPr>
          </w:p>
        </w:tc>
        <w:tc>
          <w:tcPr>
            <w:tcW w:w="100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37.7</w:t>
            </w:r>
          </w:p>
        </w:tc>
        <w:tc>
          <w:tcPr>
            <w:tcW w:w="180" w:type="dxa"/>
            <w:vAlign w:val="bottom"/>
            <w:shd w:val="clear" w:color="auto" w:fill="E6E6E6"/>
          </w:tcPr>
          <w:p>
            <w:pPr>
              <w:spacing w:after="0"/>
              <w:rPr>
                <w:sz w:val="17"/>
                <w:szCs w:val="17"/>
                <w:color w:val="auto"/>
              </w:rPr>
            </w:pPr>
          </w:p>
        </w:tc>
        <w:tc>
          <w:tcPr>
            <w:tcW w:w="104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12.3</w:t>
            </w:r>
          </w:p>
        </w:tc>
        <w:tc>
          <w:tcPr>
            <w:tcW w:w="200" w:type="dxa"/>
            <w:vAlign w:val="bottom"/>
            <w:shd w:val="clear" w:color="auto" w:fill="E6E6E6"/>
          </w:tcPr>
          <w:p>
            <w:pPr>
              <w:spacing w:after="0"/>
              <w:rPr>
                <w:sz w:val="17"/>
                <w:szCs w:val="17"/>
                <w:color w:val="auto"/>
              </w:rPr>
            </w:pPr>
          </w:p>
        </w:tc>
        <w:tc>
          <w:tcPr>
            <w:tcW w:w="1060" w:type="dxa"/>
            <w:vAlign w:val="bottom"/>
            <w:shd w:val="clear" w:color="auto" w:fill="E6E6E6"/>
          </w:tcPr>
          <w:p>
            <w:pPr>
              <w:jc w:val="right"/>
              <w:ind w:right="13"/>
              <w:spacing w:after="0" w:line="202" w:lineRule="exact"/>
              <w:rPr>
                <w:sz w:val="20"/>
                <w:szCs w:val="20"/>
                <w:color w:val="auto"/>
              </w:rPr>
            </w:pPr>
            <w:r>
              <w:rPr>
                <w:rFonts w:ascii="Arial" w:cs="Arial" w:eastAsia="Arial" w:hAnsi="Arial"/>
                <w:sz w:val="18"/>
                <w:szCs w:val="18"/>
                <w:color w:val="auto"/>
              </w:rPr>
              <w:t>25.0</w:t>
            </w:r>
          </w:p>
        </w:tc>
        <w:tc>
          <w:tcPr>
            <w:tcW w:w="220" w:type="dxa"/>
            <w:vAlign w:val="bottom"/>
            <w:shd w:val="clear" w:color="auto" w:fill="E6E6E6"/>
          </w:tcPr>
          <w:p>
            <w:pPr>
              <w:spacing w:after="0"/>
              <w:rPr>
                <w:sz w:val="17"/>
                <w:szCs w:val="17"/>
                <w:color w:val="auto"/>
              </w:rPr>
            </w:pPr>
          </w:p>
        </w:tc>
        <w:tc>
          <w:tcPr>
            <w:tcW w:w="74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123.5</w:t>
            </w:r>
          </w:p>
        </w:tc>
        <w:tc>
          <w:tcPr>
            <w:tcW w:w="280" w:type="dxa"/>
            <w:vAlign w:val="bottom"/>
            <w:shd w:val="clear" w:color="auto" w:fill="E6E6E6"/>
          </w:tcPr>
          <w:p>
            <w:pPr>
              <w:spacing w:after="0"/>
              <w:rPr>
                <w:sz w:val="17"/>
                <w:szCs w:val="17"/>
                <w:color w:val="auto"/>
              </w:rPr>
            </w:pPr>
          </w:p>
        </w:tc>
        <w:tc>
          <w:tcPr>
            <w:tcW w:w="112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10.0</w:t>
            </w:r>
          </w:p>
        </w:tc>
        <w:tc>
          <w:tcPr>
            <w:tcW w:w="260" w:type="dxa"/>
            <w:vAlign w:val="bottom"/>
            <w:shd w:val="clear" w:color="auto" w:fill="E6E6E6"/>
          </w:tcPr>
          <w:p>
            <w:pPr>
              <w:spacing w:after="0"/>
              <w:rPr>
                <w:sz w:val="17"/>
                <w:szCs w:val="17"/>
                <w:color w:val="auto"/>
              </w:rPr>
            </w:pPr>
          </w:p>
        </w:tc>
        <w:tc>
          <w:tcPr>
            <w:tcW w:w="800" w:type="dxa"/>
            <w:vAlign w:val="bottom"/>
            <w:shd w:val="clear" w:color="auto" w:fill="E6E6E6"/>
          </w:tcPr>
          <w:p>
            <w:pPr>
              <w:jc w:val="right"/>
              <w:ind w:right="33"/>
              <w:spacing w:after="0" w:line="202" w:lineRule="exact"/>
              <w:rPr>
                <w:sz w:val="20"/>
                <w:szCs w:val="20"/>
                <w:color w:val="auto"/>
              </w:rPr>
            </w:pPr>
            <w:r>
              <w:rPr>
                <w:rFonts w:ascii="Arial" w:cs="Arial" w:eastAsia="Arial" w:hAnsi="Arial"/>
                <w:sz w:val="18"/>
                <w:szCs w:val="18"/>
                <w:color w:val="auto"/>
              </w:rPr>
              <w:t>133.5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880" w:type="dxa"/>
            <w:vAlign w:val="bottom"/>
            <w:gridSpan w:val="2"/>
          </w:tcPr>
          <w:p>
            <w:pPr>
              <w:spacing w:after="0"/>
              <w:rPr>
                <w:sz w:val="20"/>
                <w:szCs w:val="20"/>
                <w:color w:val="auto"/>
              </w:rPr>
            </w:pPr>
            <w:r>
              <w:rPr>
                <w:rFonts w:ascii="Arial" w:cs="Arial" w:eastAsia="Arial" w:hAnsi="Arial"/>
                <w:sz w:val="18"/>
                <w:szCs w:val="18"/>
                <w:color w:val="auto"/>
              </w:rPr>
              <w:t>Long-lived assets</w:t>
            </w:r>
          </w:p>
        </w:tc>
        <w:tc>
          <w:tcPr>
            <w:tcW w:w="3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186.9</w:t>
            </w: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206.3</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27.2</w:t>
            </w:r>
          </w:p>
        </w:tc>
        <w:tc>
          <w:tcPr>
            <w:tcW w:w="200" w:type="dxa"/>
            <w:vAlign w:val="bottom"/>
          </w:tcPr>
          <w:p>
            <w:pPr>
              <w:spacing w:after="0"/>
              <w:rPr>
                <w:sz w:val="18"/>
                <w:szCs w:val="18"/>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221.9</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642.3</w:t>
            </w: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73.0</w:t>
            </w:r>
          </w:p>
        </w:tc>
        <w:tc>
          <w:tcPr>
            <w:tcW w:w="260" w:type="dxa"/>
            <w:vAlign w:val="bottom"/>
          </w:tcPr>
          <w:p>
            <w:pPr>
              <w:spacing w:after="0"/>
              <w:rPr>
                <w:sz w:val="18"/>
                <w:szCs w:val="18"/>
                <w:color w:val="auto"/>
              </w:rPr>
            </w:pP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715.3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7"/>
        </w:trPr>
        <w:tc>
          <w:tcPr>
            <w:tcW w:w="2880" w:type="dxa"/>
            <w:vAlign w:val="bottom"/>
            <w:tcBorders>
              <w:bottom w:val="single" w:sz="8" w:color="808080"/>
            </w:tcBorders>
            <w:gridSpan w:val="2"/>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12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8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60" w:type="dxa"/>
            <w:vAlign w:val="bottom"/>
            <w:shd w:val="clear" w:color="auto" w:fill="E6E6E6"/>
          </w:tcPr>
          <w:p>
            <w:pPr>
              <w:spacing w:after="0"/>
              <w:rPr>
                <w:sz w:val="20"/>
                <w:szCs w:val="20"/>
                <w:color w:val="auto"/>
              </w:rPr>
            </w:pPr>
            <w:r>
              <w:rPr>
                <w:rFonts w:ascii="Arial" w:cs="Arial" w:eastAsia="Arial" w:hAnsi="Arial"/>
                <w:sz w:val="18"/>
                <w:szCs w:val="18"/>
                <w:b w:val="1"/>
                <w:bCs w:val="1"/>
                <w:color w:val="auto"/>
              </w:rPr>
              <w:t>2008</w:t>
            </w:r>
          </w:p>
        </w:tc>
        <w:tc>
          <w:tcPr>
            <w:tcW w:w="380" w:type="dxa"/>
            <w:vAlign w:val="bottom"/>
            <w:shd w:val="clear" w:color="auto" w:fill="E6E6E6"/>
          </w:tcPr>
          <w:p>
            <w:pPr>
              <w:spacing w:after="0"/>
              <w:rPr>
                <w:sz w:val="18"/>
                <w:szCs w:val="18"/>
                <w:color w:val="auto"/>
              </w:rPr>
            </w:pPr>
          </w:p>
        </w:tc>
        <w:tc>
          <w:tcPr>
            <w:tcW w:w="1020" w:type="dxa"/>
            <w:vAlign w:val="bottom"/>
            <w:shd w:val="clear" w:color="auto" w:fill="E6E6E6"/>
          </w:tcPr>
          <w:p>
            <w:pPr>
              <w:spacing w:after="0"/>
              <w:rPr>
                <w:sz w:val="18"/>
                <w:szCs w:val="18"/>
                <w:color w:val="auto"/>
              </w:rPr>
            </w:pPr>
          </w:p>
        </w:tc>
        <w:tc>
          <w:tcPr>
            <w:tcW w:w="240" w:type="dxa"/>
            <w:vAlign w:val="bottom"/>
            <w:shd w:val="clear" w:color="auto" w:fill="E6E6E6"/>
          </w:tcPr>
          <w:p>
            <w:pPr>
              <w:spacing w:after="0"/>
              <w:rPr>
                <w:sz w:val="18"/>
                <w:szCs w:val="18"/>
                <w:color w:val="auto"/>
              </w:rPr>
            </w:pPr>
          </w:p>
        </w:tc>
        <w:tc>
          <w:tcPr>
            <w:tcW w:w="1000" w:type="dxa"/>
            <w:vAlign w:val="bottom"/>
            <w:shd w:val="clear" w:color="auto" w:fill="E6E6E6"/>
          </w:tcPr>
          <w:p>
            <w:pPr>
              <w:spacing w:after="0"/>
              <w:rPr>
                <w:sz w:val="18"/>
                <w:szCs w:val="18"/>
                <w:color w:val="auto"/>
              </w:rPr>
            </w:pPr>
          </w:p>
        </w:tc>
        <w:tc>
          <w:tcPr>
            <w:tcW w:w="180" w:type="dxa"/>
            <w:vAlign w:val="bottom"/>
            <w:shd w:val="clear" w:color="auto" w:fill="E6E6E6"/>
          </w:tcPr>
          <w:p>
            <w:pPr>
              <w:spacing w:after="0"/>
              <w:rPr>
                <w:sz w:val="18"/>
                <w:szCs w:val="18"/>
                <w:color w:val="auto"/>
              </w:rPr>
            </w:pPr>
          </w:p>
        </w:tc>
        <w:tc>
          <w:tcPr>
            <w:tcW w:w="1040" w:type="dxa"/>
            <w:vAlign w:val="bottom"/>
            <w:shd w:val="clear" w:color="auto" w:fill="E6E6E6"/>
          </w:tcPr>
          <w:p>
            <w:pPr>
              <w:spacing w:after="0"/>
              <w:rPr>
                <w:sz w:val="18"/>
                <w:szCs w:val="18"/>
                <w:color w:val="auto"/>
              </w:rPr>
            </w:pPr>
          </w:p>
        </w:tc>
        <w:tc>
          <w:tcPr>
            <w:tcW w:w="200" w:type="dxa"/>
            <w:vAlign w:val="bottom"/>
            <w:shd w:val="clear" w:color="auto" w:fill="E6E6E6"/>
          </w:tcPr>
          <w:p>
            <w:pPr>
              <w:spacing w:after="0"/>
              <w:rPr>
                <w:sz w:val="18"/>
                <w:szCs w:val="18"/>
                <w:color w:val="auto"/>
              </w:rPr>
            </w:pPr>
          </w:p>
        </w:tc>
        <w:tc>
          <w:tcPr>
            <w:tcW w:w="1060" w:type="dxa"/>
            <w:vAlign w:val="bottom"/>
            <w:shd w:val="clear" w:color="auto" w:fill="E6E6E6"/>
          </w:tcPr>
          <w:p>
            <w:pPr>
              <w:spacing w:after="0"/>
              <w:rPr>
                <w:sz w:val="18"/>
                <w:szCs w:val="18"/>
                <w:color w:val="auto"/>
              </w:rPr>
            </w:pPr>
          </w:p>
        </w:tc>
        <w:tc>
          <w:tcPr>
            <w:tcW w:w="220" w:type="dxa"/>
            <w:vAlign w:val="bottom"/>
            <w:shd w:val="clear" w:color="auto" w:fill="E6E6E6"/>
          </w:tcPr>
          <w:p>
            <w:pPr>
              <w:spacing w:after="0"/>
              <w:rPr>
                <w:sz w:val="18"/>
                <w:szCs w:val="18"/>
                <w:color w:val="auto"/>
              </w:rPr>
            </w:pPr>
          </w:p>
        </w:tc>
        <w:tc>
          <w:tcPr>
            <w:tcW w:w="740" w:type="dxa"/>
            <w:vAlign w:val="bottom"/>
            <w:shd w:val="clear" w:color="auto" w:fill="E6E6E6"/>
          </w:tcPr>
          <w:p>
            <w:pPr>
              <w:spacing w:after="0"/>
              <w:rPr>
                <w:sz w:val="18"/>
                <w:szCs w:val="18"/>
                <w:color w:val="auto"/>
              </w:rPr>
            </w:pPr>
          </w:p>
        </w:tc>
        <w:tc>
          <w:tcPr>
            <w:tcW w:w="280" w:type="dxa"/>
            <w:vAlign w:val="bottom"/>
            <w:shd w:val="clear" w:color="auto" w:fill="E6E6E6"/>
          </w:tcPr>
          <w:p>
            <w:pPr>
              <w:spacing w:after="0"/>
              <w:rPr>
                <w:sz w:val="18"/>
                <w:szCs w:val="18"/>
                <w:color w:val="auto"/>
              </w:rPr>
            </w:pPr>
          </w:p>
        </w:tc>
        <w:tc>
          <w:tcPr>
            <w:tcW w:w="1120" w:type="dxa"/>
            <w:vAlign w:val="bottom"/>
            <w:shd w:val="clear" w:color="auto" w:fill="E6E6E6"/>
          </w:tcPr>
          <w:p>
            <w:pPr>
              <w:spacing w:after="0"/>
              <w:rPr>
                <w:sz w:val="18"/>
                <w:szCs w:val="18"/>
                <w:color w:val="auto"/>
              </w:rPr>
            </w:pPr>
          </w:p>
        </w:tc>
        <w:tc>
          <w:tcPr>
            <w:tcW w:w="260" w:type="dxa"/>
            <w:vAlign w:val="bottom"/>
            <w:shd w:val="clear" w:color="auto" w:fill="E6E6E6"/>
          </w:tcPr>
          <w:p>
            <w:pPr>
              <w:spacing w:after="0"/>
              <w:rPr>
                <w:sz w:val="18"/>
                <w:szCs w:val="18"/>
                <w:color w:val="auto"/>
              </w:rPr>
            </w:pPr>
          </w:p>
        </w:tc>
        <w:tc>
          <w:tcPr>
            <w:tcW w:w="800" w:type="dxa"/>
            <w:vAlign w:val="bottom"/>
            <w:shd w:val="clear" w:color="auto" w:fill="E6E6E6"/>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86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04"/>
        </w:trPr>
        <w:tc>
          <w:tcPr>
            <w:tcW w:w="2880" w:type="dxa"/>
            <w:vAlign w:val="bottom"/>
            <w:gridSpan w:val="2"/>
          </w:tcPr>
          <w:p>
            <w:pPr>
              <w:spacing w:after="0"/>
              <w:rPr>
                <w:sz w:val="20"/>
                <w:szCs w:val="20"/>
                <w:color w:val="auto"/>
              </w:rPr>
            </w:pPr>
            <w:r>
              <w:rPr>
                <w:rFonts w:ascii="Arial" w:cs="Arial" w:eastAsia="Arial" w:hAnsi="Arial"/>
                <w:sz w:val="18"/>
                <w:szCs w:val="18"/>
                <w:color w:val="auto"/>
              </w:rPr>
              <w:t>Revenues</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1,187.5</w:t>
            </w:r>
          </w:p>
        </w:tc>
        <w:tc>
          <w:tcPr>
            <w:tcW w:w="2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407.1</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114.7</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2"/>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1,709.3</w:t>
            </w:r>
          </w:p>
        </w:tc>
        <w:tc>
          <w:tcPr>
            <w:tcW w:w="2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449.8</w:t>
            </w:r>
          </w:p>
        </w:tc>
        <w:tc>
          <w:tcPr>
            <w:tcW w:w="2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2,159.1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6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Bad debts</w:t>
            </w:r>
          </w:p>
        </w:tc>
        <w:tc>
          <w:tcPr>
            <w:tcW w:w="380" w:type="dxa"/>
            <w:vAlign w:val="bottom"/>
            <w:shd w:val="clear" w:color="auto" w:fill="E6E6E6"/>
          </w:tcPr>
          <w:p>
            <w:pPr>
              <w:spacing w:after="0"/>
              <w:rPr>
                <w:sz w:val="17"/>
                <w:szCs w:val="17"/>
                <w:color w:val="auto"/>
              </w:rPr>
            </w:pPr>
          </w:p>
        </w:tc>
        <w:tc>
          <w:tcPr>
            <w:tcW w:w="102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5.7</w:t>
            </w:r>
          </w:p>
        </w:tc>
        <w:tc>
          <w:tcPr>
            <w:tcW w:w="240" w:type="dxa"/>
            <w:vAlign w:val="bottom"/>
            <w:shd w:val="clear" w:color="auto" w:fill="E6E6E6"/>
          </w:tcPr>
          <w:p>
            <w:pPr>
              <w:spacing w:after="0"/>
              <w:rPr>
                <w:sz w:val="17"/>
                <w:szCs w:val="17"/>
                <w:color w:val="auto"/>
              </w:rPr>
            </w:pPr>
          </w:p>
        </w:tc>
        <w:tc>
          <w:tcPr>
            <w:tcW w:w="100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(0.9)</w:t>
            </w:r>
          </w:p>
        </w:tc>
        <w:tc>
          <w:tcPr>
            <w:tcW w:w="180" w:type="dxa"/>
            <w:vAlign w:val="bottom"/>
            <w:shd w:val="clear" w:color="auto" w:fill="E6E6E6"/>
          </w:tcPr>
          <w:p>
            <w:pPr>
              <w:spacing w:after="0"/>
              <w:rPr>
                <w:sz w:val="17"/>
                <w:szCs w:val="17"/>
                <w:color w:val="auto"/>
              </w:rPr>
            </w:pPr>
          </w:p>
        </w:tc>
        <w:tc>
          <w:tcPr>
            <w:tcW w:w="104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0.6</w:t>
            </w:r>
          </w:p>
        </w:tc>
        <w:tc>
          <w:tcPr>
            <w:tcW w:w="200" w:type="dxa"/>
            <w:vAlign w:val="bottom"/>
            <w:shd w:val="clear" w:color="auto" w:fill="E6E6E6"/>
          </w:tcPr>
          <w:p>
            <w:pPr>
              <w:spacing w:after="0"/>
              <w:rPr>
                <w:sz w:val="17"/>
                <w:szCs w:val="17"/>
                <w:color w:val="auto"/>
              </w:rPr>
            </w:pPr>
          </w:p>
        </w:tc>
        <w:tc>
          <w:tcPr>
            <w:tcW w:w="1060" w:type="dxa"/>
            <w:vAlign w:val="bottom"/>
            <w:shd w:val="clear" w:color="auto" w:fill="E6E6E6"/>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E6E6E6"/>
          </w:tcPr>
          <w:p>
            <w:pPr>
              <w:spacing w:after="0"/>
              <w:rPr>
                <w:sz w:val="17"/>
                <w:szCs w:val="17"/>
                <w:color w:val="auto"/>
              </w:rPr>
            </w:pPr>
          </w:p>
        </w:tc>
        <w:tc>
          <w:tcPr>
            <w:tcW w:w="74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5.4</w:t>
            </w:r>
          </w:p>
        </w:tc>
        <w:tc>
          <w:tcPr>
            <w:tcW w:w="280" w:type="dxa"/>
            <w:vAlign w:val="bottom"/>
            <w:shd w:val="clear" w:color="auto" w:fill="E6E6E6"/>
          </w:tcPr>
          <w:p>
            <w:pPr>
              <w:spacing w:after="0"/>
              <w:rPr>
                <w:sz w:val="17"/>
                <w:szCs w:val="17"/>
                <w:color w:val="auto"/>
              </w:rPr>
            </w:pPr>
          </w:p>
        </w:tc>
        <w:tc>
          <w:tcPr>
            <w:tcW w:w="112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3.2</w:t>
            </w:r>
          </w:p>
        </w:tc>
        <w:tc>
          <w:tcPr>
            <w:tcW w:w="260" w:type="dxa"/>
            <w:vAlign w:val="bottom"/>
            <w:shd w:val="clear" w:color="auto" w:fill="E6E6E6"/>
          </w:tcPr>
          <w:p>
            <w:pPr>
              <w:spacing w:after="0"/>
              <w:rPr>
                <w:sz w:val="17"/>
                <w:szCs w:val="17"/>
                <w:color w:val="auto"/>
              </w:rPr>
            </w:pPr>
          </w:p>
        </w:tc>
        <w:tc>
          <w:tcPr>
            <w:tcW w:w="800" w:type="dxa"/>
            <w:vAlign w:val="bottom"/>
            <w:shd w:val="clear" w:color="auto" w:fill="E6E6E6"/>
          </w:tcPr>
          <w:p>
            <w:pPr>
              <w:jc w:val="right"/>
              <w:ind w:right="33"/>
              <w:spacing w:after="0" w:line="202" w:lineRule="exact"/>
              <w:rPr>
                <w:sz w:val="20"/>
                <w:szCs w:val="20"/>
                <w:color w:val="auto"/>
              </w:rPr>
            </w:pPr>
            <w:r>
              <w:rPr>
                <w:rFonts w:ascii="Arial" w:cs="Arial" w:eastAsia="Arial" w:hAnsi="Arial"/>
                <w:sz w:val="18"/>
                <w:szCs w:val="18"/>
                <w:color w:val="auto"/>
              </w:rPr>
              <w:t>8.6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880" w:type="dxa"/>
            <w:vAlign w:val="bottom"/>
            <w:gridSpan w:val="2"/>
          </w:tcPr>
          <w:p>
            <w:pPr>
              <w:spacing w:after="0" w:line="243" w:lineRule="exact"/>
              <w:rPr>
                <w:sz w:val="20"/>
                <w:szCs w:val="20"/>
                <w:color w:val="auto"/>
              </w:rPr>
            </w:pPr>
            <w:r>
              <w:rPr>
                <w:rFonts w:ascii="Arial" w:cs="Arial" w:eastAsia="Arial" w:hAnsi="Arial"/>
                <w:sz w:val="17"/>
                <w:szCs w:val="17"/>
                <w:color w:val="auto"/>
              </w:rPr>
              <w:t>Depreciation and amortization</w:t>
            </w:r>
            <w:r>
              <w:rPr>
                <w:rFonts w:ascii="Arial" w:cs="Arial" w:eastAsia="Arial" w:hAnsi="Arial"/>
                <w:sz w:val="28"/>
                <w:szCs w:val="28"/>
                <w:color w:val="auto"/>
                <w:vertAlign w:val="superscript"/>
              </w:rPr>
              <w:t>(3)</w:t>
            </w:r>
          </w:p>
        </w:tc>
        <w:tc>
          <w:tcPr>
            <w:tcW w:w="3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18.1</w:t>
            </w: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3.2</w:t>
            </w:r>
          </w:p>
        </w:tc>
        <w:tc>
          <w:tcPr>
            <w:tcW w:w="1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w:t>
            </w:r>
          </w:p>
        </w:tc>
        <w:tc>
          <w:tcPr>
            <w:tcW w:w="20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32.6</w:t>
            </w:r>
          </w:p>
        </w:tc>
        <w:tc>
          <w:tcPr>
            <w:tcW w:w="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55.3</w:t>
            </w:r>
          </w:p>
        </w:tc>
        <w:tc>
          <w:tcPr>
            <w:tcW w:w="2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6.9</w:t>
            </w:r>
          </w:p>
        </w:tc>
        <w:tc>
          <w:tcPr>
            <w:tcW w:w="260" w:type="dxa"/>
            <w:vAlign w:val="bottom"/>
          </w:tcPr>
          <w:p>
            <w:pPr>
              <w:spacing w:after="0"/>
              <w:rPr>
                <w:sz w:val="21"/>
                <w:szCs w:val="21"/>
                <w:color w:val="auto"/>
              </w:rPr>
            </w:pP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62.2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860" w:type="dxa"/>
            <w:vAlign w:val="bottom"/>
            <w:shd w:val="clear" w:color="auto" w:fill="E6E6E6"/>
          </w:tcPr>
          <w:p>
            <w:pPr>
              <w:spacing w:after="0" w:line="243" w:lineRule="exact"/>
              <w:rPr>
                <w:sz w:val="20"/>
                <w:szCs w:val="20"/>
                <w:color w:val="auto"/>
              </w:rPr>
            </w:pPr>
            <w:r>
              <w:rPr>
                <w:rFonts w:ascii="Arial" w:cs="Arial" w:eastAsia="Arial" w:hAnsi="Arial"/>
                <w:sz w:val="17"/>
                <w:szCs w:val="17"/>
                <w:color w:val="auto"/>
              </w:rPr>
              <w:t>Amortization</w:t>
            </w:r>
            <w:r>
              <w:rPr>
                <w:rFonts w:ascii="Arial" w:cs="Arial" w:eastAsia="Arial" w:hAnsi="Arial"/>
                <w:sz w:val="28"/>
                <w:szCs w:val="28"/>
                <w:color w:val="auto"/>
                <w:vertAlign w:val="superscript"/>
              </w:rPr>
              <w:t>(4)</w:t>
            </w:r>
          </w:p>
        </w:tc>
        <w:tc>
          <w:tcPr>
            <w:tcW w:w="380" w:type="dxa"/>
            <w:vAlign w:val="bottom"/>
            <w:shd w:val="clear" w:color="auto" w:fill="E6E6E6"/>
          </w:tcPr>
          <w:p>
            <w:pPr>
              <w:spacing w:after="0"/>
              <w:rPr>
                <w:sz w:val="21"/>
                <w:szCs w:val="21"/>
                <w:color w:val="auto"/>
              </w:rPr>
            </w:pPr>
          </w:p>
        </w:tc>
        <w:tc>
          <w:tcPr>
            <w:tcW w:w="10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12.4</w:t>
            </w:r>
          </w:p>
        </w:tc>
        <w:tc>
          <w:tcPr>
            <w:tcW w:w="240" w:type="dxa"/>
            <w:vAlign w:val="bottom"/>
            <w:shd w:val="clear" w:color="auto" w:fill="E6E6E6"/>
          </w:tcPr>
          <w:p>
            <w:pPr>
              <w:spacing w:after="0"/>
              <w:rPr>
                <w:sz w:val="21"/>
                <w:szCs w:val="21"/>
                <w:color w:val="auto"/>
              </w:rPr>
            </w:pPr>
          </w:p>
        </w:tc>
        <w:tc>
          <w:tcPr>
            <w:tcW w:w="10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24.6</w:t>
            </w:r>
          </w:p>
        </w:tc>
        <w:tc>
          <w:tcPr>
            <w:tcW w:w="180" w:type="dxa"/>
            <w:vAlign w:val="bottom"/>
            <w:shd w:val="clear" w:color="auto" w:fill="E6E6E6"/>
          </w:tcPr>
          <w:p>
            <w:pPr>
              <w:spacing w:after="0"/>
              <w:rPr>
                <w:sz w:val="21"/>
                <w:szCs w:val="21"/>
                <w:color w:val="auto"/>
              </w:rPr>
            </w:pPr>
          </w:p>
        </w:tc>
        <w:tc>
          <w:tcPr>
            <w:tcW w:w="1040" w:type="dxa"/>
            <w:vAlign w:val="bottom"/>
            <w:shd w:val="clear" w:color="auto" w:fill="E6E6E6"/>
          </w:tcPr>
          <w:p>
            <w:pPr>
              <w:jc w:val="right"/>
              <w:spacing w:after="0"/>
              <w:rPr>
                <w:sz w:val="20"/>
                <w:szCs w:val="20"/>
                <w:color w:val="auto"/>
              </w:rPr>
            </w:pPr>
            <w:r>
              <w:rPr>
                <w:rFonts w:ascii="Arial" w:cs="Arial" w:eastAsia="Arial" w:hAnsi="Arial"/>
                <w:sz w:val="18"/>
                <w:szCs w:val="18"/>
                <w:color w:val="auto"/>
              </w:rPr>
              <w:t>6.8</w:t>
            </w:r>
          </w:p>
        </w:tc>
        <w:tc>
          <w:tcPr>
            <w:tcW w:w="200" w:type="dxa"/>
            <w:vAlign w:val="bottom"/>
            <w:shd w:val="clear" w:color="auto" w:fill="E6E6E6"/>
          </w:tcPr>
          <w:p>
            <w:pPr>
              <w:spacing w:after="0"/>
              <w:rPr>
                <w:sz w:val="21"/>
                <w:szCs w:val="21"/>
                <w:color w:val="auto"/>
              </w:rPr>
            </w:pPr>
          </w:p>
        </w:tc>
        <w:tc>
          <w:tcPr>
            <w:tcW w:w="1060" w:type="dxa"/>
            <w:vAlign w:val="bottom"/>
            <w:shd w:val="clear" w:color="auto" w:fill="E6E6E6"/>
          </w:tcPr>
          <w:p>
            <w:pPr>
              <w:jc w:val="right"/>
              <w:ind w:right="13"/>
              <w:spacing w:after="0"/>
              <w:rPr>
                <w:sz w:val="20"/>
                <w:szCs w:val="20"/>
                <w:color w:val="auto"/>
              </w:rPr>
            </w:pPr>
            <w:r>
              <w:rPr>
                <w:rFonts w:ascii="Arial" w:cs="Arial" w:eastAsia="Arial" w:hAnsi="Arial"/>
                <w:sz w:val="18"/>
                <w:szCs w:val="18"/>
                <w:color w:val="auto"/>
              </w:rPr>
              <w:t>—</w:t>
            </w:r>
          </w:p>
        </w:tc>
        <w:tc>
          <w:tcPr>
            <w:tcW w:w="220" w:type="dxa"/>
            <w:vAlign w:val="bottom"/>
            <w:shd w:val="clear" w:color="auto" w:fill="E6E6E6"/>
          </w:tcPr>
          <w:p>
            <w:pPr>
              <w:spacing w:after="0"/>
              <w:rPr>
                <w:sz w:val="21"/>
                <w:szCs w:val="21"/>
                <w:color w:val="auto"/>
              </w:rPr>
            </w:pPr>
          </w:p>
        </w:tc>
        <w:tc>
          <w:tcPr>
            <w:tcW w:w="740" w:type="dxa"/>
            <w:vAlign w:val="bottom"/>
            <w:shd w:val="clear" w:color="auto" w:fill="E6E6E6"/>
          </w:tcPr>
          <w:p>
            <w:pPr>
              <w:jc w:val="right"/>
              <w:spacing w:after="0"/>
              <w:rPr>
                <w:sz w:val="20"/>
                <w:szCs w:val="20"/>
                <w:color w:val="auto"/>
              </w:rPr>
            </w:pPr>
            <w:r>
              <w:rPr>
                <w:rFonts w:ascii="Arial" w:cs="Arial" w:eastAsia="Arial" w:hAnsi="Arial"/>
                <w:sz w:val="18"/>
                <w:szCs w:val="18"/>
                <w:color w:val="auto"/>
              </w:rPr>
              <w:t>43.8</w:t>
            </w:r>
          </w:p>
        </w:tc>
        <w:tc>
          <w:tcPr>
            <w:tcW w:w="280" w:type="dxa"/>
            <w:vAlign w:val="bottom"/>
            <w:shd w:val="clear" w:color="auto" w:fill="E6E6E6"/>
          </w:tcPr>
          <w:p>
            <w:pPr>
              <w:spacing w:after="0"/>
              <w:rPr>
                <w:sz w:val="21"/>
                <w:szCs w:val="21"/>
                <w:color w:val="auto"/>
              </w:rPr>
            </w:pPr>
          </w:p>
        </w:tc>
        <w:tc>
          <w:tcPr>
            <w:tcW w:w="11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2.3</w:t>
            </w:r>
          </w:p>
        </w:tc>
        <w:tc>
          <w:tcPr>
            <w:tcW w:w="260" w:type="dxa"/>
            <w:vAlign w:val="bottom"/>
            <w:shd w:val="clear" w:color="auto" w:fill="E6E6E6"/>
          </w:tcPr>
          <w:p>
            <w:pPr>
              <w:spacing w:after="0"/>
              <w:rPr>
                <w:sz w:val="21"/>
                <w:szCs w:val="21"/>
                <w:color w:val="auto"/>
              </w:rPr>
            </w:pPr>
          </w:p>
        </w:tc>
        <w:tc>
          <w:tcPr>
            <w:tcW w:w="800" w:type="dxa"/>
            <w:vAlign w:val="bottom"/>
            <w:shd w:val="clear" w:color="auto" w:fill="E6E6E6"/>
          </w:tcPr>
          <w:p>
            <w:pPr>
              <w:jc w:val="right"/>
              <w:ind w:right="33"/>
              <w:spacing w:after="0"/>
              <w:rPr>
                <w:sz w:val="20"/>
                <w:szCs w:val="20"/>
                <w:color w:val="auto"/>
              </w:rPr>
            </w:pPr>
            <w:r>
              <w:rPr>
                <w:rFonts w:ascii="Arial" w:cs="Arial" w:eastAsia="Arial" w:hAnsi="Arial"/>
                <w:sz w:val="18"/>
                <w:szCs w:val="18"/>
                <w:color w:val="auto"/>
              </w:rPr>
              <w:t>46.1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2880" w:type="dxa"/>
            <w:vAlign w:val="bottom"/>
            <w:gridSpan w:val="2"/>
          </w:tcPr>
          <w:p>
            <w:pPr>
              <w:spacing w:after="0" w:line="202" w:lineRule="exact"/>
              <w:rPr>
                <w:sz w:val="20"/>
                <w:szCs w:val="20"/>
                <w:color w:val="auto"/>
              </w:rPr>
            </w:pPr>
            <w:r>
              <w:rPr>
                <w:rFonts w:ascii="Arial" w:cs="Arial" w:eastAsia="Arial" w:hAnsi="Arial"/>
                <w:sz w:val="18"/>
                <w:szCs w:val="18"/>
                <w:color w:val="auto"/>
              </w:rPr>
              <w:t>Royalty advances expensed</w:t>
            </w:r>
          </w:p>
        </w:tc>
        <w:tc>
          <w:tcPr>
            <w:tcW w:w="38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23.2</w:t>
            </w:r>
          </w:p>
        </w:tc>
        <w:tc>
          <w:tcPr>
            <w:tcW w:w="24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1.2</w:t>
            </w:r>
          </w:p>
        </w:tc>
        <w:tc>
          <w:tcPr>
            <w:tcW w:w="18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0.6</w:t>
            </w:r>
          </w:p>
        </w:tc>
        <w:tc>
          <w:tcPr>
            <w:tcW w:w="200" w:type="dxa"/>
            <w:vAlign w:val="bottom"/>
          </w:tcPr>
          <w:p>
            <w:pPr>
              <w:spacing w:after="0"/>
              <w:rPr>
                <w:sz w:val="17"/>
                <w:szCs w:val="17"/>
                <w:color w:val="auto"/>
              </w:rPr>
            </w:pPr>
          </w:p>
        </w:tc>
        <w:tc>
          <w:tcPr>
            <w:tcW w:w="10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25.0</w:t>
            </w:r>
          </w:p>
        </w:tc>
        <w:tc>
          <w:tcPr>
            <w:tcW w:w="28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3.8</w:t>
            </w:r>
          </w:p>
        </w:tc>
        <w:tc>
          <w:tcPr>
            <w:tcW w:w="260" w:type="dxa"/>
            <w:vAlign w:val="bottom"/>
          </w:tcPr>
          <w:p>
            <w:pPr>
              <w:spacing w:after="0"/>
              <w:rPr>
                <w:sz w:val="17"/>
                <w:szCs w:val="17"/>
                <w:color w:val="auto"/>
              </w:rPr>
            </w:pPr>
          </w:p>
        </w:tc>
        <w:tc>
          <w:tcPr>
            <w:tcW w:w="800" w:type="dxa"/>
            <w:vAlign w:val="bottom"/>
          </w:tcPr>
          <w:p>
            <w:pPr>
              <w:jc w:val="right"/>
              <w:ind w:right="33"/>
              <w:spacing w:after="0" w:line="202" w:lineRule="exact"/>
              <w:rPr>
                <w:sz w:val="20"/>
                <w:szCs w:val="20"/>
                <w:color w:val="auto"/>
              </w:rPr>
            </w:pPr>
            <w:r>
              <w:rPr>
                <w:rFonts w:ascii="Arial" w:cs="Arial" w:eastAsia="Arial" w:hAnsi="Arial"/>
                <w:sz w:val="18"/>
                <w:szCs w:val="18"/>
                <w:color w:val="auto"/>
              </w:rPr>
              <w:t>28.8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6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Segment operating income/(loss)</w:t>
            </w:r>
          </w:p>
        </w:tc>
        <w:tc>
          <w:tcPr>
            <w:tcW w:w="380" w:type="dxa"/>
            <w:vAlign w:val="bottom"/>
            <w:shd w:val="clear" w:color="auto" w:fill="E6E6E6"/>
          </w:tcPr>
          <w:p>
            <w:pPr>
              <w:spacing w:after="0"/>
              <w:rPr>
                <w:sz w:val="17"/>
                <w:szCs w:val="17"/>
                <w:color w:val="auto"/>
              </w:rPr>
            </w:pPr>
          </w:p>
        </w:tc>
        <w:tc>
          <w:tcPr>
            <w:tcW w:w="102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185.1</w:t>
            </w:r>
          </w:p>
        </w:tc>
        <w:tc>
          <w:tcPr>
            <w:tcW w:w="240" w:type="dxa"/>
            <w:vAlign w:val="bottom"/>
            <w:shd w:val="clear" w:color="auto" w:fill="E6E6E6"/>
          </w:tcPr>
          <w:p>
            <w:pPr>
              <w:spacing w:after="0"/>
              <w:rPr>
                <w:sz w:val="17"/>
                <w:szCs w:val="17"/>
                <w:color w:val="auto"/>
              </w:rPr>
            </w:pPr>
          </w:p>
        </w:tc>
        <w:tc>
          <w:tcPr>
            <w:tcW w:w="100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65.9</w:t>
            </w:r>
          </w:p>
        </w:tc>
        <w:tc>
          <w:tcPr>
            <w:tcW w:w="180" w:type="dxa"/>
            <w:vAlign w:val="bottom"/>
            <w:shd w:val="clear" w:color="auto" w:fill="E6E6E6"/>
          </w:tcPr>
          <w:p>
            <w:pPr>
              <w:spacing w:after="0"/>
              <w:rPr>
                <w:sz w:val="17"/>
                <w:szCs w:val="17"/>
                <w:color w:val="auto"/>
              </w:rPr>
            </w:pPr>
          </w:p>
        </w:tc>
        <w:tc>
          <w:tcPr>
            <w:tcW w:w="104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(2.8)</w:t>
            </w:r>
          </w:p>
        </w:tc>
        <w:tc>
          <w:tcPr>
            <w:tcW w:w="200" w:type="dxa"/>
            <w:vAlign w:val="bottom"/>
            <w:shd w:val="clear" w:color="auto" w:fill="E6E6E6"/>
          </w:tcPr>
          <w:p>
            <w:pPr>
              <w:spacing w:after="0"/>
              <w:rPr>
                <w:sz w:val="17"/>
                <w:szCs w:val="17"/>
                <w:color w:val="auto"/>
              </w:rPr>
            </w:pPr>
          </w:p>
        </w:tc>
        <w:tc>
          <w:tcPr>
            <w:tcW w:w="106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(77.1)</w:t>
            </w:r>
          </w:p>
        </w:tc>
        <w:tc>
          <w:tcPr>
            <w:tcW w:w="220" w:type="dxa"/>
            <w:vAlign w:val="bottom"/>
            <w:shd w:val="clear" w:color="auto" w:fill="E6E6E6"/>
          </w:tcPr>
          <w:p>
            <w:pPr>
              <w:spacing w:after="0"/>
              <w:rPr>
                <w:sz w:val="17"/>
                <w:szCs w:val="17"/>
                <w:color w:val="auto"/>
              </w:rPr>
            </w:pPr>
          </w:p>
        </w:tc>
        <w:tc>
          <w:tcPr>
            <w:tcW w:w="74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171.1</w:t>
            </w:r>
          </w:p>
        </w:tc>
        <w:tc>
          <w:tcPr>
            <w:tcW w:w="280" w:type="dxa"/>
            <w:vAlign w:val="bottom"/>
            <w:shd w:val="clear" w:color="auto" w:fill="E6E6E6"/>
          </w:tcPr>
          <w:p>
            <w:pPr>
              <w:spacing w:after="0"/>
              <w:rPr>
                <w:sz w:val="17"/>
                <w:szCs w:val="17"/>
                <w:color w:val="auto"/>
              </w:rPr>
            </w:pPr>
          </w:p>
        </w:tc>
        <w:tc>
          <w:tcPr>
            <w:tcW w:w="112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42.3</w:t>
            </w:r>
          </w:p>
        </w:tc>
        <w:tc>
          <w:tcPr>
            <w:tcW w:w="260" w:type="dxa"/>
            <w:vAlign w:val="bottom"/>
            <w:shd w:val="clear" w:color="auto" w:fill="E6E6E6"/>
          </w:tcPr>
          <w:p>
            <w:pPr>
              <w:spacing w:after="0"/>
              <w:rPr>
                <w:sz w:val="17"/>
                <w:szCs w:val="17"/>
                <w:color w:val="auto"/>
              </w:rPr>
            </w:pPr>
          </w:p>
        </w:tc>
        <w:tc>
          <w:tcPr>
            <w:tcW w:w="800" w:type="dxa"/>
            <w:vAlign w:val="bottom"/>
            <w:shd w:val="clear" w:color="auto" w:fill="E6E6E6"/>
          </w:tcPr>
          <w:p>
            <w:pPr>
              <w:jc w:val="right"/>
              <w:ind w:right="33"/>
              <w:spacing w:after="0" w:line="202" w:lineRule="exact"/>
              <w:rPr>
                <w:sz w:val="20"/>
                <w:szCs w:val="20"/>
                <w:color w:val="auto"/>
              </w:rPr>
            </w:pPr>
            <w:r>
              <w:rPr>
                <w:rFonts w:ascii="Arial" w:cs="Arial" w:eastAsia="Arial" w:hAnsi="Arial"/>
                <w:sz w:val="18"/>
                <w:szCs w:val="18"/>
                <w:color w:val="auto"/>
              </w:rPr>
              <w:t>213.4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80" w:type="dxa"/>
            <w:vAlign w:val="bottom"/>
            <w:gridSpan w:val="2"/>
          </w:tcPr>
          <w:p>
            <w:pPr>
              <w:spacing w:after="0" w:line="202" w:lineRule="exact"/>
              <w:rPr>
                <w:sz w:val="20"/>
                <w:szCs w:val="20"/>
                <w:color w:val="auto"/>
              </w:rPr>
            </w:pPr>
            <w:r>
              <w:rPr>
                <w:rFonts w:ascii="Arial" w:cs="Arial" w:eastAsia="Arial" w:hAnsi="Arial"/>
                <w:sz w:val="18"/>
                <w:szCs w:val="18"/>
                <w:color w:val="auto"/>
              </w:rPr>
              <w:t>Segment assets</w:t>
            </w:r>
          </w:p>
        </w:tc>
        <w:tc>
          <w:tcPr>
            <w:tcW w:w="38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538.8</w:t>
            </w:r>
          </w:p>
        </w:tc>
        <w:tc>
          <w:tcPr>
            <w:tcW w:w="24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333.8</w:t>
            </w:r>
          </w:p>
        </w:tc>
        <w:tc>
          <w:tcPr>
            <w:tcW w:w="18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59.7</w:t>
            </w:r>
          </w:p>
        </w:tc>
        <w:tc>
          <w:tcPr>
            <w:tcW w:w="200" w:type="dxa"/>
            <w:vAlign w:val="bottom"/>
          </w:tcPr>
          <w:p>
            <w:pPr>
              <w:spacing w:after="0"/>
              <w:rPr>
                <w:sz w:val="17"/>
                <w:szCs w:val="17"/>
                <w:color w:val="auto"/>
              </w:rPr>
            </w:pPr>
          </w:p>
        </w:tc>
        <w:tc>
          <w:tcPr>
            <w:tcW w:w="10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430.6</w:t>
            </w:r>
          </w:p>
        </w:tc>
        <w:tc>
          <w:tcPr>
            <w:tcW w:w="22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1,362.9</w:t>
            </w:r>
          </w:p>
        </w:tc>
        <w:tc>
          <w:tcPr>
            <w:tcW w:w="28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305.8</w:t>
            </w:r>
          </w:p>
        </w:tc>
        <w:tc>
          <w:tcPr>
            <w:tcW w:w="260" w:type="dxa"/>
            <w:vAlign w:val="bottom"/>
          </w:tcPr>
          <w:p>
            <w:pPr>
              <w:spacing w:after="0"/>
              <w:rPr>
                <w:sz w:val="17"/>
                <w:szCs w:val="17"/>
                <w:color w:val="auto"/>
              </w:rPr>
            </w:pPr>
          </w:p>
        </w:tc>
        <w:tc>
          <w:tcPr>
            <w:tcW w:w="800" w:type="dxa"/>
            <w:vAlign w:val="bottom"/>
          </w:tcPr>
          <w:p>
            <w:pPr>
              <w:jc w:val="right"/>
              <w:ind w:right="33"/>
              <w:spacing w:after="0" w:line="202" w:lineRule="exact"/>
              <w:rPr>
                <w:sz w:val="20"/>
                <w:szCs w:val="20"/>
                <w:color w:val="auto"/>
              </w:rPr>
            </w:pPr>
            <w:r>
              <w:rPr>
                <w:rFonts w:ascii="Arial" w:cs="Arial" w:eastAsia="Arial" w:hAnsi="Arial"/>
                <w:sz w:val="18"/>
                <w:szCs w:val="18"/>
                <w:color w:val="auto"/>
              </w:rPr>
              <w:t>1,668.7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6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Goodwill</w:t>
            </w:r>
          </w:p>
        </w:tc>
        <w:tc>
          <w:tcPr>
            <w:tcW w:w="380" w:type="dxa"/>
            <w:vAlign w:val="bottom"/>
            <w:shd w:val="clear" w:color="auto" w:fill="E6E6E6"/>
          </w:tcPr>
          <w:p>
            <w:pPr>
              <w:spacing w:after="0"/>
              <w:rPr>
                <w:sz w:val="17"/>
                <w:szCs w:val="17"/>
                <w:color w:val="auto"/>
              </w:rPr>
            </w:pPr>
          </w:p>
        </w:tc>
        <w:tc>
          <w:tcPr>
            <w:tcW w:w="102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38.2</w:t>
            </w:r>
          </w:p>
        </w:tc>
        <w:tc>
          <w:tcPr>
            <w:tcW w:w="240" w:type="dxa"/>
            <w:vAlign w:val="bottom"/>
            <w:shd w:val="clear" w:color="auto" w:fill="E6E6E6"/>
          </w:tcPr>
          <w:p>
            <w:pPr>
              <w:spacing w:after="0"/>
              <w:rPr>
                <w:sz w:val="17"/>
                <w:szCs w:val="17"/>
                <w:color w:val="auto"/>
              </w:rPr>
            </w:pPr>
          </w:p>
        </w:tc>
        <w:tc>
          <w:tcPr>
            <w:tcW w:w="100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89.0</w:t>
            </w:r>
          </w:p>
        </w:tc>
        <w:tc>
          <w:tcPr>
            <w:tcW w:w="180" w:type="dxa"/>
            <w:vAlign w:val="bottom"/>
            <w:shd w:val="clear" w:color="auto" w:fill="E6E6E6"/>
          </w:tcPr>
          <w:p>
            <w:pPr>
              <w:spacing w:after="0"/>
              <w:rPr>
                <w:sz w:val="17"/>
                <w:szCs w:val="17"/>
                <w:color w:val="auto"/>
              </w:rPr>
            </w:pPr>
          </w:p>
        </w:tc>
        <w:tc>
          <w:tcPr>
            <w:tcW w:w="104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5.8</w:t>
            </w:r>
          </w:p>
        </w:tc>
        <w:tc>
          <w:tcPr>
            <w:tcW w:w="200" w:type="dxa"/>
            <w:vAlign w:val="bottom"/>
            <w:shd w:val="clear" w:color="auto" w:fill="E6E6E6"/>
          </w:tcPr>
          <w:p>
            <w:pPr>
              <w:spacing w:after="0"/>
              <w:rPr>
                <w:sz w:val="17"/>
                <w:szCs w:val="17"/>
                <w:color w:val="auto"/>
              </w:rPr>
            </w:pPr>
          </w:p>
        </w:tc>
        <w:tc>
          <w:tcPr>
            <w:tcW w:w="1060" w:type="dxa"/>
            <w:vAlign w:val="bottom"/>
            <w:shd w:val="clear" w:color="auto" w:fill="E6E6E6"/>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E6E6E6"/>
          </w:tcPr>
          <w:p>
            <w:pPr>
              <w:spacing w:after="0"/>
              <w:rPr>
                <w:sz w:val="17"/>
                <w:szCs w:val="17"/>
                <w:color w:val="auto"/>
              </w:rPr>
            </w:pPr>
          </w:p>
        </w:tc>
        <w:tc>
          <w:tcPr>
            <w:tcW w:w="74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133.0</w:t>
            </w:r>
          </w:p>
        </w:tc>
        <w:tc>
          <w:tcPr>
            <w:tcW w:w="280" w:type="dxa"/>
            <w:vAlign w:val="bottom"/>
            <w:shd w:val="clear" w:color="auto" w:fill="E6E6E6"/>
          </w:tcPr>
          <w:p>
            <w:pPr>
              <w:spacing w:after="0"/>
              <w:rPr>
                <w:sz w:val="17"/>
                <w:szCs w:val="17"/>
                <w:color w:val="auto"/>
              </w:rPr>
            </w:pPr>
          </w:p>
        </w:tc>
        <w:tc>
          <w:tcPr>
            <w:tcW w:w="112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31.4</w:t>
            </w:r>
          </w:p>
        </w:tc>
        <w:tc>
          <w:tcPr>
            <w:tcW w:w="260" w:type="dxa"/>
            <w:vAlign w:val="bottom"/>
            <w:shd w:val="clear" w:color="auto" w:fill="E6E6E6"/>
          </w:tcPr>
          <w:p>
            <w:pPr>
              <w:spacing w:after="0"/>
              <w:rPr>
                <w:sz w:val="17"/>
                <w:szCs w:val="17"/>
                <w:color w:val="auto"/>
              </w:rPr>
            </w:pPr>
          </w:p>
        </w:tc>
        <w:tc>
          <w:tcPr>
            <w:tcW w:w="800" w:type="dxa"/>
            <w:vAlign w:val="bottom"/>
            <w:shd w:val="clear" w:color="auto" w:fill="E6E6E6"/>
          </w:tcPr>
          <w:p>
            <w:pPr>
              <w:jc w:val="right"/>
              <w:ind w:right="33"/>
              <w:spacing w:after="0" w:line="202" w:lineRule="exact"/>
              <w:rPr>
                <w:sz w:val="20"/>
                <w:szCs w:val="20"/>
                <w:color w:val="auto"/>
              </w:rPr>
            </w:pPr>
            <w:r>
              <w:rPr>
                <w:rFonts w:ascii="Arial" w:cs="Arial" w:eastAsia="Arial" w:hAnsi="Arial"/>
                <w:sz w:val="18"/>
                <w:szCs w:val="18"/>
                <w:color w:val="auto"/>
              </w:rPr>
              <w:t>164.4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80" w:type="dxa"/>
            <w:vAlign w:val="bottom"/>
            <w:gridSpan w:val="2"/>
          </w:tcPr>
          <w:p>
            <w:pPr>
              <w:spacing w:after="0" w:line="202" w:lineRule="exact"/>
              <w:rPr>
                <w:sz w:val="20"/>
                <w:szCs w:val="20"/>
                <w:color w:val="auto"/>
              </w:rPr>
            </w:pPr>
            <w:r>
              <w:rPr>
                <w:rFonts w:ascii="Arial" w:cs="Arial" w:eastAsia="Arial" w:hAnsi="Arial"/>
                <w:sz w:val="18"/>
                <w:szCs w:val="18"/>
                <w:color w:val="auto"/>
              </w:rPr>
              <w:t>Expenditures for long-lived assets</w:t>
            </w:r>
          </w:p>
        </w:tc>
        <w:tc>
          <w:tcPr>
            <w:tcW w:w="38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55.7</w:t>
            </w:r>
          </w:p>
        </w:tc>
        <w:tc>
          <w:tcPr>
            <w:tcW w:w="24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36.0</w:t>
            </w:r>
          </w:p>
        </w:tc>
        <w:tc>
          <w:tcPr>
            <w:tcW w:w="18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14.0</w:t>
            </w:r>
          </w:p>
        </w:tc>
        <w:tc>
          <w:tcPr>
            <w:tcW w:w="200" w:type="dxa"/>
            <w:vAlign w:val="bottom"/>
          </w:tcPr>
          <w:p>
            <w:pPr>
              <w:spacing w:after="0"/>
              <w:rPr>
                <w:sz w:val="17"/>
                <w:szCs w:val="17"/>
                <w:color w:val="auto"/>
              </w:rPr>
            </w:pPr>
          </w:p>
        </w:tc>
        <w:tc>
          <w:tcPr>
            <w:tcW w:w="10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22.4</w:t>
            </w:r>
          </w:p>
        </w:tc>
        <w:tc>
          <w:tcPr>
            <w:tcW w:w="22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128.1</w:t>
            </w:r>
          </w:p>
        </w:tc>
        <w:tc>
          <w:tcPr>
            <w:tcW w:w="28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16.5</w:t>
            </w:r>
          </w:p>
        </w:tc>
        <w:tc>
          <w:tcPr>
            <w:tcW w:w="260" w:type="dxa"/>
            <w:vAlign w:val="bottom"/>
          </w:tcPr>
          <w:p>
            <w:pPr>
              <w:spacing w:after="0"/>
              <w:rPr>
                <w:sz w:val="17"/>
                <w:szCs w:val="17"/>
                <w:color w:val="auto"/>
              </w:rPr>
            </w:pPr>
          </w:p>
        </w:tc>
        <w:tc>
          <w:tcPr>
            <w:tcW w:w="800" w:type="dxa"/>
            <w:vAlign w:val="bottom"/>
          </w:tcPr>
          <w:p>
            <w:pPr>
              <w:jc w:val="right"/>
              <w:ind w:right="33"/>
              <w:spacing w:after="0" w:line="202" w:lineRule="exact"/>
              <w:rPr>
                <w:sz w:val="20"/>
                <w:szCs w:val="20"/>
                <w:color w:val="auto"/>
              </w:rPr>
            </w:pPr>
            <w:r>
              <w:rPr>
                <w:rFonts w:ascii="Arial" w:cs="Arial" w:eastAsia="Arial" w:hAnsi="Arial"/>
                <w:sz w:val="18"/>
                <w:szCs w:val="18"/>
                <w:color w:val="auto"/>
              </w:rPr>
              <w:t>144.6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6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Long-lived assets</w:t>
            </w:r>
          </w:p>
        </w:tc>
        <w:tc>
          <w:tcPr>
            <w:tcW w:w="380" w:type="dxa"/>
            <w:vAlign w:val="bottom"/>
            <w:shd w:val="clear" w:color="auto" w:fill="E6E6E6"/>
          </w:tcPr>
          <w:p>
            <w:pPr>
              <w:spacing w:after="0"/>
              <w:rPr>
                <w:sz w:val="17"/>
                <w:szCs w:val="17"/>
                <w:color w:val="auto"/>
              </w:rPr>
            </w:pPr>
          </w:p>
        </w:tc>
        <w:tc>
          <w:tcPr>
            <w:tcW w:w="102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179.8</w:t>
            </w:r>
          </w:p>
        </w:tc>
        <w:tc>
          <w:tcPr>
            <w:tcW w:w="240" w:type="dxa"/>
            <w:vAlign w:val="bottom"/>
            <w:shd w:val="clear" w:color="auto" w:fill="E6E6E6"/>
          </w:tcPr>
          <w:p>
            <w:pPr>
              <w:spacing w:after="0"/>
              <w:rPr>
                <w:sz w:val="17"/>
                <w:szCs w:val="17"/>
                <w:color w:val="auto"/>
              </w:rPr>
            </w:pPr>
          </w:p>
        </w:tc>
        <w:tc>
          <w:tcPr>
            <w:tcW w:w="100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200.5</w:t>
            </w:r>
          </w:p>
        </w:tc>
        <w:tc>
          <w:tcPr>
            <w:tcW w:w="180" w:type="dxa"/>
            <w:vAlign w:val="bottom"/>
            <w:shd w:val="clear" w:color="auto" w:fill="E6E6E6"/>
          </w:tcPr>
          <w:p>
            <w:pPr>
              <w:spacing w:after="0"/>
              <w:rPr>
                <w:sz w:val="17"/>
                <w:szCs w:val="17"/>
                <w:color w:val="auto"/>
              </w:rPr>
            </w:pPr>
          </w:p>
        </w:tc>
        <w:tc>
          <w:tcPr>
            <w:tcW w:w="104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26.3</w:t>
            </w:r>
          </w:p>
        </w:tc>
        <w:tc>
          <w:tcPr>
            <w:tcW w:w="200" w:type="dxa"/>
            <w:vAlign w:val="bottom"/>
            <w:shd w:val="clear" w:color="auto" w:fill="E6E6E6"/>
          </w:tcPr>
          <w:p>
            <w:pPr>
              <w:spacing w:after="0"/>
              <w:rPr>
                <w:sz w:val="17"/>
                <w:szCs w:val="17"/>
                <w:color w:val="auto"/>
              </w:rPr>
            </w:pPr>
          </w:p>
        </w:tc>
        <w:tc>
          <w:tcPr>
            <w:tcW w:w="1060" w:type="dxa"/>
            <w:vAlign w:val="bottom"/>
            <w:shd w:val="clear" w:color="auto" w:fill="E6E6E6"/>
          </w:tcPr>
          <w:p>
            <w:pPr>
              <w:jc w:val="right"/>
              <w:ind w:right="13"/>
              <w:spacing w:after="0" w:line="202" w:lineRule="exact"/>
              <w:rPr>
                <w:sz w:val="20"/>
                <w:szCs w:val="20"/>
                <w:color w:val="auto"/>
              </w:rPr>
            </w:pPr>
            <w:r>
              <w:rPr>
                <w:rFonts w:ascii="Arial" w:cs="Arial" w:eastAsia="Arial" w:hAnsi="Arial"/>
                <w:sz w:val="18"/>
                <w:szCs w:val="18"/>
                <w:color w:val="auto"/>
              </w:rPr>
              <w:t>230.1</w:t>
            </w:r>
          </w:p>
        </w:tc>
        <w:tc>
          <w:tcPr>
            <w:tcW w:w="220" w:type="dxa"/>
            <w:vAlign w:val="bottom"/>
            <w:shd w:val="clear" w:color="auto" w:fill="E6E6E6"/>
          </w:tcPr>
          <w:p>
            <w:pPr>
              <w:spacing w:after="0"/>
              <w:rPr>
                <w:sz w:val="17"/>
                <w:szCs w:val="17"/>
                <w:color w:val="auto"/>
              </w:rPr>
            </w:pPr>
          </w:p>
        </w:tc>
        <w:tc>
          <w:tcPr>
            <w:tcW w:w="74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636.7</w:t>
            </w:r>
          </w:p>
        </w:tc>
        <w:tc>
          <w:tcPr>
            <w:tcW w:w="280" w:type="dxa"/>
            <w:vAlign w:val="bottom"/>
            <w:shd w:val="clear" w:color="auto" w:fill="E6E6E6"/>
          </w:tcPr>
          <w:p>
            <w:pPr>
              <w:spacing w:after="0"/>
              <w:rPr>
                <w:sz w:val="17"/>
                <w:szCs w:val="17"/>
                <w:color w:val="auto"/>
              </w:rPr>
            </w:pPr>
          </w:p>
        </w:tc>
        <w:tc>
          <w:tcPr>
            <w:tcW w:w="112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117.7</w:t>
            </w:r>
          </w:p>
        </w:tc>
        <w:tc>
          <w:tcPr>
            <w:tcW w:w="260" w:type="dxa"/>
            <w:vAlign w:val="bottom"/>
            <w:shd w:val="clear" w:color="auto" w:fill="E6E6E6"/>
          </w:tcPr>
          <w:p>
            <w:pPr>
              <w:spacing w:after="0"/>
              <w:rPr>
                <w:sz w:val="17"/>
                <w:szCs w:val="17"/>
                <w:color w:val="auto"/>
              </w:rPr>
            </w:pPr>
          </w:p>
        </w:tc>
        <w:tc>
          <w:tcPr>
            <w:tcW w:w="800" w:type="dxa"/>
            <w:vAlign w:val="bottom"/>
            <w:shd w:val="clear" w:color="auto" w:fill="E6E6E6"/>
          </w:tcPr>
          <w:p>
            <w:pPr>
              <w:jc w:val="right"/>
              <w:ind w:right="33"/>
              <w:spacing w:after="0" w:line="202" w:lineRule="exact"/>
              <w:rPr>
                <w:sz w:val="20"/>
                <w:szCs w:val="20"/>
                <w:color w:val="auto"/>
              </w:rPr>
            </w:pPr>
            <w:r>
              <w:rPr>
                <w:rFonts w:ascii="Arial" w:cs="Arial" w:eastAsia="Arial" w:hAnsi="Arial"/>
                <w:sz w:val="18"/>
                <w:szCs w:val="18"/>
                <w:color w:val="auto"/>
              </w:rPr>
              <w:t>754.4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86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364" w:lineRule="exact"/>
        <w:rPr>
          <w:sz w:val="20"/>
          <w:szCs w:val="20"/>
          <w:color w:val="auto"/>
        </w:rPr>
      </w:pPr>
    </w:p>
    <w:p>
      <w:pPr>
        <w:ind w:left="460" w:right="140" w:hanging="452"/>
        <w:spacing w:after="0" w:line="224" w:lineRule="auto"/>
        <w:tabs>
          <w:tab w:leader="none" w:pos="460" w:val="left"/>
        </w:tabs>
        <w:numPr>
          <w:ilvl w:val="0"/>
          <w:numId w:val="13"/>
        </w:numPr>
        <w:rPr>
          <w:rFonts w:ascii="Arial" w:cs="Arial" w:eastAsia="Arial" w:hAnsi="Arial"/>
          <w:sz w:val="14"/>
          <w:szCs w:val="14"/>
          <w:color w:val="auto"/>
        </w:rPr>
      </w:pPr>
      <w:r>
        <w:rPr>
          <w:rFonts w:ascii="Arial" w:cs="Arial" w:eastAsia="Arial" w:hAnsi="Arial"/>
          <w:sz w:val="14"/>
          <w:szCs w:val="14"/>
          <w:color w:val="auto"/>
        </w:rPr>
        <w:t>As discussed in Note 2, “Discontinued Operations,” the Company determined to sell or shut down its domestic, Canadian and UK continuities businesses, and intends to sell the Maumelle Facility and the Danbury Facility. During fiscal 2009, the Company also ceased its operations in Argentina and Mexico, its door-to-door selling operations in Puerto Rico, as well as its continuities business in Australia and New Zealand, its corporate book fairs business and closed its Scarsdale, NY store. The Company also sold a trade magazine. Additionally, the Company sold a non-core market research business and a non-core on-line resource for teachers business. In fiscal 2010, the Company sold a previously discontinued non-core book distribution business. All of the above businesses are classified as discontinued operations in the Company’s financial statements and, as such, are not reflected in this table.</w:t>
      </w:r>
    </w:p>
    <w:p>
      <w:pPr>
        <w:spacing w:after="0" w:line="138" w:lineRule="exact"/>
        <w:rPr>
          <w:rFonts w:ascii="Arial" w:cs="Arial" w:eastAsia="Arial" w:hAnsi="Arial"/>
          <w:sz w:val="14"/>
          <w:szCs w:val="14"/>
          <w:color w:val="auto"/>
        </w:rPr>
      </w:pPr>
    </w:p>
    <w:p>
      <w:pPr>
        <w:ind w:left="460" w:right="240" w:hanging="452"/>
        <w:spacing w:after="0" w:line="228" w:lineRule="auto"/>
        <w:tabs>
          <w:tab w:leader="none" w:pos="460" w:val="left"/>
        </w:tabs>
        <w:numPr>
          <w:ilvl w:val="0"/>
          <w:numId w:val="13"/>
        </w:numPr>
        <w:rPr>
          <w:rFonts w:ascii="Arial" w:cs="Arial" w:eastAsia="Arial" w:hAnsi="Arial"/>
          <w:sz w:val="14"/>
          <w:szCs w:val="14"/>
          <w:color w:val="auto"/>
        </w:rPr>
      </w:pPr>
      <w:r>
        <w:rPr>
          <w:rFonts w:ascii="Arial" w:cs="Arial" w:eastAsia="Arial" w:hAnsi="Arial"/>
          <w:sz w:val="14"/>
          <w:szCs w:val="14"/>
          <w:color w:val="auto"/>
        </w:rPr>
        <w:t>Overhead includes all domestic corporate amounts not allocated to segments, including expenses and costs related to the management of corporate assets. Unallocated assets are principally comprised of deferred income taxes and property, plant and equipment related to the Company’s headquarters in the metropolitan New York area and its fulfillment and distribution facilities located in Missouri.</w:t>
      </w:r>
    </w:p>
    <w:p>
      <w:pPr>
        <w:spacing w:after="0" w:line="135" w:lineRule="exact"/>
        <w:rPr>
          <w:rFonts w:ascii="Arial" w:cs="Arial" w:eastAsia="Arial" w:hAnsi="Arial"/>
          <w:sz w:val="14"/>
          <w:szCs w:val="14"/>
          <w:color w:val="auto"/>
        </w:rPr>
      </w:pPr>
    </w:p>
    <w:p>
      <w:pPr>
        <w:ind w:left="460" w:hanging="452"/>
        <w:spacing w:after="0"/>
        <w:tabs>
          <w:tab w:leader="none" w:pos="460" w:val="left"/>
        </w:tabs>
        <w:numPr>
          <w:ilvl w:val="0"/>
          <w:numId w:val="13"/>
        </w:numPr>
        <w:rPr>
          <w:rFonts w:ascii="Arial" w:cs="Arial" w:eastAsia="Arial" w:hAnsi="Arial"/>
          <w:sz w:val="14"/>
          <w:szCs w:val="14"/>
          <w:color w:val="auto"/>
        </w:rPr>
      </w:pPr>
      <w:r>
        <w:rPr>
          <w:rFonts w:ascii="Arial" w:cs="Arial" w:eastAsia="Arial" w:hAnsi="Arial"/>
          <w:sz w:val="14"/>
          <w:szCs w:val="14"/>
          <w:color w:val="auto"/>
        </w:rPr>
        <w:t>Includes depreciation of property, plant and equipment and amortization of intangible assets.</w:t>
      </w:r>
    </w:p>
    <w:p>
      <w:pPr>
        <w:spacing w:after="0" w:line="136" w:lineRule="exact"/>
        <w:rPr>
          <w:rFonts w:ascii="Arial" w:cs="Arial" w:eastAsia="Arial" w:hAnsi="Arial"/>
          <w:sz w:val="14"/>
          <w:szCs w:val="14"/>
          <w:color w:val="auto"/>
        </w:rPr>
      </w:pPr>
    </w:p>
    <w:p>
      <w:pPr>
        <w:ind w:left="460" w:hanging="452"/>
        <w:spacing w:after="0"/>
        <w:tabs>
          <w:tab w:leader="none" w:pos="460" w:val="left"/>
        </w:tabs>
        <w:numPr>
          <w:ilvl w:val="0"/>
          <w:numId w:val="13"/>
        </w:numPr>
        <w:rPr>
          <w:rFonts w:ascii="Arial" w:cs="Arial" w:eastAsia="Arial" w:hAnsi="Arial"/>
          <w:sz w:val="14"/>
          <w:szCs w:val="14"/>
          <w:color w:val="auto"/>
        </w:rPr>
      </w:pPr>
      <w:r>
        <w:rPr>
          <w:rFonts w:ascii="Arial" w:cs="Arial" w:eastAsia="Arial" w:hAnsi="Arial"/>
          <w:sz w:val="14"/>
          <w:szCs w:val="14"/>
          <w:color w:val="auto"/>
        </w:rPr>
        <w:t>Includes amortization of prepublication and production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2663825</wp:posOffset>
            </wp:positionH>
            <wp:positionV relativeFrom="paragraph">
              <wp:posOffset>129540</wp:posOffset>
            </wp:positionV>
            <wp:extent cx="1929765" cy="23177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1929765" cy="231775"/>
                    </a:xfrm>
                    <a:prstGeom prst="rect">
                      <a:avLst/>
                    </a:prstGeom>
                    <a:noFill/>
                  </pic:spPr>
                </pic:pic>
              </a:graphicData>
            </a:graphic>
          </wp:anchor>
        </w:drawing>
      </w:r>
    </w:p>
    <w:p>
      <w:pPr>
        <w:sectPr>
          <w:pgSz w:w="11900" w:h="16838" w:orient="portrait"/>
          <w:cols w:equalWidth="0" w:num="1">
            <w:col w:w="11440"/>
          </w:cols>
          <w:pgMar w:left="240" w:top="833" w:right="2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67575" cy="3873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40"/>
          </w:cols>
          <w:pgMar w:left="240" w:top="833" w:right="219" w:bottom="1440" w:gutter="0" w:footer="0" w:header="0"/>
          <w:type w:val="continuous"/>
        </w:sectPr>
      </w:pPr>
    </w:p>
    <w:bookmarkStart w:id="56" w:name="page57"/>
    <w:bookmarkEnd w:id="5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263765" cy="8890"/>
                    </a:xfrm>
                    <a:prstGeom prst="rect">
                      <a:avLst/>
                    </a:prstGeom>
                    <a:noFill/>
                  </pic:spPr>
                </pic:pic>
              </a:graphicData>
            </a:graphic>
          </wp:anchor>
        </w:drawing>
        <w:t>4. DEBT</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debt as of May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263765" cy="889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60" w:type="dxa"/>
            <w:vAlign w:val="bottom"/>
          </w:tcPr>
          <w:p>
            <w:pPr>
              <w:jc w:val="right"/>
              <w:ind w:right="258"/>
              <w:spacing w:after="0"/>
              <w:rPr>
                <w:sz w:val="20"/>
                <w:szCs w:val="20"/>
                <w:color w:val="auto"/>
              </w:rPr>
            </w:pPr>
            <w:r>
              <w:rPr>
                <w:rFonts w:ascii="Arial" w:cs="Arial" w:eastAsia="Arial" w:hAnsi="Arial"/>
                <w:sz w:val="14"/>
                <w:szCs w:val="14"/>
                <w:b w:val="1"/>
                <w:bCs w:val="1"/>
                <w:color w:val="auto"/>
              </w:rPr>
              <w:t>Carrying</w:t>
            </w:r>
          </w:p>
        </w:tc>
        <w:tc>
          <w:tcPr>
            <w:tcW w:w="160" w:type="dxa"/>
            <w:vAlign w:val="bottom"/>
          </w:tcPr>
          <w:p>
            <w:pPr>
              <w:spacing w:after="0"/>
              <w:rPr>
                <w:sz w:val="14"/>
                <w:szCs w:val="14"/>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Fair</w:t>
            </w:r>
          </w:p>
        </w:tc>
        <w:tc>
          <w:tcPr>
            <w:tcW w:w="320" w:type="dxa"/>
            <w:vAlign w:val="bottom"/>
          </w:tcPr>
          <w:p>
            <w:pPr>
              <w:spacing w:after="0"/>
              <w:rPr>
                <w:sz w:val="14"/>
                <w:szCs w:val="14"/>
                <w:color w:val="auto"/>
              </w:rPr>
            </w:pPr>
          </w:p>
        </w:tc>
        <w:tc>
          <w:tcPr>
            <w:tcW w:w="940" w:type="dxa"/>
            <w:vAlign w:val="bottom"/>
          </w:tcPr>
          <w:p>
            <w:pPr>
              <w:jc w:val="right"/>
              <w:ind w:right="238"/>
              <w:spacing w:after="0"/>
              <w:rPr>
                <w:sz w:val="20"/>
                <w:szCs w:val="20"/>
                <w:color w:val="auto"/>
              </w:rPr>
            </w:pPr>
            <w:r>
              <w:rPr>
                <w:rFonts w:ascii="Arial" w:cs="Arial" w:eastAsia="Arial" w:hAnsi="Arial"/>
                <w:sz w:val="14"/>
                <w:szCs w:val="14"/>
                <w:b w:val="1"/>
                <w:bCs w:val="1"/>
                <w:color w:val="auto"/>
              </w:rPr>
              <w:t>Carrying</w:t>
            </w:r>
          </w:p>
        </w:tc>
        <w:tc>
          <w:tcPr>
            <w:tcW w:w="220" w:type="dxa"/>
            <w:vAlign w:val="bottom"/>
          </w:tcPr>
          <w:p>
            <w:pPr>
              <w:spacing w:after="0"/>
              <w:rPr>
                <w:sz w:val="14"/>
                <w:szCs w:val="14"/>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Fair</w:t>
            </w:r>
          </w:p>
        </w:tc>
        <w:tc>
          <w:tcPr>
            <w:tcW w:w="20" w:type="dxa"/>
            <w:vAlign w:val="bottom"/>
          </w:tcPr>
          <w:p>
            <w:pPr>
              <w:spacing w:after="0"/>
              <w:rPr>
                <w:sz w:val="14"/>
                <w:szCs w:val="14"/>
                <w:color w:val="auto"/>
              </w:rPr>
            </w:pPr>
          </w:p>
        </w:tc>
      </w:tr>
      <w:tr>
        <w:trPr>
          <w:trHeight w:val="178"/>
        </w:trPr>
        <w:tc>
          <w:tcPr>
            <w:tcW w:w="66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60" w:type="dxa"/>
            <w:vAlign w:val="bottom"/>
          </w:tcPr>
          <w:p>
            <w:pPr>
              <w:jc w:val="right"/>
              <w:ind w:right="258"/>
              <w:spacing w:after="0"/>
              <w:rPr>
                <w:sz w:val="20"/>
                <w:szCs w:val="20"/>
                <w:color w:val="auto"/>
              </w:rPr>
            </w:pPr>
            <w:r>
              <w:rPr>
                <w:rFonts w:ascii="Arial" w:cs="Arial" w:eastAsia="Arial" w:hAnsi="Arial"/>
                <w:sz w:val="14"/>
                <w:szCs w:val="14"/>
                <w:b w:val="1"/>
                <w:bCs w:val="1"/>
                <w:color w:val="auto"/>
              </w:rPr>
              <w:t>Value</w:t>
            </w:r>
          </w:p>
        </w:tc>
        <w:tc>
          <w:tcPr>
            <w:tcW w:w="160" w:type="dxa"/>
            <w:vAlign w:val="bottom"/>
          </w:tcPr>
          <w:p>
            <w:pPr>
              <w:spacing w:after="0"/>
              <w:rPr>
                <w:sz w:val="15"/>
                <w:szCs w:val="15"/>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Value</w:t>
            </w:r>
          </w:p>
        </w:tc>
        <w:tc>
          <w:tcPr>
            <w:tcW w:w="320" w:type="dxa"/>
            <w:vAlign w:val="bottom"/>
          </w:tcPr>
          <w:p>
            <w:pPr>
              <w:spacing w:after="0"/>
              <w:rPr>
                <w:sz w:val="15"/>
                <w:szCs w:val="15"/>
                <w:color w:val="auto"/>
              </w:rPr>
            </w:pPr>
          </w:p>
        </w:tc>
        <w:tc>
          <w:tcPr>
            <w:tcW w:w="940" w:type="dxa"/>
            <w:vAlign w:val="bottom"/>
          </w:tcPr>
          <w:p>
            <w:pPr>
              <w:jc w:val="right"/>
              <w:ind w:right="238"/>
              <w:spacing w:after="0"/>
              <w:rPr>
                <w:sz w:val="20"/>
                <w:szCs w:val="20"/>
                <w:color w:val="auto"/>
              </w:rPr>
            </w:pPr>
            <w:r>
              <w:rPr>
                <w:rFonts w:ascii="Arial" w:cs="Arial" w:eastAsia="Arial" w:hAnsi="Arial"/>
                <w:sz w:val="14"/>
                <w:szCs w:val="14"/>
                <w:b w:val="1"/>
                <w:bCs w:val="1"/>
                <w:color w:val="auto"/>
              </w:rPr>
              <w:t>Value</w:t>
            </w:r>
          </w:p>
        </w:tc>
        <w:tc>
          <w:tcPr>
            <w:tcW w:w="220" w:type="dxa"/>
            <w:vAlign w:val="bottom"/>
          </w:tcPr>
          <w:p>
            <w:pPr>
              <w:spacing w:after="0"/>
              <w:rPr>
                <w:sz w:val="15"/>
                <w:szCs w:val="15"/>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Value</w:t>
            </w:r>
          </w:p>
        </w:tc>
        <w:tc>
          <w:tcPr>
            <w:tcW w:w="20" w:type="dxa"/>
            <w:vAlign w:val="bottom"/>
          </w:tcPr>
          <w:p>
            <w:pPr>
              <w:spacing w:after="0"/>
              <w:rPr>
                <w:sz w:val="15"/>
                <w:szCs w:val="15"/>
                <w:color w:val="auto"/>
              </w:rPr>
            </w:pPr>
          </w:p>
        </w:tc>
      </w:tr>
      <w:tr>
        <w:trPr>
          <w:trHeight w:val="95"/>
        </w:trPr>
        <w:tc>
          <w:tcPr>
            <w:tcW w:w="666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r>
      <w:tr>
        <w:trPr>
          <w:trHeight w:val="263"/>
        </w:trPr>
        <w:tc>
          <w:tcPr>
            <w:tcW w:w="66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2009</w:t>
            </w:r>
          </w:p>
        </w:tc>
        <w:tc>
          <w:tcPr>
            <w:tcW w:w="2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95"/>
        </w:trPr>
        <w:tc>
          <w:tcPr>
            <w:tcW w:w="666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r>
      <w:tr>
        <w:trPr>
          <w:trHeight w:val="102"/>
        </w:trPr>
        <w:tc>
          <w:tcPr>
            <w:tcW w:w="6660" w:type="dxa"/>
            <w:vAlign w:val="bottom"/>
          </w:tcPr>
          <w:p>
            <w:pPr>
              <w:spacing w:after="0"/>
              <w:rPr>
                <w:sz w:val="8"/>
                <w:szCs w:val="8"/>
                <w:color w:val="auto"/>
              </w:rPr>
            </w:pPr>
          </w:p>
        </w:tc>
        <w:tc>
          <w:tcPr>
            <w:tcW w:w="620" w:type="dxa"/>
            <w:vAlign w:val="bottom"/>
          </w:tcPr>
          <w:p>
            <w:pPr>
              <w:spacing w:after="0"/>
              <w:rPr>
                <w:sz w:val="8"/>
                <w:szCs w:val="8"/>
                <w:color w:val="auto"/>
              </w:rPr>
            </w:pPr>
          </w:p>
        </w:tc>
        <w:tc>
          <w:tcPr>
            <w:tcW w:w="9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940" w:type="dxa"/>
            <w:vAlign w:val="bottom"/>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203"/>
        </w:trPr>
        <w:tc>
          <w:tcPr>
            <w:tcW w:w="666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Lines of Credit (weighted average interest rates of 3.9% and 3.3%, respectively)</w:t>
            </w:r>
          </w:p>
        </w:tc>
        <w:tc>
          <w:tcPr>
            <w:tcW w:w="62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w:t>
            </w:r>
          </w:p>
        </w:tc>
        <w:tc>
          <w:tcPr>
            <w:tcW w:w="960" w:type="dxa"/>
            <w:vAlign w:val="bottom"/>
            <w:shd w:val="clear" w:color="auto" w:fill="E6E6E6"/>
          </w:tcPr>
          <w:p>
            <w:pPr>
              <w:jc w:val="right"/>
              <w:ind w:right="258"/>
              <w:spacing w:after="0" w:line="202" w:lineRule="exact"/>
              <w:rPr>
                <w:sz w:val="20"/>
                <w:szCs w:val="20"/>
                <w:color w:val="auto"/>
              </w:rPr>
            </w:pPr>
            <w:r>
              <w:rPr>
                <w:rFonts w:ascii="Arial" w:cs="Arial" w:eastAsia="Arial" w:hAnsi="Arial"/>
                <w:sz w:val="18"/>
                <w:szCs w:val="18"/>
                <w:color w:val="auto"/>
              </w:rPr>
              <w:t>7.5</w:t>
            </w:r>
          </w:p>
        </w:tc>
        <w:tc>
          <w:tcPr>
            <w:tcW w:w="16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E6E6E6"/>
          </w:tcPr>
          <w:p>
            <w:pPr>
              <w:jc w:val="right"/>
              <w:ind w:right="180"/>
              <w:spacing w:after="0" w:line="202" w:lineRule="exact"/>
              <w:rPr>
                <w:sz w:val="20"/>
                <w:szCs w:val="20"/>
                <w:color w:val="auto"/>
              </w:rPr>
            </w:pPr>
            <w:r>
              <w:rPr>
                <w:rFonts w:ascii="Arial" w:cs="Arial" w:eastAsia="Arial" w:hAnsi="Arial"/>
                <w:sz w:val="18"/>
                <w:szCs w:val="18"/>
                <w:color w:val="auto"/>
              </w:rPr>
              <w:t>7.5</w:t>
            </w:r>
          </w:p>
        </w:tc>
        <w:tc>
          <w:tcPr>
            <w:tcW w:w="32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shd w:val="clear" w:color="auto" w:fill="E6E6E6"/>
          </w:tcPr>
          <w:p>
            <w:pPr>
              <w:jc w:val="right"/>
              <w:ind w:right="238"/>
              <w:spacing w:after="0" w:line="202" w:lineRule="exact"/>
              <w:rPr>
                <w:sz w:val="20"/>
                <w:szCs w:val="20"/>
                <w:color w:val="auto"/>
              </w:rPr>
            </w:pPr>
            <w:r>
              <w:rPr>
                <w:rFonts w:ascii="Arial" w:cs="Arial" w:eastAsia="Arial" w:hAnsi="Arial"/>
                <w:sz w:val="18"/>
                <w:szCs w:val="18"/>
                <w:color w:val="auto"/>
              </w:rPr>
              <w:t>10.9</w:t>
            </w:r>
          </w:p>
        </w:tc>
        <w:tc>
          <w:tcPr>
            <w:tcW w:w="220" w:type="dxa"/>
            <w:vAlign w:val="bottom"/>
            <w:shd w:val="clear" w:color="auto" w:fill="E6E6E6"/>
          </w:tcPr>
          <w:p>
            <w:pPr>
              <w:jc w:val="right"/>
              <w:ind w:right="32"/>
              <w:spacing w:after="0" w:line="202" w:lineRule="exact"/>
              <w:rPr>
                <w:sz w:val="20"/>
                <w:szCs w:val="20"/>
                <w:color w:val="auto"/>
              </w:rPr>
            </w:pPr>
            <w:r>
              <w:rPr>
                <w:rFonts w:ascii="Arial" w:cs="Arial" w:eastAsia="Arial" w:hAnsi="Arial"/>
                <w:sz w:val="18"/>
                <w:szCs w:val="18"/>
                <w:color w:val="auto"/>
                <w:w w:val="79"/>
              </w:rPr>
              <w:t>$</w:t>
            </w:r>
          </w:p>
        </w:tc>
        <w:tc>
          <w:tcPr>
            <w:tcW w:w="680" w:type="dxa"/>
            <w:vAlign w:val="bottom"/>
            <w:shd w:val="clear" w:color="auto" w:fill="E6E6E6"/>
          </w:tcPr>
          <w:p>
            <w:pPr>
              <w:jc w:val="right"/>
              <w:ind w:right="17"/>
              <w:spacing w:after="0" w:line="202" w:lineRule="exact"/>
              <w:rPr>
                <w:sz w:val="20"/>
                <w:szCs w:val="20"/>
                <w:color w:val="auto"/>
              </w:rPr>
            </w:pPr>
            <w:r>
              <w:rPr>
                <w:rFonts w:ascii="Arial" w:cs="Arial" w:eastAsia="Arial" w:hAnsi="Arial"/>
                <w:sz w:val="18"/>
                <w:szCs w:val="18"/>
                <w:color w:val="auto"/>
              </w:rPr>
              <w:t>10.9</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6660" w:type="dxa"/>
            <w:vAlign w:val="bottom"/>
          </w:tcPr>
          <w:p>
            <w:pPr>
              <w:spacing w:after="0" w:line="202" w:lineRule="exact"/>
              <w:rPr>
                <w:sz w:val="20"/>
                <w:szCs w:val="20"/>
                <w:color w:val="auto"/>
              </w:rPr>
            </w:pPr>
            <w:r>
              <w:rPr>
                <w:rFonts w:ascii="Arial" w:cs="Arial" w:eastAsia="Arial" w:hAnsi="Arial"/>
                <w:sz w:val="18"/>
                <w:szCs w:val="18"/>
                <w:color w:val="auto"/>
              </w:rPr>
              <w:t>Loan Agreement:</w:t>
            </w:r>
          </w:p>
        </w:tc>
        <w:tc>
          <w:tcPr>
            <w:tcW w:w="6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6660" w:type="dxa"/>
            <w:vAlign w:val="bottom"/>
            <w:shd w:val="clear" w:color="auto" w:fill="E6E6E6"/>
          </w:tcPr>
          <w:p>
            <w:pPr>
              <w:ind w:left="160"/>
              <w:spacing w:after="0" w:line="202" w:lineRule="exact"/>
              <w:rPr>
                <w:sz w:val="20"/>
                <w:szCs w:val="20"/>
                <w:color w:val="auto"/>
              </w:rPr>
            </w:pPr>
            <w:r>
              <w:rPr>
                <w:rFonts w:ascii="Arial" w:cs="Arial" w:eastAsia="Arial" w:hAnsi="Arial"/>
                <w:sz w:val="18"/>
                <w:szCs w:val="18"/>
                <w:color w:val="auto"/>
              </w:rPr>
              <w:t>Revolving Loan</w:t>
            </w:r>
          </w:p>
        </w:tc>
        <w:tc>
          <w:tcPr>
            <w:tcW w:w="620" w:type="dxa"/>
            <w:vAlign w:val="bottom"/>
            <w:shd w:val="clear" w:color="auto" w:fill="E6E6E6"/>
          </w:tcPr>
          <w:p>
            <w:pPr>
              <w:spacing w:after="0"/>
              <w:rPr>
                <w:sz w:val="17"/>
                <w:szCs w:val="17"/>
                <w:color w:val="auto"/>
              </w:rPr>
            </w:pPr>
          </w:p>
        </w:tc>
        <w:tc>
          <w:tcPr>
            <w:tcW w:w="960" w:type="dxa"/>
            <w:vAlign w:val="bottom"/>
            <w:shd w:val="clear" w:color="auto" w:fill="E6E6E6"/>
          </w:tcPr>
          <w:p>
            <w:pPr>
              <w:jc w:val="right"/>
              <w:ind w:right="258"/>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E6E6E6"/>
          </w:tcPr>
          <w:p>
            <w:pPr>
              <w:spacing w:after="0"/>
              <w:rPr>
                <w:sz w:val="17"/>
                <w:szCs w:val="17"/>
                <w:color w:val="auto"/>
              </w:rPr>
            </w:pPr>
          </w:p>
        </w:tc>
        <w:tc>
          <w:tcPr>
            <w:tcW w:w="860" w:type="dxa"/>
            <w:vAlign w:val="bottom"/>
            <w:gridSpan w:val="2"/>
            <w:shd w:val="clear" w:color="auto" w:fill="E6E6E6"/>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320" w:type="dxa"/>
            <w:vAlign w:val="bottom"/>
            <w:shd w:val="clear" w:color="auto" w:fill="E6E6E6"/>
          </w:tcPr>
          <w:p>
            <w:pPr>
              <w:spacing w:after="0"/>
              <w:rPr>
                <w:sz w:val="17"/>
                <w:szCs w:val="17"/>
                <w:color w:val="auto"/>
              </w:rPr>
            </w:pPr>
          </w:p>
        </w:tc>
        <w:tc>
          <w:tcPr>
            <w:tcW w:w="940" w:type="dxa"/>
            <w:vAlign w:val="bottom"/>
            <w:shd w:val="clear" w:color="auto" w:fill="E6E6E6"/>
          </w:tcPr>
          <w:p>
            <w:pPr>
              <w:jc w:val="right"/>
              <w:ind w:right="238"/>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E6E6E6"/>
          </w:tcPr>
          <w:p>
            <w:pPr>
              <w:spacing w:after="0"/>
              <w:rPr>
                <w:sz w:val="17"/>
                <w:szCs w:val="17"/>
                <w:color w:val="auto"/>
              </w:rPr>
            </w:pPr>
          </w:p>
        </w:tc>
        <w:tc>
          <w:tcPr>
            <w:tcW w:w="680" w:type="dxa"/>
            <w:vAlign w:val="bottom"/>
            <w:shd w:val="clear" w:color="auto" w:fill="E6E6E6"/>
          </w:tcPr>
          <w:p>
            <w:pPr>
              <w:jc w:val="right"/>
              <w:ind w:right="17"/>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6660" w:type="dxa"/>
            <w:vAlign w:val="bottom"/>
          </w:tcPr>
          <w:p>
            <w:pPr>
              <w:ind w:left="160"/>
              <w:spacing w:after="0" w:line="202" w:lineRule="exact"/>
              <w:rPr>
                <w:sz w:val="20"/>
                <w:szCs w:val="20"/>
                <w:color w:val="auto"/>
              </w:rPr>
            </w:pPr>
            <w:r>
              <w:rPr>
                <w:rFonts w:ascii="Arial" w:cs="Arial" w:eastAsia="Arial" w:hAnsi="Arial"/>
                <w:sz w:val="18"/>
                <w:szCs w:val="18"/>
                <w:color w:val="auto"/>
              </w:rPr>
              <w:t>Term Loan (interest rates of 1.1% and 1.2%, respectively)</w:t>
            </w:r>
          </w:p>
        </w:tc>
        <w:tc>
          <w:tcPr>
            <w:tcW w:w="620" w:type="dxa"/>
            <w:vAlign w:val="bottom"/>
          </w:tcPr>
          <w:p>
            <w:pPr>
              <w:spacing w:after="0"/>
              <w:rPr>
                <w:sz w:val="17"/>
                <w:szCs w:val="17"/>
                <w:color w:val="auto"/>
              </w:rPr>
            </w:pPr>
          </w:p>
        </w:tc>
        <w:tc>
          <w:tcPr>
            <w:tcW w:w="960" w:type="dxa"/>
            <w:vAlign w:val="bottom"/>
          </w:tcPr>
          <w:p>
            <w:pPr>
              <w:jc w:val="right"/>
              <w:ind w:right="258"/>
              <w:spacing w:after="0" w:line="202" w:lineRule="exact"/>
              <w:rPr>
                <w:sz w:val="20"/>
                <w:szCs w:val="20"/>
                <w:color w:val="auto"/>
              </w:rPr>
            </w:pPr>
            <w:r>
              <w:rPr>
                <w:rFonts w:ascii="Arial" w:cs="Arial" w:eastAsia="Arial" w:hAnsi="Arial"/>
                <w:sz w:val="18"/>
                <w:szCs w:val="18"/>
                <w:color w:val="auto"/>
              </w:rPr>
              <w:t>93.0</w:t>
            </w:r>
          </w:p>
        </w:tc>
        <w:tc>
          <w:tcPr>
            <w:tcW w:w="160" w:type="dxa"/>
            <w:vAlign w:val="bottom"/>
          </w:tcPr>
          <w:p>
            <w:pPr>
              <w:spacing w:after="0"/>
              <w:rPr>
                <w:sz w:val="17"/>
                <w:szCs w:val="17"/>
                <w:color w:val="auto"/>
              </w:rPr>
            </w:pPr>
          </w:p>
        </w:tc>
        <w:tc>
          <w:tcPr>
            <w:tcW w:w="8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93.0</w:t>
            </w:r>
          </w:p>
        </w:tc>
        <w:tc>
          <w:tcPr>
            <w:tcW w:w="320" w:type="dxa"/>
            <w:vAlign w:val="bottom"/>
          </w:tcPr>
          <w:p>
            <w:pPr>
              <w:spacing w:after="0"/>
              <w:rPr>
                <w:sz w:val="17"/>
                <w:szCs w:val="17"/>
                <w:color w:val="auto"/>
              </w:rPr>
            </w:pPr>
          </w:p>
        </w:tc>
        <w:tc>
          <w:tcPr>
            <w:tcW w:w="940" w:type="dxa"/>
            <w:vAlign w:val="bottom"/>
          </w:tcPr>
          <w:p>
            <w:pPr>
              <w:jc w:val="right"/>
              <w:ind w:right="238"/>
              <w:spacing w:after="0" w:line="202" w:lineRule="exact"/>
              <w:rPr>
                <w:sz w:val="20"/>
                <w:szCs w:val="20"/>
                <w:color w:val="auto"/>
              </w:rPr>
            </w:pPr>
            <w:r>
              <w:rPr>
                <w:rFonts w:ascii="Arial" w:cs="Arial" w:eastAsia="Arial" w:hAnsi="Arial"/>
                <w:sz w:val="18"/>
                <w:szCs w:val="18"/>
                <w:color w:val="auto"/>
              </w:rPr>
              <w:t>135.8</w:t>
            </w:r>
          </w:p>
        </w:tc>
        <w:tc>
          <w:tcPr>
            <w:tcW w:w="220" w:type="dxa"/>
            <w:vAlign w:val="bottom"/>
          </w:tcPr>
          <w:p>
            <w:pPr>
              <w:spacing w:after="0"/>
              <w:rPr>
                <w:sz w:val="17"/>
                <w:szCs w:val="17"/>
                <w:color w:val="auto"/>
              </w:rPr>
            </w:pPr>
          </w:p>
        </w:tc>
        <w:tc>
          <w:tcPr>
            <w:tcW w:w="680" w:type="dxa"/>
            <w:vAlign w:val="bottom"/>
          </w:tcPr>
          <w:p>
            <w:pPr>
              <w:jc w:val="right"/>
              <w:ind w:right="17"/>
              <w:spacing w:after="0" w:line="202" w:lineRule="exact"/>
              <w:rPr>
                <w:sz w:val="20"/>
                <w:szCs w:val="20"/>
                <w:color w:val="auto"/>
              </w:rPr>
            </w:pPr>
            <w:r>
              <w:rPr>
                <w:rFonts w:ascii="Arial" w:cs="Arial" w:eastAsia="Arial" w:hAnsi="Arial"/>
                <w:sz w:val="18"/>
                <w:szCs w:val="18"/>
                <w:color w:val="auto"/>
              </w:rPr>
              <w:t>135.8</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666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5% Notes due 2013, net of discount</w:t>
            </w:r>
          </w:p>
        </w:tc>
        <w:tc>
          <w:tcPr>
            <w:tcW w:w="620" w:type="dxa"/>
            <w:vAlign w:val="bottom"/>
            <w:shd w:val="clear" w:color="auto" w:fill="E6E6E6"/>
          </w:tcPr>
          <w:p>
            <w:pPr>
              <w:spacing w:after="0"/>
              <w:rPr>
                <w:sz w:val="17"/>
                <w:szCs w:val="17"/>
                <w:color w:val="auto"/>
              </w:rPr>
            </w:pPr>
          </w:p>
        </w:tc>
        <w:tc>
          <w:tcPr>
            <w:tcW w:w="960" w:type="dxa"/>
            <w:vAlign w:val="bottom"/>
            <w:shd w:val="clear" w:color="auto" w:fill="E6E6E6"/>
          </w:tcPr>
          <w:p>
            <w:pPr>
              <w:jc w:val="right"/>
              <w:ind w:right="258"/>
              <w:spacing w:after="0" w:line="202" w:lineRule="exact"/>
              <w:rPr>
                <w:sz w:val="20"/>
                <w:szCs w:val="20"/>
                <w:color w:val="auto"/>
              </w:rPr>
            </w:pPr>
            <w:r>
              <w:rPr>
                <w:rFonts w:ascii="Arial" w:cs="Arial" w:eastAsia="Arial" w:hAnsi="Arial"/>
                <w:sz w:val="18"/>
                <w:szCs w:val="18"/>
                <w:color w:val="auto"/>
              </w:rPr>
              <w:t>152.3</w:t>
            </w:r>
          </w:p>
        </w:tc>
        <w:tc>
          <w:tcPr>
            <w:tcW w:w="160" w:type="dxa"/>
            <w:vAlign w:val="bottom"/>
            <w:shd w:val="clear" w:color="auto" w:fill="E6E6E6"/>
          </w:tcPr>
          <w:p>
            <w:pPr>
              <w:spacing w:after="0"/>
              <w:rPr>
                <w:sz w:val="17"/>
                <w:szCs w:val="17"/>
                <w:color w:val="auto"/>
              </w:rPr>
            </w:pPr>
          </w:p>
        </w:tc>
        <w:tc>
          <w:tcPr>
            <w:tcW w:w="860" w:type="dxa"/>
            <w:vAlign w:val="bottom"/>
            <w:gridSpan w:val="2"/>
            <w:shd w:val="clear" w:color="auto" w:fill="E6E6E6"/>
          </w:tcPr>
          <w:p>
            <w:pPr>
              <w:jc w:val="right"/>
              <w:ind w:right="180"/>
              <w:spacing w:after="0" w:line="202" w:lineRule="exact"/>
              <w:rPr>
                <w:sz w:val="20"/>
                <w:szCs w:val="20"/>
                <w:color w:val="auto"/>
              </w:rPr>
            </w:pPr>
            <w:r>
              <w:rPr>
                <w:rFonts w:ascii="Arial" w:cs="Arial" w:eastAsia="Arial" w:hAnsi="Arial"/>
                <w:sz w:val="18"/>
                <w:szCs w:val="18"/>
                <w:color w:val="auto"/>
              </w:rPr>
              <w:t>151.3</w:t>
            </w:r>
          </w:p>
        </w:tc>
        <w:tc>
          <w:tcPr>
            <w:tcW w:w="320" w:type="dxa"/>
            <w:vAlign w:val="bottom"/>
            <w:shd w:val="clear" w:color="auto" w:fill="E6E6E6"/>
          </w:tcPr>
          <w:p>
            <w:pPr>
              <w:spacing w:after="0"/>
              <w:rPr>
                <w:sz w:val="17"/>
                <w:szCs w:val="17"/>
                <w:color w:val="auto"/>
              </w:rPr>
            </w:pPr>
          </w:p>
        </w:tc>
        <w:tc>
          <w:tcPr>
            <w:tcW w:w="940" w:type="dxa"/>
            <w:vAlign w:val="bottom"/>
            <w:shd w:val="clear" w:color="auto" w:fill="E6E6E6"/>
          </w:tcPr>
          <w:p>
            <w:pPr>
              <w:jc w:val="right"/>
              <w:ind w:right="238"/>
              <w:spacing w:after="0" w:line="202" w:lineRule="exact"/>
              <w:rPr>
                <w:sz w:val="20"/>
                <w:szCs w:val="20"/>
                <w:color w:val="auto"/>
              </w:rPr>
            </w:pPr>
            <w:r>
              <w:rPr>
                <w:rFonts w:ascii="Arial" w:cs="Arial" w:eastAsia="Arial" w:hAnsi="Arial"/>
                <w:sz w:val="18"/>
                <w:szCs w:val="18"/>
                <w:color w:val="auto"/>
              </w:rPr>
              <w:t>157.0</w:t>
            </w:r>
          </w:p>
        </w:tc>
        <w:tc>
          <w:tcPr>
            <w:tcW w:w="220" w:type="dxa"/>
            <w:vAlign w:val="bottom"/>
            <w:shd w:val="clear" w:color="auto" w:fill="E6E6E6"/>
          </w:tcPr>
          <w:p>
            <w:pPr>
              <w:spacing w:after="0"/>
              <w:rPr>
                <w:sz w:val="17"/>
                <w:szCs w:val="17"/>
                <w:color w:val="auto"/>
              </w:rPr>
            </w:pPr>
          </w:p>
        </w:tc>
        <w:tc>
          <w:tcPr>
            <w:tcW w:w="680" w:type="dxa"/>
            <w:vAlign w:val="bottom"/>
            <w:shd w:val="clear" w:color="auto" w:fill="E6E6E6"/>
          </w:tcPr>
          <w:p>
            <w:pPr>
              <w:jc w:val="right"/>
              <w:ind w:right="17"/>
              <w:spacing w:after="0" w:line="202" w:lineRule="exact"/>
              <w:rPr>
                <w:sz w:val="20"/>
                <w:szCs w:val="20"/>
                <w:color w:val="auto"/>
              </w:rPr>
            </w:pPr>
            <w:r>
              <w:rPr>
                <w:rFonts w:ascii="Arial" w:cs="Arial" w:eastAsia="Arial" w:hAnsi="Arial"/>
                <w:sz w:val="18"/>
                <w:szCs w:val="18"/>
                <w:color w:val="auto"/>
              </w:rPr>
              <w:t>129.6</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08"/>
        </w:trPr>
        <w:tc>
          <w:tcPr>
            <w:tcW w:w="666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304"/>
        </w:trPr>
        <w:tc>
          <w:tcPr>
            <w:tcW w:w="6660" w:type="dxa"/>
            <w:vAlign w:val="bottom"/>
          </w:tcPr>
          <w:p>
            <w:pPr>
              <w:ind w:left="160"/>
              <w:spacing w:after="0"/>
              <w:rPr>
                <w:sz w:val="20"/>
                <w:szCs w:val="20"/>
                <w:color w:val="auto"/>
              </w:rPr>
            </w:pPr>
            <w:r>
              <w:rPr>
                <w:rFonts w:ascii="Arial" w:cs="Arial" w:eastAsia="Arial" w:hAnsi="Arial"/>
                <w:sz w:val="18"/>
                <w:szCs w:val="18"/>
                <w:b w:val="1"/>
                <w:bCs w:val="1"/>
                <w:color w:val="auto"/>
              </w:rPr>
              <w:t>Total debt</w:t>
            </w:r>
          </w:p>
        </w:tc>
        <w:tc>
          <w:tcPr>
            <w:tcW w:w="620" w:type="dxa"/>
            <w:vAlign w:val="bottom"/>
          </w:tcPr>
          <w:p>
            <w:pPr>
              <w:spacing w:after="0"/>
              <w:rPr>
                <w:sz w:val="24"/>
                <w:szCs w:val="24"/>
                <w:color w:val="auto"/>
              </w:rPr>
            </w:pPr>
          </w:p>
        </w:tc>
        <w:tc>
          <w:tcPr>
            <w:tcW w:w="960" w:type="dxa"/>
            <w:vAlign w:val="bottom"/>
          </w:tcPr>
          <w:p>
            <w:pPr>
              <w:jc w:val="right"/>
              <w:ind w:right="258"/>
              <w:spacing w:after="0"/>
              <w:rPr>
                <w:sz w:val="20"/>
                <w:szCs w:val="20"/>
                <w:color w:val="auto"/>
              </w:rPr>
            </w:pPr>
            <w:r>
              <w:rPr>
                <w:rFonts w:ascii="Arial" w:cs="Arial" w:eastAsia="Arial" w:hAnsi="Arial"/>
                <w:sz w:val="18"/>
                <w:szCs w:val="18"/>
                <w:b w:val="1"/>
                <w:bCs w:val="1"/>
                <w:color w:val="auto"/>
              </w:rPr>
              <w:t>252.8</w:t>
            </w:r>
          </w:p>
        </w:tc>
        <w:tc>
          <w:tcPr>
            <w:tcW w:w="160" w:type="dxa"/>
            <w:vAlign w:val="bottom"/>
          </w:tcPr>
          <w:p>
            <w:pPr>
              <w:spacing w:after="0"/>
              <w:rPr>
                <w:sz w:val="24"/>
                <w:szCs w:val="24"/>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251.8</w:t>
            </w:r>
          </w:p>
        </w:tc>
        <w:tc>
          <w:tcPr>
            <w:tcW w:w="320" w:type="dxa"/>
            <w:vAlign w:val="bottom"/>
          </w:tcPr>
          <w:p>
            <w:pPr>
              <w:spacing w:after="0"/>
              <w:rPr>
                <w:sz w:val="24"/>
                <w:szCs w:val="24"/>
                <w:color w:val="auto"/>
              </w:rPr>
            </w:pPr>
          </w:p>
        </w:tc>
        <w:tc>
          <w:tcPr>
            <w:tcW w:w="940" w:type="dxa"/>
            <w:vAlign w:val="bottom"/>
          </w:tcPr>
          <w:p>
            <w:pPr>
              <w:jc w:val="right"/>
              <w:ind w:right="238"/>
              <w:spacing w:after="0"/>
              <w:rPr>
                <w:sz w:val="20"/>
                <w:szCs w:val="20"/>
                <w:color w:val="auto"/>
              </w:rPr>
            </w:pPr>
            <w:r>
              <w:rPr>
                <w:rFonts w:ascii="Arial" w:cs="Arial" w:eastAsia="Arial" w:hAnsi="Arial"/>
                <w:sz w:val="18"/>
                <w:szCs w:val="18"/>
                <w:b w:val="1"/>
                <w:bCs w:val="1"/>
                <w:color w:val="auto"/>
              </w:rPr>
              <w:t>303.7</w:t>
            </w:r>
          </w:p>
        </w:tc>
        <w:tc>
          <w:tcPr>
            <w:tcW w:w="220" w:type="dxa"/>
            <w:vAlign w:val="bottom"/>
          </w:tcPr>
          <w:p>
            <w:pPr>
              <w:spacing w:after="0"/>
              <w:rPr>
                <w:sz w:val="24"/>
                <w:szCs w:val="24"/>
                <w:color w:val="auto"/>
              </w:rPr>
            </w:pPr>
          </w:p>
        </w:tc>
        <w:tc>
          <w:tcPr>
            <w:tcW w:w="680" w:type="dxa"/>
            <w:vAlign w:val="bottom"/>
          </w:tcPr>
          <w:p>
            <w:pPr>
              <w:jc w:val="right"/>
              <w:ind w:right="17"/>
              <w:spacing w:after="0"/>
              <w:rPr>
                <w:sz w:val="20"/>
                <w:szCs w:val="20"/>
                <w:color w:val="auto"/>
              </w:rPr>
            </w:pPr>
            <w:r>
              <w:rPr>
                <w:rFonts w:ascii="Arial" w:cs="Arial" w:eastAsia="Arial" w:hAnsi="Arial"/>
                <w:sz w:val="18"/>
                <w:szCs w:val="18"/>
                <w:b w:val="1"/>
                <w:bCs w:val="1"/>
                <w:color w:val="auto"/>
              </w:rPr>
              <w:t>276.3</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3"/>
        </w:trPr>
        <w:tc>
          <w:tcPr>
            <w:tcW w:w="666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Less lines of credit and current portion of long-term debt</w:t>
            </w:r>
          </w:p>
        </w:tc>
        <w:tc>
          <w:tcPr>
            <w:tcW w:w="620" w:type="dxa"/>
            <w:vAlign w:val="bottom"/>
            <w:shd w:val="clear" w:color="auto" w:fill="E6E6E6"/>
          </w:tcPr>
          <w:p>
            <w:pPr>
              <w:spacing w:after="0"/>
              <w:rPr>
                <w:sz w:val="17"/>
                <w:szCs w:val="17"/>
                <w:color w:val="auto"/>
              </w:rPr>
            </w:pPr>
          </w:p>
        </w:tc>
        <w:tc>
          <w:tcPr>
            <w:tcW w:w="960" w:type="dxa"/>
            <w:vAlign w:val="bottom"/>
            <w:shd w:val="clear" w:color="auto" w:fill="E6E6E6"/>
          </w:tcPr>
          <w:p>
            <w:pPr>
              <w:jc w:val="right"/>
              <w:ind w:right="198"/>
              <w:spacing w:after="0" w:line="202" w:lineRule="exact"/>
              <w:rPr>
                <w:sz w:val="20"/>
                <w:szCs w:val="20"/>
                <w:color w:val="auto"/>
              </w:rPr>
            </w:pPr>
            <w:r>
              <w:rPr>
                <w:rFonts w:ascii="Arial" w:cs="Arial" w:eastAsia="Arial" w:hAnsi="Arial"/>
                <w:sz w:val="18"/>
                <w:szCs w:val="18"/>
                <w:color w:val="auto"/>
              </w:rPr>
              <w:t>(50.3)</w:t>
            </w:r>
          </w:p>
        </w:tc>
        <w:tc>
          <w:tcPr>
            <w:tcW w:w="160" w:type="dxa"/>
            <w:vAlign w:val="bottom"/>
            <w:shd w:val="clear" w:color="auto" w:fill="E6E6E6"/>
          </w:tcPr>
          <w:p>
            <w:pPr>
              <w:spacing w:after="0"/>
              <w:rPr>
                <w:sz w:val="17"/>
                <w:szCs w:val="17"/>
                <w:color w:val="auto"/>
              </w:rPr>
            </w:pPr>
          </w:p>
        </w:tc>
        <w:tc>
          <w:tcPr>
            <w:tcW w:w="860" w:type="dxa"/>
            <w:vAlign w:val="bottom"/>
            <w:gridSpan w:val="2"/>
            <w:shd w:val="clear" w:color="auto" w:fill="E6E6E6"/>
          </w:tcPr>
          <w:p>
            <w:pPr>
              <w:jc w:val="right"/>
              <w:ind w:right="140"/>
              <w:spacing w:after="0" w:line="202" w:lineRule="exact"/>
              <w:rPr>
                <w:sz w:val="20"/>
                <w:szCs w:val="20"/>
                <w:color w:val="auto"/>
              </w:rPr>
            </w:pPr>
            <w:r>
              <w:rPr>
                <w:rFonts w:ascii="Arial" w:cs="Arial" w:eastAsia="Arial" w:hAnsi="Arial"/>
                <w:sz w:val="18"/>
                <w:szCs w:val="18"/>
                <w:color w:val="auto"/>
              </w:rPr>
              <w:t>(50.3)</w:t>
            </w:r>
          </w:p>
        </w:tc>
        <w:tc>
          <w:tcPr>
            <w:tcW w:w="320" w:type="dxa"/>
            <w:vAlign w:val="bottom"/>
            <w:shd w:val="clear" w:color="auto" w:fill="E6E6E6"/>
          </w:tcPr>
          <w:p>
            <w:pPr>
              <w:spacing w:after="0"/>
              <w:rPr>
                <w:sz w:val="17"/>
                <w:szCs w:val="17"/>
                <w:color w:val="auto"/>
              </w:rPr>
            </w:pPr>
          </w:p>
        </w:tc>
        <w:tc>
          <w:tcPr>
            <w:tcW w:w="940" w:type="dxa"/>
            <w:vAlign w:val="bottom"/>
            <w:shd w:val="clear" w:color="auto" w:fill="E6E6E6"/>
          </w:tcPr>
          <w:p>
            <w:pPr>
              <w:jc w:val="right"/>
              <w:ind w:right="198"/>
              <w:spacing w:after="0" w:line="202" w:lineRule="exact"/>
              <w:rPr>
                <w:sz w:val="20"/>
                <w:szCs w:val="20"/>
                <w:color w:val="auto"/>
              </w:rPr>
            </w:pPr>
            <w:r>
              <w:rPr>
                <w:rFonts w:ascii="Arial" w:cs="Arial" w:eastAsia="Arial" w:hAnsi="Arial"/>
                <w:sz w:val="18"/>
                <w:szCs w:val="18"/>
                <w:color w:val="auto"/>
              </w:rPr>
              <w:t>(53.7)</w:t>
            </w:r>
          </w:p>
        </w:tc>
        <w:tc>
          <w:tcPr>
            <w:tcW w:w="220" w:type="dxa"/>
            <w:vAlign w:val="bottom"/>
            <w:shd w:val="clear" w:color="auto" w:fill="E6E6E6"/>
          </w:tcPr>
          <w:p>
            <w:pPr>
              <w:spacing w:after="0"/>
              <w:rPr>
                <w:sz w:val="17"/>
                <w:szCs w:val="17"/>
                <w:color w:val="auto"/>
              </w:rPr>
            </w:pPr>
          </w:p>
        </w:tc>
        <w:tc>
          <w:tcPr>
            <w:tcW w:w="68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(53.7)</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08"/>
        </w:trPr>
        <w:tc>
          <w:tcPr>
            <w:tcW w:w="666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316"/>
        </w:trPr>
        <w:tc>
          <w:tcPr>
            <w:tcW w:w="6660" w:type="dxa"/>
            <w:vAlign w:val="bottom"/>
          </w:tcPr>
          <w:p>
            <w:pPr>
              <w:spacing w:after="0"/>
              <w:rPr>
                <w:sz w:val="20"/>
                <w:szCs w:val="20"/>
                <w:color w:val="auto"/>
              </w:rPr>
            </w:pPr>
            <w:r>
              <w:rPr>
                <w:rFonts w:ascii="Arial" w:cs="Arial" w:eastAsia="Arial" w:hAnsi="Arial"/>
                <w:sz w:val="18"/>
                <w:szCs w:val="18"/>
                <w:color w:val="auto"/>
              </w:rPr>
              <w:t>Total long-term debt</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258"/>
              <w:spacing w:after="0"/>
              <w:rPr>
                <w:sz w:val="20"/>
                <w:szCs w:val="20"/>
                <w:color w:val="auto"/>
              </w:rPr>
            </w:pPr>
            <w:r>
              <w:rPr>
                <w:rFonts w:ascii="Arial" w:cs="Arial" w:eastAsia="Arial" w:hAnsi="Arial"/>
                <w:sz w:val="18"/>
                <w:szCs w:val="18"/>
                <w:color w:val="auto"/>
              </w:rPr>
              <w:t>202.5</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201.5</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238"/>
              <w:spacing w:after="0"/>
              <w:rPr>
                <w:sz w:val="20"/>
                <w:szCs w:val="20"/>
                <w:color w:val="auto"/>
              </w:rPr>
            </w:pPr>
            <w:r>
              <w:rPr>
                <w:rFonts w:ascii="Arial" w:cs="Arial" w:eastAsia="Arial" w:hAnsi="Arial"/>
                <w:sz w:val="18"/>
                <w:szCs w:val="18"/>
                <w:color w:val="auto"/>
              </w:rPr>
              <w:t>250.0</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ind w:right="17"/>
              <w:spacing w:after="0"/>
              <w:rPr>
                <w:sz w:val="20"/>
                <w:szCs w:val="20"/>
                <w:color w:val="auto"/>
              </w:rPr>
            </w:pPr>
            <w:r>
              <w:rPr>
                <w:rFonts w:ascii="Arial" w:cs="Arial" w:eastAsia="Arial" w:hAnsi="Arial"/>
                <w:sz w:val="18"/>
                <w:szCs w:val="18"/>
                <w:color w:val="auto"/>
              </w:rPr>
              <w:t>222.6</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20"/>
        </w:trPr>
        <w:tc>
          <w:tcPr>
            <w:tcW w:w="666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-29210</wp:posOffset>
            </wp:positionV>
            <wp:extent cx="12700" cy="2984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-29210</wp:posOffset>
            </wp:positionV>
            <wp:extent cx="12700" cy="2984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-29210</wp:posOffset>
            </wp:positionV>
            <wp:extent cx="12700" cy="2984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-29210</wp:posOffset>
            </wp:positionV>
            <wp:extent cx="12700" cy="2984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-29210</wp:posOffset>
            </wp:positionV>
            <wp:extent cx="12700" cy="2984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-29210</wp:posOffset>
            </wp:positionV>
            <wp:extent cx="12700" cy="2984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-29210</wp:posOffset>
            </wp:positionV>
            <wp:extent cx="12700" cy="2984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-29210</wp:posOffset>
            </wp:positionV>
            <wp:extent cx="12700" cy="2984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-29210</wp:posOffset>
            </wp:positionV>
            <wp:extent cx="12700" cy="2984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-29210</wp:posOffset>
            </wp:positionV>
            <wp:extent cx="12700" cy="2984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6683375</wp:posOffset>
            </wp:positionH>
            <wp:positionV relativeFrom="paragraph">
              <wp:posOffset>-29210</wp:posOffset>
            </wp:positionV>
            <wp:extent cx="12700" cy="2984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-29210</wp:posOffset>
            </wp:positionV>
            <wp:extent cx="12700" cy="2984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-29210</wp:posOffset>
            </wp:positionV>
            <wp:extent cx="12700" cy="2984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00" w:lineRule="exact"/>
        <w:rPr>
          <w:sz w:val="20"/>
          <w:szCs w:val="20"/>
          <w:color w:val="auto"/>
        </w:rPr>
      </w:pPr>
    </w:p>
    <w:p>
      <w:pPr>
        <w:jc w:val="both"/>
        <w:ind w:right="140"/>
        <w:spacing w:after="0" w:line="231" w:lineRule="auto"/>
        <w:rPr>
          <w:sz w:val="20"/>
          <w:szCs w:val="20"/>
          <w:color w:val="auto"/>
        </w:rPr>
      </w:pPr>
      <w:r>
        <w:rPr>
          <w:rFonts w:ascii="Arial" w:cs="Arial" w:eastAsia="Arial" w:hAnsi="Arial"/>
          <w:sz w:val="14"/>
          <w:szCs w:val="14"/>
          <w:color w:val="auto"/>
        </w:rPr>
        <w:t>Short-term debt’s carrying value approximates fair value. Fair value of the Loan Agreement approximates its carrying value due to its variable interest rate and stable credit rating. Fair values of the Notes were estimated based on market quotes, where available, or dealer quotes.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2663825</wp:posOffset>
            </wp:positionH>
            <wp:positionV relativeFrom="paragraph">
              <wp:posOffset>129540</wp:posOffset>
            </wp:positionV>
            <wp:extent cx="1929765" cy="23177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1929765"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3873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60"/>
          </w:cols>
          <w:pgMar w:left="240" w:top="827" w:right="199" w:bottom="1440" w:gutter="0" w:footer="0" w:header="0"/>
        </w:sectPr>
      </w:pPr>
    </w:p>
    <w:bookmarkStart w:id="57" w:name="page58"/>
    <w:bookmarkEnd w:id="57"/>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263765" cy="8890"/>
                    </a:xfrm>
                    <a:prstGeom prst="rect">
                      <a:avLst/>
                    </a:prstGeom>
                    <a:noFill/>
                  </pic:spPr>
                </pic:pic>
              </a:graphicData>
            </a:graphic>
          </wp:anchor>
        </w:drawing>
        <w:t>The following table sets forth the maturities of the carrying values of the Company’s debt obligations as of May 31, 2010 for fiscal years ended May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263765" cy="889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540" w:type="dxa"/>
            <w:vAlign w:val="bottom"/>
            <w:shd w:val="clear" w:color="auto" w:fill="E6E6E6"/>
          </w:tcPr>
          <w:p>
            <w:pPr>
              <w:spacing w:after="0"/>
              <w:rPr>
                <w:sz w:val="20"/>
                <w:szCs w:val="20"/>
                <w:color w:val="auto"/>
              </w:rPr>
            </w:pPr>
            <w:r>
              <w:rPr>
                <w:rFonts w:ascii="Arial" w:cs="Arial" w:eastAsia="Arial" w:hAnsi="Arial"/>
                <w:sz w:val="18"/>
                <w:szCs w:val="18"/>
                <w:color w:val="auto"/>
              </w:rPr>
              <w:t>2011</w:t>
            </w:r>
          </w:p>
        </w:tc>
        <w:tc>
          <w:tcPr>
            <w:tcW w:w="5060" w:type="dxa"/>
            <w:vAlign w:val="bottom"/>
            <w:shd w:val="clear" w:color="auto" w:fill="E6E6E6"/>
          </w:tcPr>
          <w:p>
            <w:pPr>
              <w:jc w:val="right"/>
              <w:ind w:right="172"/>
              <w:spacing w:after="0"/>
              <w:rPr>
                <w:sz w:val="20"/>
                <w:szCs w:val="20"/>
                <w:color w:val="auto"/>
              </w:rPr>
            </w:pPr>
            <w:r>
              <w:rPr>
                <w:rFonts w:ascii="Arial" w:cs="Arial" w:eastAsia="Arial" w:hAnsi="Arial"/>
                <w:sz w:val="18"/>
                <w:szCs w:val="18"/>
                <w:color w:val="auto"/>
              </w:rPr>
              <w:t>$</w:t>
            </w:r>
          </w:p>
        </w:tc>
        <w:tc>
          <w:tcPr>
            <w:tcW w:w="800" w:type="dxa"/>
            <w:vAlign w:val="bottom"/>
            <w:shd w:val="clear" w:color="auto" w:fill="E6E6E6"/>
          </w:tcPr>
          <w:p>
            <w:pPr>
              <w:jc w:val="right"/>
              <w:ind w:right="32"/>
              <w:spacing w:after="0"/>
              <w:rPr>
                <w:sz w:val="20"/>
                <w:szCs w:val="20"/>
                <w:color w:val="auto"/>
              </w:rPr>
            </w:pPr>
            <w:r>
              <w:rPr>
                <w:rFonts w:ascii="Arial" w:cs="Arial" w:eastAsia="Arial" w:hAnsi="Arial"/>
                <w:sz w:val="18"/>
                <w:szCs w:val="18"/>
                <w:color w:val="auto"/>
              </w:rPr>
              <w:t>50.3</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60" w:type="dxa"/>
            <w:vAlign w:val="bottom"/>
            <w:gridSpan w:val="2"/>
          </w:tcPr>
          <w:p>
            <w:pPr>
              <w:spacing w:after="0" w:line="202" w:lineRule="exact"/>
              <w:rPr>
                <w:sz w:val="20"/>
                <w:szCs w:val="20"/>
                <w:color w:val="auto"/>
              </w:rPr>
            </w:pPr>
            <w:r>
              <w:rPr>
                <w:rFonts w:ascii="Arial" w:cs="Arial" w:eastAsia="Arial" w:hAnsi="Arial"/>
                <w:sz w:val="18"/>
                <w:szCs w:val="18"/>
                <w:color w:val="auto"/>
              </w:rPr>
              <w:t>2012</w:t>
            </w:r>
          </w:p>
        </w:tc>
        <w:tc>
          <w:tcPr>
            <w:tcW w:w="5060" w:type="dxa"/>
            <w:vAlign w:val="bottom"/>
          </w:tcPr>
          <w:p>
            <w:pPr>
              <w:spacing w:after="0"/>
              <w:rPr>
                <w:sz w:val="17"/>
                <w:szCs w:val="17"/>
                <w:color w:val="auto"/>
              </w:rPr>
            </w:pPr>
          </w:p>
        </w:tc>
        <w:tc>
          <w:tcPr>
            <w:tcW w:w="800" w:type="dxa"/>
            <w:vAlign w:val="bottom"/>
          </w:tcPr>
          <w:p>
            <w:pPr>
              <w:jc w:val="right"/>
              <w:ind w:right="32"/>
              <w:spacing w:after="0" w:line="202" w:lineRule="exact"/>
              <w:rPr>
                <w:sz w:val="20"/>
                <w:szCs w:val="20"/>
                <w:color w:val="auto"/>
              </w:rPr>
            </w:pPr>
            <w:r>
              <w:rPr>
                <w:rFonts w:ascii="Arial" w:cs="Arial" w:eastAsia="Arial" w:hAnsi="Arial"/>
                <w:sz w:val="18"/>
                <w:szCs w:val="18"/>
                <w:color w:val="auto"/>
              </w:rPr>
              <w:t>42.8</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4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2013</w:t>
            </w:r>
          </w:p>
        </w:tc>
        <w:tc>
          <w:tcPr>
            <w:tcW w:w="5060" w:type="dxa"/>
            <w:vAlign w:val="bottom"/>
            <w:shd w:val="clear" w:color="auto" w:fill="E6E6E6"/>
          </w:tcPr>
          <w:p>
            <w:pPr>
              <w:spacing w:after="0"/>
              <w:rPr>
                <w:sz w:val="17"/>
                <w:szCs w:val="17"/>
                <w:color w:val="auto"/>
              </w:rPr>
            </w:pPr>
          </w:p>
        </w:tc>
        <w:tc>
          <w:tcPr>
            <w:tcW w:w="800" w:type="dxa"/>
            <w:vAlign w:val="bottom"/>
            <w:shd w:val="clear" w:color="auto" w:fill="E6E6E6"/>
          </w:tcPr>
          <w:p>
            <w:pPr>
              <w:jc w:val="right"/>
              <w:ind w:right="32"/>
              <w:spacing w:after="0" w:line="202" w:lineRule="exact"/>
              <w:rPr>
                <w:sz w:val="20"/>
                <w:szCs w:val="20"/>
                <w:color w:val="auto"/>
              </w:rPr>
            </w:pPr>
            <w:r>
              <w:rPr>
                <w:rFonts w:ascii="Arial" w:cs="Arial" w:eastAsia="Arial" w:hAnsi="Arial"/>
                <w:sz w:val="18"/>
                <w:szCs w:val="18"/>
                <w:color w:val="auto"/>
              </w:rPr>
              <w:t>159.7</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556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5060" w:type="dxa"/>
            <w:vAlign w:val="bottom"/>
          </w:tcPr>
          <w:p>
            <w:pPr>
              <w:spacing w:after="0"/>
              <w:rPr>
                <w:sz w:val="18"/>
                <w:szCs w:val="18"/>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7"/>
        </w:trPr>
        <w:tc>
          <w:tcPr>
            <w:tcW w:w="5560" w:type="dxa"/>
            <w:vAlign w:val="bottom"/>
            <w:tcBorders>
              <w:bottom w:val="single" w:sz="8" w:color="808080"/>
            </w:tcBorders>
            <w:gridSpan w:val="2"/>
          </w:tcPr>
          <w:p>
            <w:pPr>
              <w:spacing w:after="0"/>
              <w:rPr>
                <w:sz w:val="8"/>
                <w:szCs w:val="8"/>
                <w:color w:val="auto"/>
              </w:rPr>
            </w:pPr>
          </w:p>
        </w:tc>
        <w:tc>
          <w:tcPr>
            <w:tcW w:w="506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40" w:type="dxa"/>
            <w:vAlign w:val="bottom"/>
          </w:tcPr>
          <w:p>
            <w:pPr>
              <w:spacing w:after="0"/>
              <w:rPr>
                <w:sz w:val="8"/>
                <w:szCs w:val="8"/>
                <w:color w:val="auto"/>
              </w:rPr>
            </w:pPr>
          </w:p>
        </w:tc>
        <w:tc>
          <w:tcPr>
            <w:tcW w:w="506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540" w:type="dxa"/>
            <w:vAlign w:val="bottom"/>
            <w:shd w:val="clear" w:color="auto" w:fill="E6E6E6"/>
          </w:tcPr>
          <w:p>
            <w:pPr>
              <w:spacing w:after="0" w:line="202" w:lineRule="exact"/>
              <w:rPr>
                <w:sz w:val="20"/>
                <w:szCs w:val="20"/>
                <w:color w:val="auto"/>
              </w:rPr>
            </w:pPr>
            <w:r>
              <w:rPr>
                <w:rFonts w:ascii="Arial" w:cs="Arial" w:eastAsia="Arial" w:hAnsi="Arial"/>
                <w:sz w:val="18"/>
                <w:szCs w:val="18"/>
                <w:b w:val="1"/>
                <w:bCs w:val="1"/>
                <w:color w:val="auto"/>
              </w:rPr>
              <w:t>Total debt</w:t>
            </w:r>
          </w:p>
        </w:tc>
        <w:tc>
          <w:tcPr>
            <w:tcW w:w="5060" w:type="dxa"/>
            <w:vAlign w:val="bottom"/>
            <w:shd w:val="clear" w:color="auto" w:fill="E6E6E6"/>
          </w:tcPr>
          <w:p>
            <w:pPr>
              <w:jc w:val="right"/>
              <w:ind w:right="172"/>
              <w:spacing w:after="0" w:line="202" w:lineRule="exact"/>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E6E6E6"/>
          </w:tcPr>
          <w:p>
            <w:pPr>
              <w:jc w:val="right"/>
              <w:ind w:right="32"/>
              <w:spacing w:after="0" w:line="202" w:lineRule="exact"/>
              <w:rPr>
                <w:sz w:val="20"/>
                <w:szCs w:val="20"/>
                <w:color w:val="auto"/>
              </w:rPr>
            </w:pPr>
            <w:r>
              <w:rPr>
                <w:rFonts w:ascii="Arial" w:cs="Arial" w:eastAsia="Arial" w:hAnsi="Arial"/>
                <w:sz w:val="18"/>
                <w:szCs w:val="18"/>
                <w:b w:val="1"/>
                <w:bCs w:val="1"/>
                <w:color w:val="auto"/>
              </w:rPr>
              <w:t>252.8</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5540" w:type="dxa"/>
            <w:vAlign w:val="bottom"/>
            <w:tcBorders>
              <w:bottom w:val="single" w:sz="8" w:color="808080"/>
            </w:tcBorders>
          </w:tcPr>
          <w:p>
            <w:pPr>
              <w:spacing w:after="0"/>
              <w:rPr>
                <w:sz w:val="11"/>
                <w:szCs w:val="11"/>
                <w:color w:val="auto"/>
              </w:rPr>
            </w:pPr>
          </w:p>
        </w:tc>
        <w:tc>
          <w:tcPr>
            <w:tcW w:w="5060" w:type="dxa"/>
            <w:vAlign w:val="bottom"/>
            <w:tcBorders>
              <w:bottom w:val="single" w:sz="8" w:color="808080"/>
            </w:tcBorders>
          </w:tcPr>
          <w:p>
            <w:pPr>
              <w:spacing w:after="0"/>
              <w:rPr>
                <w:sz w:val="11"/>
                <w:szCs w:val="11"/>
                <w:color w:val="auto"/>
              </w:rPr>
            </w:pPr>
          </w:p>
        </w:tc>
        <w:tc>
          <w:tcPr>
            <w:tcW w:w="80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6306185</wp:posOffset>
            </wp:positionH>
            <wp:positionV relativeFrom="paragraph">
              <wp:posOffset>-29210</wp:posOffset>
            </wp:positionV>
            <wp:extent cx="12700" cy="2984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-29210</wp:posOffset>
            </wp:positionV>
            <wp:extent cx="12700" cy="2984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6589395</wp:posOffset>
            </wp:positionH>
            <wp:positionV relativeFrom="paragraph">
              <wp:posOffset>-29210</wp:posOffset>
            </wp:positionV>
            <wp:extent cx="12700" cy="2984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-29210</wp:posOffset>
            </wp:positionV>
            <wp:extent cx="12700" cy="2984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Loan Agreement</w:t>
      </w:r>
    </w:p>
    <w:p>
      <w:pPr>
        <w:spacing w:after="0" w:line="222"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On June 1, 2007, Scholastic Corporation and Scholastic Inc. (each, a “Borrower” and together, the “Borrowers”) entered into a new $525.0 credit facility with certain banks (the “Loan Agreement”), consisting of a $325.0 revolving credit component (the “Revolving Loan”) and a $200.0 amortizing term loan component (the “Term Loan”). The Loan Agreement is a contractually committed unsecured credit facility that is scheduled to expire on June 1, 2012. The $325.0 Revolving Loan component allows the Company to borrow, repay or prepay and reborrow at any time prior to the stated maturity date, and the proceeds may be used for general corporate purposes, including financing for acquisitions and share repurchases. The Loan Agreement also provides for an increase in the aggregate Revolving Loan commitments of the lenders of up to an additional $150.0. The $200.0 Term Loan component was established in order to fund the reacquisition by the Corporation of shares of its Common Stock pursuant to an Accelerated Share Repurchase Agreement (see Note 10, “Treasury Stock”) and was fully drawn on June 28, 2007 in connection with that transaction. The Term Loan, which may be prepaid at any time without penalty, requires quarterly principal payments of $10.7, with the first payment on December 31, 2007, and a final payment of $7.4 due on June 1, 2012.</w:t>
      </w:r>
    </w:p>
    <w:p>
      <w:pPr>
        <w:spacing w:after="0" w:line="174" w:lineRule="exact"/>
        <w:rPr>
          <w:sz w:val="20"/>
          <w:szCs w:val="20"/>
          <w:color w:val="auto"/>
        </w:rPr>
      </w:pPr>
    </w:p>
    <w:p>
      <w:pPr>
        <w:ind w:right="100"/>
        <w:spacing w:after="0" w:line="288" w:lineRule="auto"/>
        <w:rPr>
          <w:sz w:val="20"/>
          <w:szCs w:val="20"/>
          <w:color w:val="auto"/>
        </w:rPr>
      </w:pPr>
      <w:r>
        <w:rPr>
          <w:rFonts w:ascii="Arial" w:cs="Arial" w:eastAsia="Arial" w:hAnsi="Arial"/>
          <w:sz w:val="16"/>
          <w:szCs w:val="16"/>
          <w:color w:val="auto"/>
        </w:rPr>
        <w:t>Interest on both the Term Loan and Revolving Loan is due and payable in arrears on the last day of the interest period (defined as the period commencing on the date of the advance and ending on the last day of the period selected by the Borrower at the time each advance is made). At the election of the Borrower, the interest rate charged for each loan made under the Loan Agreement is based on (1) a rate equal to the higher of (a) the prime rate or (b) the prevailing Federal Funds rate plus 0.500% or (2) an adjusted LIBOR rate plus an applicable margin, ranging from 0.500% to 1.250% based on the Company’s prevailing consolidated debt to total capital ratio. As of May 31, 2010, the applicable margin on the Term Loan was 0.750% and the applicable margin on the Revolving Loan was 0.600%. As of May 31, 2009, the applicable margin on the Term Loan was 0.875% and the applicable margin on the Revolving Loan was 0.700%. The Loan Agreement also provides for a payment of a facility fee ranging from 0.125% to 0.25% per annum on the Revolving Loan only, which was 0.150% and 0.175% at May 31, 2010 and 2009, respectively. As of May 31, 2010, $93.0 was outstanding under the Term Loan at an interest rate of 1.1%. As of May 31, 2009, $135.8 was outstanding under the Term Loan at an interest rate of 1.2%.</w:t>
      </w:r>
    </w:p>
    <w:p>
      <w:pPr>
        <w:spacing w:after="0" w:line="174"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As of May 31, 2010, standby letters of credit outstanding under the Loan Agreement totaled $0.4 million. The Loan Agreement contains certain covenants, including interest coverage and leverage ratio tests and certain limitations on the amount of dividends and other distributions, and at May 31, 2010 the Company was in compliance with these covenants.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Notes due 2013</w:t>
      </w:r>
    </w:p>
    <w:p>
      <w:pPr>
        <w:spacing w:after="0" w:line="222"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In April 2003, Scholastic Corporation issued $175.0 of 5% Notes (the “5% Notes”). The 5% Notes are senior unsecured obligations that mature on April 15, 2013. Interest on the 5% Notes is payable semi-annually on April 15 and October 15 of each year through maturity. The Company may at any time redeem all or a portion of the 5% Notes at a redemption price (plus accrued interest to the date of the redemption) equal to the greater of (i) 100% of the principal amount, or (ii) the sum of the present values of the remaining scheduled payments of principal and interest discounted to the date of redemption.</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In fiscal 2010, the Company repurchased an additional $5.0 of the 5% Notes on the open market, while $2.5 was repurchased in fiscal year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2663825</wp:posOffset>
            </wp:positionH>
            <wp:positionV relativeFrom="paragraph">
              <wp:posOffset>163195</wp:posOffset>
            </wp:positionV>
            <wp:extent cx="1929765" cy="23177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1929765"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3873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60"/>
          </w:cols>
          <w:pgMar w:left="240" w:top="833" w:right="19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263765" cy="8890"/>
                    </a:xfrm>
                    <a:prstGeom prst="rect">
                      <a:avLst/>
                    </a:prstGeom>
                    <a:noFill/>
                  </pic:spPr>
                </pic:pic>
              </a:graphicData>
            </a:graphic>
          </wp:anchor>
        </w:drawing>
        <w:t>Lines of Credit</w:t>
      </w:r>
    </w:p>
    <w:p>
      <w:pPr>
        <w:spacing w:after="0" w:line="222"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In November 2009 and May 2009, the Company entered into unsecured money market bid rate credit lines totaling $20.0. There were no outstanding borrowings under these credit lines at May 31, 2010 and May 31, 2009. All loans made under these credit lines are at the sole discretion of the lender and at an interest rate and term agreed to at the time each loan is made, but not to exceed 365 days, for fiscal 2010 and 180 days for fiscal 2009. These credit lines may be renewed, if requested by the Company, at the option of the lender.</w:t>
      </w:r>
    </w:p>
    <w:p>
      <w:pPr>
        <w:spacing w:after="0" w:line="197" w:lineRule="exact"/>
        <w:rPr>
          <w:sz w:val="20"/>
          <w:szCs w:val="20"/>
          <w:color w:val="auto"/>
        </w:rPr>
      </w:pPr>
    </w:p>
    <w:p>
      <w:pPr>
        <w:jc w:val="both"/>
        <w:ind w:right="120"/>
        <w:spacing w:after="0" w:line="298" w:lineRule="auto"/>
        <w:rPr>
          <w:sz w:val="20"/>
          <w:szCs w:val="20"/>
          <w:color w:val="auto"/>
        </w:rPr>
      </w:pPr>
      <w:r>
        <w:rPr>
          <w:rFonts w:ascii="Arial" w:cs="Arial" w:eastAsia="Arial" w:hAnsi="Arial"/>
          <w:sz w:val="16"/>
          <w:szCs w:val="16"/>
          <w:color w:val="auto"/>
        </w:rPr>
        <w:t>As of May 31, 2010, the Company had various local currency credit lines, with maximum available borrowings in amounts equivalent to $28.2, underwritten by banks primarily in the United States, Canada and the United Kingdom. These credit lines are typically available for overdraft borrowings or loans up to 364 days and may be renewed, if requested by the Company, at the sole option of the lender. There were borrowings outstanding under these facilities equivalent to $7.5 at May 31, 2010 at a weighted average interest rate of 3.9%, compared to the equivalent of $10.9 at May 31, 2009 at a weighted average interest rate of 3.3%.</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COMMITMENTS AND CONTINGENCIES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 obligations</w:t>
      </w:r>
    </w:p>
    <w:p>
      <w:pPr>
        <w:spacing w:after="0" w:line="222"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The Company leases warehouse space, office space and equipment under various capital and operating leases over periods ranging from one to forty years. Certain of these leases provide for scheduled rent increases based on price-level factors. The Company generally does not enter into leases that call for contingent rent. In most cases, management expects that, in the normal course of business, leases will be renewed or replaced. Net rent expense relating to the Company’s non-cancelable operating leases for the three fiscal years ended May 31, 2010, 2009 and 2008 was $44.8, $45.3 and $45.9, respectively.</w:t>
      </w:r>
    </w:p>
    <w:p>
      <w:pPr>
        <w:spacing w:after="0" w:line="167" w:lineRule="exact"/>
        <w:rPr>
          <w:sz w:val="20"/>
          <w:szCs w:val="20"/>
          <w:color w:val="auto"/>
        </w:rPr>
      </w:pPr>
    </w:p>
    <w:p>
      <w:pPr>
        <w:ind w:right="880"/>
        <w:spacing w:after="0" w:line="268" w:lineRule="auto"/>
        <w:rPr>
          <w:sz w:val="20"/>
          <w:szCs w:val="20"/>
          <w:color w:val="auto"/>
        </w:rPr>
      </w:pPr>
      <w:r>
        <w:rPr>
          <w:rFonts w:ascii="Arial" w:cs="Arial" w:eastAsia="Arial" w:hAnsi="Arial"/>
          <w:sz w:val="18"/>
          <w:szCs w:val="18"/>
          <w:color w:val="auto"/>
        </w:rPr>
        <w:t>The Company was obligated under capital leases covering land, buildings and equipment in the amount of $55.9 and $57.9 at May 31, 2010 and 2009, respectively. Amortization of assets under capital leases is included in depreciation and amortization expense.</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the composition of capital leases reflected as Property, Plant and Equipment in the Consolidated Balance Sheets at May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263765" cy="889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460" w:type="dxa"/>
            <w:vAlign w:val="bottom"/>
          </w:tcPr>
          <w:p>
            <w:pPr>
              <w:spacing w:after="0"/>
              <w:rPr>
                <w:sz w:val="15"/>
                <w:szCs w:val="15"/>
                <w:color w:val="auto"/>
              </w:rPr>
            </w:pPr>
          </w:p>
        </w:tc>
        <w:tc>
          <w:tcPr>
            <w:tcW w:w="3550" w:type="dxa"/>
            <w:vAlign w:val="bottom"/>
          </w:tcPr>
          <w:p>
            <w:pPr>
              <w:spacing w:after="0"/>
              <w:rPr>
                <w:sz w:val="15"/>
                <w:szCs w:val="15"/>
                <w:color w:val="auto"/>
              </w:rPr>
            </w:pPr>
          </w:p>
        </w:tc>
        <w:tc>
          <w:tcPr>
            <w:tcW w:w="1250" w:type="dxa"/>
            <w:vAlign w:val="bottom"/>
          </w:tcPr>
          <w:p>
            <w:pPr>
              <w:jc w:val="right"/>
              <w:ind w:right="255"/>
              <w:spacing w:after="0"/>
              <w:rPr>
                <w:sz w:val="20"/>
                <w:szCs w:val="20"/>
                <w:color w:val="auto"/>
              </w:rPr>
            </w:pPr>
            <w:r>
              <w:rPr>
                <w:rFonts w:ascii="Arial" w:cs="Arial" w:eastAsia="Arial" w:hAnsi="Arial"/>
                <w:sz w:val="14"/>
                <w:szCs w:val="14"/>
                <w:b w:val="1"/>
                <w:bCs w:val="1"/>
                <w:color w:val="auto"/>
              </w:rPr>
              <w:t>2010</w:t>
            </w:r>
          </w:p>
        </w:tc>
        <w:tc>
          <w:tcPr>
            <w:tcW w:w="360" w:type="dxa"/>
            <w:vAlign w:val="bottom"/>
          </w:tcPr>
          <w:p>
            <w:pPr>
              <w:spacing w:after="0"/>
              <w:rPr>
                <w:sz w:val="15"/>
                <w:szCs w:val="15"/>
                <w:color w:val="auto"/>
              </w:rPr>
            </w:pPr>
          </w:p>
        </w:tc>
        <w:tc>
          <w:tcPr>
            <w:tcW w:w="800" w:type="dxa"/>
            <w:vAlign w:val="bottom"/>
          </w:tcPr>
          <w:p>
            <w:pPr>
              <w:jc w:val="right"/>
              <w:ind w:right="35"/>
              <w:spacing w:after="0"/>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95"/>
        </w:trPr>
        <w:tc>
          <w:tcPr>
            <w:tcW w:w="5460" w:type="dxa"/>
            <w:vAlign w:val="bottom"/>
            <w:tcBorders>
              <w:bottom w:val="single" w:sz="8" w:color="auto"/>
            </w:tcBorders>
          </w:tcPr>
          <w:p>
            <w:pPr>
              <w:spacing w:after="0"/>
              <w:rPr>
                <w:sz w:val="8"/>
                <w:szCs w:val="8"/>
                <w:color w:val="auto"/>
              </w:rPr>
            </w:pPr>
          </w:p>
        </w:tc>
        <w:tc>
          <w:tcPr>
            <w:tcW w:w="3550" w:type="dxa"/>
            <w:vAlign w:val="bottom"/>
            <w:tcBorders>
              <w:bottom w:val="single" w:sz="8" w:color="auto"/>
            </w:tcBorders>
          </w:tcPr>
          <w:p>
            <w:pPr>
              <w:spacing w:after="0"/>
              <w:rPr>
                <w:sz w:val="8"/>
                <w:szCs w:val="8"/>
                <w:color w:val="auto"/>
              </w:rPr>
            </w:pPr>
          </w:p>
        </w:tc>
        <w:tc>
          <w:tcPr>
            <w:tcW w:w="125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r>
      <w:tr>
        <w:trPr>
          <w:trHeight w:val="102"/>
        </w:trPr>
        <w:tc>
          <w:tcPr>
            <w:tcW w:w="5460" w:type="dxa"/>
            <w:vAlign w:val="bottom"/>
          </w:tcPr>
          <w:p>
            <w:pPr>
              <w:spacing w:after="0"/>
              <w:rPr>
                <w:sz w:val="8"/>
                <w:szCs w:val="8"/>
                <w:color w:val="auto"/>
              </w:rPr>
            </w:pPr>
          </w:p>
        </w:tc>
        <w:tc>
          <w:tcPr>
            <w:tcW w:w="3550" w:type="dxa"/>
            <w:vAlign w:val="bottom"/>
          </w:tcPr>
          <w:p>
            <w:pPr>
              <w:spacing w:after="0"/>
              <w:rPr>
                <w:sz w:val="8"/>
                <w:szCs w:val="8"/>
                <w:color w:val="auto"/>
              </w:rPr>
            </w:pPr>
          </w:p>
        </w:tc>
        <w:tc>
          <w:tcPr>
            <w:tcW w:w="125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203"/>
        </w:trPr>
        <w:tc>
          <w:tcPr>
            <w:tcW w:w="546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Land</w:t>
            </w:r>
          </w:p>
        </w:tc>
        <w:tc>
          <w:tcPr>
            <w:tcW w:w="355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w:t>
            </w:r>
          </w:p>
        </w:tc>
        <w:tc>
          <w:tcPr>
            <w:tcW w:w="1250" w:type="dxa"/>
            <w:vAlign w:val="bottom"/>
            <w:shd w:val="clear" w:color="auto" w:fill="E6E6E6"/>
          </w:tcPr>
          <w:p>
            <w:pPr>
              <w:jc w:val="right"/>
              <w:ind w:right="255"/>
              <w:spacing w:after="0" w:line="202" w:lineRule="exact"/>
              <w:rPr>
                <w:sz w:val="20"/>
                <w:szCs w:val="20"/>
                <w:color w:val="auto"/>
              </w:rPr>
            </w:pPr>
            <w:r>
              <w:rPr>
                <w:rFonts w:ascii="Arial" w:cs="Arial" w:eastAsia="Arial" w:hAnsi="Arial"/>
                <w:sz w:val="18"/>
                <w:szCs w:val="18"/>
                <w:color w:val="auto"/>
              </w:rPr>
              <w:t>3.5</w:t>
            </w:r>
          </w:p>
        </w:tc>
        <w:tc>
          <w:tcPr>
            <w:tcW w:w="360" w:type="dxa"/>
            <w:vAlign w:val="bottom"/>
            <w:shd w:val="clear" w:color="auto" w:fill="E6E6E6"/>
          </w:tcPr>
          <w:p>
            <w:pPr>
              <w:jc w:val="right"/>
              <w:ind w:right="172"/>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E6E6E6"/>
          </w:tcPr>
          <w:p>
            <w:pPr>
              <w:jc w:val="right"/>
              <w:ind w:right="35"/>
              <w:spacing w:after="0" w:line="202" w:lineRule="exact"/>
              <w:rPr>
                <w:sz w:val="20"/>
                <w:szCs w:val="20"/>
                <w:color w:val="auto"/>
              </w:rPr>
            </w:pPr>
            <w:r>
              <w:rPr>
                <w:rFonts w:ascii="Arial" w:cs="Arial" w:eastAsia="Arial" w:hAnsi="Arial"/>
                <w:sz w:val="18"/>
                <w:szCs w:val="18"/>
                <w:color w:val="auto"/>
              </w:rPr>
              <w:t>3.5</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5460" w:type="dxa"/>
            <w:vAlign w:val="bottom"/>
          </w:tcPr>
          <w:p>
            <w:pPr>
              <w:spacing w:after="0" w:line="202" w:lineRule="exact"/>
              <w:rPr>
                <w:sz w:val="20"/>
                <w:szCs w:val="20"/>
                <w:color w:val="auto"/>
              </w:rPr>
            </w:pPr>
            <w:r>
              <w:rPr>
                <w:rFonts w:ascii="Arial" w:cs="Arial" w:eastAsia="Arial" w:hAnsi="Arial"/>
                <w:sz w:val="18"/>
                <w:szCs w:val="18"/>
                <w:color w:val="auto"/>
              </w:rPr>
              <w:t>Buildings</w:t>
            </w:r>
          </w:p>
        </w:tc>
        <w:tc>
          <w:tcPr>
            <w:tcW w:w="3550" w:type="dxa"/>
            <w:vAlign w:val="bottom"/>
          </w:tcPr>
          <w:p>
            <w:pPr>
              <w:spacing w:after="0"/>
              <w:rPr>
                <w:sz w:val="17"/>
                <w:szCs w:val="17"/>
                <w:color w:val="auto"/>
              </w:rPr>
            </w:pPr>
          </w:p>
        </w:tc>
        <w:tc>
          <w:tcPr>
            <w:tcW w:w="1250" w:type="dxa"/>
            <w:vAlign w:val="bottom"/>
          </w:tcPr>
          <w:p>
            <w:pPr>
              <w:jc w:val="right"/>
              <w:ind w:right="255"/>
              <w:spacing w:after="0" w:line="202" w:lineRule="exact"/>
              <w:rPr>
                <w:sz w:val="20"/>
                <w:szCs w:val="20"/>
                <w:color w:val="auto"/>
              </w:rPr>
            </w:pPr>
            <w:r>
              <w:rPr>
                <w:rFonts w:ascii="Arial" w:cs="Arial" w:eastAsia="Arial" w:hAnsi="Arial"/>
                <w:sz w:val="18"/>
                <w:szCs w:val="18"/>
                <w:color w:val="auto"/>
              </w:rPr>
              <w:t>39.0</w:t>
            </w:r>
          </w:p>
        </w:tc>
        <w:tc>
          <w:tcPr>
            <w:tcW w:w="360" w:type="dxa"/>
            <w:vAlign w:val="bottom"/>
          </w:tcPr>
          <w:p>
            <w:pPr>
              <w:spacing w:after="0"/>
              <w:rPr>
                <w:sz w:val="17"/>
                <w:szCs w:val="17"/>
                <w:color w:val="auto"/>
              </w:rPr>
            </w:pPr>
          </w:p>
        </w:tc>
        <w:tc>
          <w:tcPr>
            <w:tcW w:w="800" w:type="dxa"/>
            <w:vAlign w:val="bottom"/>
          </w:tcPr>
          <w:p>
            <w:pPr>
              <w:jc w:val="right"/>
              <w:ind w:right="35"/>
              <w:spacing w:after="0" w:line="202" w:lineRule="exact"/>
              <w:rPr>
                <w:sz w:val="20"/>
                <w:szCs w:val="20"/>
                <w:color w:val="auto"/>
              </w:rPr>
            </w:pPr>
            <w:r>
              <w:rPr>
                <w:rFonts w:ascii="Arial" w:cs="Arial" w:eastAsia="Arial" w:hAnsi="Arial"/>
                <w:sz w:val="18"/>
                <w:szCs w:val="18"/>
                <w:color w:val="auto"/>
              </w:rPr>
              <w:t>39.0</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546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Equipment</w:t>
            </w:r>
          </w:p>
        </w:tc>
        <w:tc>
          <w:tcPr>
            <w:tcW w:w="3550" w:type="dxa"/>
            <w:vAlign w:val="bottom"/>
            <w:shd w:val="clear" w:color="auto" w:fill="E6E6E6"/>
          </w:tcPr>
          <w:p>
            <w:pPr>
              <w:spacing w:after="0"/>
              <w:rPr>
                <w:sz w:val="17"/>
                <w:szCs w:val="17"/>
                <w:color w:val="auto"/>
              </w:rPr>
            </w:pPr>
          </w:p>
        </w:tc>
        <w:tc>
          <w:tcPr>
            <w:tcW w:w="1250" w:type="dxa"/>
            <w:vAlign w:val="bottom"/>
            <w:shd w:val="clear" w:color="auto" w:fill="E6E6E6"/>
          </w:tcPr>
          <w:p>
            <w:pPr>
              <w:jc w:val="right"/>
              <w:ind w:right="255"/>
              <w:spacing w:after="0" w:line="202" w:lineRule="exact"/>
              <w:rPr>
                <w:sz w:val="20"/>
                <w:szCs w:val="20"/>
                <w:color w:val="auto"/>
              </w:rPr>
            </w:pPr>
            <w:r>
              <w:rPr>
                <w:rFonts w:ascii="Arial" w:cs="Arial" w:eastAsia="Arial" w:hAnsi="Arial"/>
                <w:sz w:val="18"/>
                <w:szCs w:val="18"/>
                <w:color w:val="auto"/>
              </w:rPr>
              <w:t>8.0</w:t>
            </w:r>
          </w:p>
        </w:tc>
        <w:tc>
          <w:tcPr>
            <w:tcW w:w="360" w:type="dxa"/>
            <w:vAlign w:val="bottom"/>
            <w:shd w:val="clear" w:color="auto" w:fill="E6E6E6"/>
          </w:tcPr>
          <w:p>
            <w:pPr>
              <w:spacing w:after="0"/>
              <w:rPr>
                <w:sz w:val="17"/>
                <w:szCs w:val="17"/>
                <w:color w:val="auto"/>
              </w:rPr>
            </w:pPr>
          </w:p>
        </w:tc>
        <w:tc>
          <w:tcPr>
            <w:tcW w:w="800" w:type="dxa"/>
            <w:vAlign w:val="bottom"/>
            <w:shd w:val="clear" w:color="auto" w:fill="E6E6E6"/>
          </w:tcPr>
          <w:p>
            <w:pPr>
              <w:jc w:val="right"/>
              <w:ind w:right="35"/>
              <w:spacing w:after="0" w:line="202" w:lineRule="exact"/>
              <w:rPr>
                <w:sz w:val="20"/>
                <w:szCs w:val="20"/>
                <w:color w:val="auto"/>
              </w:rPr>
            </w:pPr>
            <w:r>
              <w:rPr>
                <w:rFonts w:ascii="Arial" w:cs="Arial" w:eastAsia="Arial" w:hAnsi="Arial"/>
                <w:sz w:val="18"/>
                <w:szCs w:val="18"/>
                <w:color w:val="auto"/>
              </w:rPr>
              <w:t>19.0</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08"/>
        </w:trPr>
        <w:tc>
          <w:tcPr>
            <w:tcW w:w="5460" w:type="dxa"/>
            <w:vAlign w:val="bottom"/>
            <w:tcBorders>
              <w:bottom w:val="single" w:sz="8" w:color="808080"/>
            </w:tcBorders>
          </w:tcPr>
          <w:p>
            <w:pPr>
              <w:spacing w:after="0"/>
              <w:rPr>
                <w:sz w:val="9"/>
                <w:szCs w:val="9"/>
                <w:color w:val="auto"/>
              </w:rPr>
            </w:pPr>
          </w:p>
        </w:tc>
        <w:tc>
          <w:tcPr>
            <w:tcW w:w="3550" w:type="dxa"/>
            <w:vAlign w:val="bottom"/>
            <w:tcBorders>
              <w:bottom w:val="single" w:sz="8" w:color="808080"/>
            </w:tcBorders>
          </w:tcPr>
          <w:p>
            <w:pPr>
              <w:spacing w:after="0"/>
              <w:rPr>
                <w:sz w:val="9"/>
                <w:szCs w:val="9"/>
                <w:color w:val="auto"/>
              </w:rPr>
            </w:pPr>
          </w:p>
        </w:tc>
        <w:tc>
          <w:tcPr>
            <w:tcW w:w="125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304"/>
        </w:trPr>
        <w:tc>
          <w:tcPr>
            <w:tcW w:w="5460" w:type="dxa"/>
            <w:vAlign w:val="bottom"/>
          </w:tcPr>
          <w:p>
            <w:pPr>
              <w:spacing w:after="0"/>
              <w:rPr>
                <w:sz w:val="24"/>
                <w:szCs w:val="24"/>
                <w:color w:val="auto"/>
              </w:rPr>
            </w:pPr>
          </w:p>
        </w:tc>
        <w:tc>
          <w:tcPr>
            <w:tcW w:w="3550" w:type="dxa"/>
            <w:vAlign w:val="bottom"/>
          </w:tcPr>
          <w:p>
            <w:pPr>
              <w:spacing w:after="0"/>
              <w:rPr>
                <w:sz w:val="24"/>
                <w:szCs w:val="24"/>
                <w:color w:val="auto"/>
              </w:rPr>
            </w:pPr>
          </w:p>
        </w:tc>
        <w:tc>
          <w:tcPr>
            <w:tcW w:w="1250" w:type="dxa"/>
            <w:vAlign w:val="bottom"/>
          </w:tcPr>
          <w:p>
            <w:pPr>
              <w:jc w:val="right"/>
              <w:ind w:right="255"/>
              <w:spacing w:after="0"/>
              <w:rPr>
                <w:sz w:val="20"/>
                <w:szCs w:val="20"/>
                <w:color w:val="auto"/>
              </w:rPr>
            </w:pPr>
            <w:r>
              <w:rPr>
                <w:rFonts w:ascii="Arial" w:cs="Arial" w:eastAsia="Arial" w:hAnsi="Arial"/>
                <w:sz w:val="18"/>
                <w:szCs w:val="18"/>
                <w:color w:val="auto"/>
              </w:rPr>
              <w:t>50.5</w:t>
            </w:r>
          </w:p>
        </w:tc>
        <w:tc>
          <w:tcPr>
            <w:tcW w:w="360" w:type="dxa"/>
            <w:vAlign w:val="bottom"/>
          </w:tcPr>
          <w:p>
            <w:pPr>
              <w:spacing w:after="0"/>
              <w:rPr>
                <w:sz w:val="24"/>
                <w:szCs w:val="24"/>
                <w:color w:val="auto"/>
              </w:rPr>
            </w:pPr>
          </w:p>
        </w:tc>
        <w:tc>
          <w:tcPr>
            <w:tcW w:w="800" w:type="dxa"/>
            <w:vAlign w:val="bottom"/>
          </w:tcPr>
          <w:p>
            <w:pPr>
              <w:jc w:val="right"/>
              <w:ind w:right="35"/>
              <w:spacing w:after="0"/>
              <w:rPr>
                <w:sz w:val="20"/>
                <w:szCs w:val="20"/>
                <w:color w:val="auto"/>
              </w:rPr>
            </w:pPr>
            <w:r>
              <w:rPr>
                <w:rFonts w:ascii="Arial" w:cs="Arial" w:eastAsia="Arial" w:hAnsi="Arial"/>
                <w:sz w:val="18"/>
                <w:szCs w:val="18"/>
                <w:color w:val="auto"/>
              </w:rPr>
              <w:t>61.5</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3"/>
        </w:trPr>
        <w:tc>
          <w:tcPr>
            <w:tcW w:w="546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Accumulated amortization</w:t>
            </w:r>
          </w:p>
        </w:tc>
        <w:tc>
          <w:tcPr>
            <w:tcW w:w="3550" w:type="dxa"/>
            <w:vAlign w:val="bottom"/>
            <w:shd w:val="clear" w:color="auto" w:fill="E6E6E6"/>
          </w:tcPr>
          <w:p>
            <w:pPr>
              <w:spacing w:after="0"/>
              <w:rPr>
                <w:sz w:val="17"/>
                <w:szCs w:val="17"/>
                <w:color w:val="auto"/>
              </w:rPr>
            </w:pPr>
          </w:p>
        </w:tc>
        <w:tc>
          <w:tcPr>
            <w:tcW w:w="1250" w:type="dxa"/>
            <w:vAlign w:val="bottom"/>
            <w:shd w:val="clear" w:color="auto" w:fill="E6E6E6"/>
          </w:tcPr>
          <w:p>
            <w:pPr>
              <w:jc w:val="right"/>
              <w:ind w:right="195"/>
              <w:spacing w:after="0" w:line="202" w:lineRule="exact"/>
              <w:rPr>
                <w:sz w:val="20"/>
                <w:szCs w:val="20"/>
                <w:color w:val="auto"/>
              </w:rPr>
            </w:pPr>
            <w:r>
              <w:rPr>
                <w:rFonts w:ascii="Arial" w:cs="Arial" w:eastAsia="Arial" w:hAnsi="Arial"/>
                <w:sz w:val="18"/>
                <w:szCs w:val="18"/>
                <w:color w:val="auto"/>
              </w:rPr>
              <w:t>(17.6)</w:t>
            </w:r>
          </w:p>
        </w:tc>
        <w:tc>
          <w:tcPr>
            <w:tcW w:w="360" w:type="dxa"/>
            <w:vAlign w:val="bottom"/>
            <w:shd w:val="clear" w:color="auto" w:fill="E6E6E6"/>
          </w:tcPr>
          <w:p>
            <w:pPr>
              <w:spacing w:after="0"/>
              <w:rPr>
                <w:sz w:val="17"/>
                <w:szCs w:val="17"/>
                <w:color w:val="auto"/>
              </w:rPr>
            </w:pPr>
          </w:p>
        </w:tc>
        <w:tc>
          <w:tcPr>
            <w:tcW w:w="80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(25.3)</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08"/>
        </w:trPr>
        <w:tc>
          <w:tcPr>
            <w:tcW w:w="5460" w:type="dxa"/>
            <w:vAlign w:val="bottom"/>
            <w:tcBorders>
              <w:bottom w:val="single" w:sz="8" w:color="808080"/>
            </w:tcBorders>
          </w:tcPr>
          <w:p>
            <w:pPr>
              <w:spacing w:after="0"/>
              <w:rPr>
                <w:sz w:val="9"/>
                <w:szCs w:val="9"/>
                <w:color w:val="auto"/>
              </w:rPr>
            </w:pPr>
          </w:p>
        </w:tc>
        <w:tc>
          <w:tcPr>
            <w:tcW w:w="3550" w:type="dxa"/>
            <w:vAlign w:val="bottom"/>
            <w:tcBorders>
              <w:bottom w:val="single" w:sz="8" w:color="808080"/>
            </w:tcBorders>
          </w:tcPr>
          <w:p>
            <w:pPr>
              <w:spacing w:after="0"/>
              <w:rPr>
                <w:sz w:val="9"/>
                <w:szCs w:val="9"/>
                <w:color w:val="auto"/>
              </w:rPr>
            </w:pPr>
          </w:p>
        </w:tc>
        <w:tc>
          <w:tcPr>
            <w:tcW w:w="125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316"/>
        </w:trPr>
        <w:tc>
          <w:tcPr>
            <w:tcW w:w="546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355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50" w:type="dxa"/>
            <w:vAlign w:val="bottom"/>
          </w:tcPr>
          <w:p>
            <w:pPr>
              <w:jc w:val="right"/>
              <w:ind w:right="255"/>
              <w:spacing w:after="0"/>
              <w:rPr>
                <w:sz w:val="20"/>
                <w:szCs w:val="20"/>
                <w:color w:val="auto"/>
              </w:rPr>
            </w:pPr>
            <w:r>
              <w:rPr>
                <w:rFonts w:ascii="Arial" w:cs="Arial" w:eastAsia="Arial" w:hAnsi="Arial"/>
                <w:sz w:val="18"/>
                <w:szCs w:val="18"/>
                <w:b w:val="1"/>
                <w:bCs w:val="1"/>
                <w:color w:val="auto"/>
              </w:rPr>
              <w:t>32.9</w:t>
            </w:r>
          </w:p>
        </w:tc>
        <w:tc>
          <w:tcPr>
            <w:tcW w:w="360" w:type="dxa"/>
            <w:vAlign w:val="bottom"/>
          </w:tcPr>
          <w:p>
            <w:pPr>
              <w:jc w:val="right"/>
              <w:ind w:right="172"/>
              <w:spacing w:after="0"/>
              <w:rPr>
                <w:sz w:val="20"/>
                <w:szCs w:val="20"/>
                <w:color w:val="auto"/>
              </w:rPr>
            </w:pPr>
            <w:r>
              <w:rPr>
                <w:rFonts w:ascii="Arial" w:cs="Arial" w:eastAsia="Arial" w:hAnsi="Arial"/>
                <w:sz w:val="18"/>
                <w:szCs w:val="18"/>
                <w:b w:val="1"/>
                <w:bCs w:val="1"/>
                <w:color w:val="auto"/>
                <w:w w:val="79"/>
              </w:rPr>
              <w:t>$</w:t>
            </w:r>
          </w:p>
        </w:tc>
        <w:tc>
          <w:tcPr>
            <w:tcW w:w="800" w:type="dxa"/>
            <w:vAlign w:val="bottom"/>
          </w:tcPr>
          <w:p>
            <w:pPr>
              <w:jc w:val="right"/>
              <w:ind w:right="35"/>
              <w:spacing w:after="0"/>
              <w:rPr>
                <w:sz w:val="20"/>
                <w:szCs w:val="20"/>
                <w:color w:val="auto"/>
              </w:rPr>
            </w:pPr>
            <w:r>
              <w:rPr>
                <w:rFonts w:ascii="Arial" w:cs="Arial" w:eastAsia="Arial" w:hAnsi="Arial"/>
                <w:sz w:val="18"/>
                <w:szCs w:val="18"/>
                <w:b w:val="1"/>
                <w:bCs w:val="1"/>
                <w:color w:val="auto"/>
              </w:rPr>
              <w:t>36.2</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20"/>
        </w:trPr>
        <w:tc>
          <w:tcPr>
            <w:tcW w:w="5460" w:type="dxa"/>
            <w:vAlign w:val="bottom"/>
            <w:tcBorders>
              <w:bottom w:val="single" w:sz="8" w:color="808080"/>
            </w:tcBorders>
          </w:tcPr>
          <w:p>
            <w:pPr>
              <w:spacing w:after="0"/>
              <w:rPr>
                <w:sz w:val="10"/>
                <w:szCs w:val="10"/>
                <w:color w:val="auto"/>
              </w:rPr>
            </w:pPr>
          </w:p>
        </w:tc>
        <w:tc>
          <w:tcPr>
            <w:tcW w:w="3550" w:type="dxa"/>
            <w:vAlign w:val="bottom"/>
            <w:tcBorders>
              <w:bottom w:val="single" w:sz="8" w:color="808080"/>
            </w:tcBorders>
          </w:tcPr>
          <w:p>
            <w:pPr>
              <w:spacing w:after="0"/>
              <w:rPr>
                <w:sz w:val="10"/>
                <w:szCs w:val="10"/>
                <w:color w:val="auto"/>
              </w:rPr>
            </w:pPr>
          </w:p>
        </w:tc>
        <w:tc>
          <w:tcPr>
            <w:tcW w:w="125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-29210</wp:posOffset>
            </wp:positionV>
            <wp:extent cx="12700" cy="2984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-29210</wp:posOffset>
            </wp:positionV>
            <wp:extent cx="12700" cy="2984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-29210</wp:posOffset>
            </wp:positionV>
            <wp:extent cx="12700" cy="2984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-29210</wp:posOffset>
            </wp:positionV>
            <wp:extent cx="12700" cy="2984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-29210</wp:posOffset>
            </wp:positionV>
            <wp:extent cx="12700" cy="2984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-29210</wp:posOffset>
            </wp:positionV>
            <wp:extent cx="12700" cy="2984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-29210</wp:posOffset>
            </wp:positionV>
            <wp:extent cx="12700" cy="2984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9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the aggregate minimum future annual rental commitments at May 31, 2010 under all non-cancelable leases for fiscal years ending</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May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221615</wp:posOffset>
            </wp:positionV>
            <wp:extent cx="7263765" cy="889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8200" w:type="dxa"/>
            <w:vAlign w:val="bottom"/>
          </w:tcPr>
          <w:p>
            <w:pPr>
              <w:spacing w:after="0"/>
              <w:rPr>
                <w:sz w:val="15"/>
                <w:szCs w:val="15"/>
                <w:color w:val="auto"/>
              </w:rPr>
            </w:pPr>
          </w:p>
        </w:tc>
        <w:tc>
          <w:tcPr>
            <w:tcW w:w="125" w:type="dxa"/>
            <w:vAlign w:val="bottom"/>
          </w:tcPr>
          <w:p>
            <w:pPr>
              <w:spacing w:after="0"/>
              <w:rPr>
                <w:sz w:val="15"/>
                <w:szCs w:val="15"/>
                <w:color w:val="auto"/>
              </w:rPr>
            </w:pPr>
          </w:p>
        </w:tc>
        <w:tc>
          <w:tcPr>
            <w:tcW w:w="1435" w:type="dxa"/>
            <w:vAlign w:val="bottom"/>
          </w:tcPr>
          <w:p>
            <w:pPr>
              <w:jc w:val="right"/>
              <w:spacing w:after="0"/>
              <w:rPr>
                <w:sz w:val="20"/>
                <w:szCs w:val="20"/>
                <w:color w:val="auto"/>
              </w:rPr>
            </w:pPr>
            <w:r>
              <w:rPr>
                <w:rFonts w:ascii="Arial" w:cs="Arial" w:eastAsia="Arial" w:hAnsi="Arial"/>
                <w:sz w:val="14"/>
                <w:szCs w:val="14"/>
                <w:b w:val="1"/>
                <w:bCs w:val="1"/>
                <w:color w:val="auto"/>
              </w:rPr>
              <w:t>Operating Leases</w:t>
            </w: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gridSpan w:val="3"/>
          </w:tcPr>
          <w:p>
            <w:pPr>
              <w:ind w:left="140"/>
              <w:spacing w:after="0"/>
              <w:rPr>
                <w:sz w:val="20"/>
                <w:szCs w:val="20"/>
                <w:color w:val="auto"/>
              </w:rPr>
            </w:pPr>
            <w:r>
              <w:rPr>
                <w:rFonts w:ascii="Arial" w:cs="Arial" w:eastAsia="Arial" w:hAnsi="Arial"/>
                <w:sz w:val="14"/>
                <w:szCs w:val="14"/>
                <w:b w:val="1"/>
                <w:bCs w:val="1"/>
                <w:color w:val="auto"/>
              </w:rPr>
              <w:t>Capital Leases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200" w:type="dxa"/>
            <w:vAlign w:val="bottom"/>
            <w:tcBorders>
              <w:bottom w:val="single" w:sz="8" w:color="auto"/>
            </w:tcBorders>
          </w:tcPr>
          <w:p>
            <w:pPr>
              <w:spacing w:after="0"/>
              <w:rPr>
                <w:sz w:val="8"/>
                <w:szCs w:val="8"/>
                <w:color w:val="auto"/>
              </w:rPr>
            </w:pPr>
          </w:p>
        </w:tc>
        <w:tc>
          <w:tcPr>
            <w:tcW w:w="125" w:type="dxa"/>
            <w:vAlign w:val="bottom"/>
            <w:tcBorders>
              <w:bottom w:val="single" w:sz="8" w:color="auto"/>
            </w:tcBorders>
          </w:tcPr>
          <w:p>
            <w:pPr>
              <w:spacing w:after="0"/>
              <w:rPr>
                <w:sz w:val="8"/>
                <w:szCs w:val="8"/>
                <w:color w:val="auto"/>
              </w:rPr>
            </w:pPr>
          </w:p>
        </w:tc>
        <w:tc>
          <w:tcPr>
            <w:tcW w:w="1435"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8220" w:type="dxa"/>
            <w:vAlign w:val="bottom"/>
            <w:gridSpan w:val="2"/>
          </w:tcPr>
          <w:p>
            <w:pPr>
              <w:spacing w:after="0"/>
              <w:rPr>
                <w:sz w:val="8"/>
                <w:szCs w:val="8"/>
                <w:color w:val="auto"/>
              </w:rPr>
            </w:pPr>
          </w:p>
        </w:tc>
        <w:tc>
          <w:tcPr>
            <w:tcW w:w="125" w:type="dxa"/>
            <w:vAlign w:val="bottom"/>
          </w:tcPr>
          <w:p>
            <w:pPr>
              <w:spacing w:after="0"/>
              <w:rPr>
                <w:sz w:val="8"/>
                <w:szCs w:val="8"/>
                <w:color w:val="auto"/>
              </w:rPr>
            </w:pPr>
          </w:p>
        </w:tc>
        <w:tc>
          <w:tcPr>
            <w:tcW w:w="1435"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0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2011</w:t>
            </w:r>
          </w:p>
        </w:tc>
        <w:tc>
          <w:tcPr>
            <w:tcW w:w="125" w:type="dxa"/>
            <w:vAlign w:val="bottom"/>
            <w:shd w:val="clear" w:color="auto" w:fill="E6E6E6"/>
          </w:tcPr>
          <w:p>
            <w:pPr>
              <w:spacing w:after="0"/>
              <w:rPr>
                <w:sz w:val="17"/>
                <w:szCs w:val="17"/>
                <w:color w:val="auto"/>
              </w:rPr>
            </w:pPr>
          </w:p>
        </w:tc>
        <w:tc>
          <w:tcPr>
            <w:tcW w:w="1435"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35.3</w:t>
            </w:r>
          </w:p>
        </w:tc>
        <w:tc>
          <w:tcPr>
            <w:tcW w:w="200" w:type="dxa"/>
            <w:vAlign w:val="bottom"/>
            <w:shd w:val="clear" w:color="auto" w:fill="E6E6E6"/>
          </w:tcPr>
          <w:p>
            <w:pPr>
              <w:spacing w:after="0"/>
              <w:rPr>
                <w:sz w:val="17"/>
                <w:szCs w:val="17"/>
                <w:color w:val="auto"/>
              </w:rPr>
            </w:pPr>
          </w:p>
        </w:tc>
        <w:tc>
          <w:tcPr>
            <w:tcW w:w="240" w:type="dxa"/>
            <w:vAlign w:val="bottom"/>
            <w:shd w:val="clear" w:color="auto" w:fill="E6E6E6"/>
          </w:tcPr>
          <w:p>
            <w:pPr>
              <w:spacing w:after="0"/>
              <w:rPr>
                <w:sz w:val="17"/>
                <w:szCs w:val="17"/>
                <w:color w:val="auto"/>
              </w:rPr>
            </w:pPr>
          </w:p>
        </w:tc>
        <w:tc>
          <w:tcPr>
            <w:tcW w:w="110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5.9</w:t>
            </w:r>
          </w:p>
        </w:tc>
        <w:tc>
          <w:tcPr>
            <w:tcW w:w="100" w:type="dxa"/>
            <w:vAlign w:val="bottom"/>
            <w:shd w:val="clear" w:color="auto" w:fill="E6E6E6"/>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220" w:type="dxa"/>
            <w:vAlign w:val="bottom"/>
            <w:gridSpan w:val="2"/>
          </w:tcPr>
          <w:p>
            <w:pPr>
              <w:spacing w:after="0" w:line="202" w:lineRule="exact"/>
              <w:rPr>
                <w:sz w:val="20"/>
                <w:szCs w:val="20"/>
                <w:color w:val="auto"/>
              </w:rPr>
            </w:pPr>
            <w:r>
              <w:rPr>
                <w:rFonts w:ascii="Arial" w:cs="Arial" w:eastAsia="Arial" w:hAnsi="Arial"/>
                <w:sz w:val="18"/>
                <w:szCs w:val="18"/>
                <w:color w:val="auto"/>
              </w:rPr>
              <w:t>2012</w:t>
            </w:r>
          </w:p>
        </w:tc>
        <w:tc>
          <w:tcPr>
            <w:tcW w:w="125" w:type="dxa"/>
            <w:vAlign w:val="bottom"/>
          </w:tcPr>
          <w:p>
            <w:pPr>
              <w:spacing w:after="0"/>
              <w:rPr>
                <w:sz w:val="17"/>
                <w:szCs w:val="17"/>
                <w:color w:val="auto"/>
              </w:rPr>
            </w:pPr>
          </w:p>
        </w:tc>
        <w:tc>
          <w:tcPr>
            <w:tcW w:w="1435" w:type="dxa"/>
            <w:vAlign w:val="bottom"/>
          </w:tcPr>
          <w:p>
            <w:pPr>
              <w:jc w:val="right"/>
              <w:spacing w:after="0" w:line="202" w:lineRule="exact"/>
              <w:rPr>
                <w:sz w:val="20"/>
                <w:szCs w:val="20"/>
                <w:color w:val="auto"/>
              </w:rPr>
            </w:pPr>
            <w:r>
              <w:rPr>
                <w:rFonts w:ascii="Arial" w:cs="Arial" w:eastAsia="Arial" w:hAnsi="Arial"/>
                <w:sz w:val="18"/>
                <w:szCs w:val="18"/>
                <w:color w:val="auto"/>
              </w:rPr>
              <w:t>31.1</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5.7</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0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2013</w:t>
            </w:r>
          </w:p>
        </w:tc>
        <w:tc>
          <w:tcPr>
            <w:tcW w:w="125" w:type="dxa"/>
            <w:vAlign w:val="bottom"/>
            <w:shd w:val="clear" w:color="auto" w:fill="E6E6E6"/>
          </w:tcPr>
          <w:p>
            <w:pPr>
              <w:spacing w:after="0"/>
              <w:rPr>
                <w:sz w:val="17"/>
                <w:szCs w:val="17"/>
                <w:color w:val="auto"/>
              </w:rPr>
            </w:pPr>
          </w:p>
        </w:tc>
        <w:tc>
          <w:tcPr>
            <w:tcW w:w="1435"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27.1</w:t>
            </w:r>
          </w:p>
        </w:tc>
        <w:tc>
          <w:tcPr>
            <w:tcW w:w="200" w:type="dxa"/>
            <w:vAlign w:val="bottom"/>
            <w:shd w:val="clear" w:color="auto" w:fill="E6E6E6"/>
          </w:tcPr>
          <w:p>
            <w:pPr>
              <w:spacing w:after="0"/>
              <w:rPr>
                <w:sz w:val="17"/>
                <w:szCs w:val="17"/>
                <w:color w:val="auto"/>
              </w:rPr>
            </w:pPr>
          </w:p>
        </w:tc>
        <w:tc>
          <w:tcPr>
            <w:tcW w:w="240" w:type="dxa"/>
            <w:vAlign w:val="bottom"/>
            <w:shd w:val="clear" w:color="auto" w:fill="E6E6E6"/>
          </w:tcPr>
          <w:p>
            <w:pPr>
              <w:spacing w:after="0"/>
              <w:rPr>
                <w:sz w:val="17"/>
                <w:szCs w:val="17"/>
                <w:color w:val="auto"/>
              </w:rPr>
            </w:pPr>
          </w:p>
        </w:tc>
        <w:tc>
          <w:tcPr>
            <w:tcW w:w="110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6.2</w:t>
            </w:r>
          </w:p>
        </w:tc>
        <w:tc>
          <w:tcPr>
            <w:tcW w:w="100" w:type="dxa"/>
            <w:vAlign w:val="bottom"/>
            <w:shd w:val="clear" w:color="auto" w:fill="E6E6E6"/>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220" w:type="dxa"/>
            <w:vAlign w:val="bottom"/>
            <w:gridSpan w:val="2"/>
          </w:tcPr>
          <w:p>
            <w:pPr>
              <w:spacing w:after="0" w:line="202" w:lineRule="exact"/>
              <w:rPr>
                <w:sz w:val="20"/>
                <w:szCs w:val="20"/>
                <w:color w:val="auto"/>
              </w:rPr>
            </w:pPr>
            <w:r>
              <w:rPr>
                <w:rFonts w:ascii="Arial" w:cs="Arial" w:eastAsia="Arial" w:hAnsi="Arial"/>
                <w:sz w:val="18"/>
                <w:szCs w:val="18"/>
                <w:color w:val="auto"/>
              </w:rPr>
              <w:t>2014</w:t>
            </w:r>
          </w:p>
        </w:tc>
        <w:tc>
          <w:tcPr>
            <w:tcW w:w="125" w:type="dxa"/>
            <w:vAlign w:val="bottom"/>
          </w:tcPr>
          <w:p>
            <w:pPr>
              <w:spacing w:after="0"/>
              <w:rPr>
                <w:sz w:val="17"/>
                <w:szCs w:val="17"/>
                <w:color w:val="auto"/>
              </w:rPr>
            </w:pPr>
          </w:p>
        </w:tc>
        <w:tc>
          <w:tcPr>
            <w:tcW w:w="1435" w:type="dxa"/>
            <w:vAlign w:val="bottom"/>
          </w:tcPr>
          <w:p>
            <w:pPr>
              <w:jc w:val="right"/>
              <w:spacing w:after="0" w:line="202" w:lineRule="exact"/>
              <w:rPr>
                <w:sz w:val="20"/>
                <w:szCs w:val="20"/>
                <w:color w:val="auto"/>
              </w:rPr>
            </w:pPr>
            <w:r>
              <w:rPr>
                <w:rFonts w:ascii="Arial" w:cs="Arial" w:eastAsia="Arial" w:hAnsi="Arial"/>
                <w:sz w:val="18"/>
                <w:szCs w:val="18"/>
                <w:color w:val="auto"/>
              </w:rPr>
              <w:t>21.0</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5.1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0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2015</w:t>
            </w:r>
          </w:p>
        </w:tc>
        <w:tc>
          <w:tcPr>
            <w:tcW w:w="125" w:type="dxa"/>
            <w:vAlign w:val="bottom"/>
            <w:shd w:val="clear" w:color="auto" w:fill="E6E6E6"/>
          </w:tcPr>
          <w:p>
            <w:pPr>
              <w:spacing w:after="0"/>
              <w:rPr>
                <w:sz w:val="17"/>
                <w:szCs w:val="17"/>
                <w:color w:val="auto"/>
              </w:rPr>
            </w:pPr>
          </w:p>
        </w:tc>
        <w:tc>
          <w:tcPr>
            <w:tcW w:w="1435"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16.8</w:t>
            </w:r>
          </w:p>
        </w:tc>
        <w:tc>
          <w:tcPr>
            <w:tcW w:w="200" w:type="dxa"/>
            <w:vAlign w:val="bottom"/>
            <w:shd w:val="clear" w:color="auto" w:fill="E6E6E6"/>
          </w:tcPr>
          <w:p>
            <w:pPr>
              <w:spacing w:after="0"/>
              <w:rPr>
                <w:sz w:val="17"/>
                <w:szCs w:val="17"/>
                <w:color w:val="auto"/>
              </w:rPr>
            </w:pPr>
          </w:p>
        </w:tc>
        <w:tc>
          <w:tcPr>
            <w:tcW w:w="240" w:type="dxa"/>
            <w:vAlign w:val="bottom"/>
            <w:shd w:val="clear" w:color="auto" w:fill="E6E6E6"/>
          </w:tcPr>
          <w:p>
            <w:pPr>
              <w:spacing w:after="0"/>
              <w:rPr>
                <w:sz w:val="17"/>
                <w:szCs w:val="17"/>
                <w:color w:val="auto"/>
              </w:rPr>
            </w:pPr>
          </w:p>
        </w:tc>
        <w:tc>
          <w:tcPr>
            <w:tcW w:w="110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5.1</w:t>
            </w:r>
          </w:p>
        </w:tc>
        <w:tc>
          <w:tcPr>
            <w:tcW w:w="100" w:type="dxa"/>
            <w:vAlign w:val="bottom"/>
            <w:shd w:val="clear" w:color="auto" w:fill="E6E6E6"/>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822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125" w:type="dxa"/>
            <w:vAlign w:val="bottom"/>
          </w:tcPr>
          <w:p>
            <w:pPr>
              <w:spacing w:after="0"/>
              <w:rPr>
                <w:sz w:val="18"/>
                <w:szCs w:val="18"/>
                <w:color w:val="auto"/>
              </w:rPr>
            </w:pPr>
          </w:p>
        </w:tc>
        <w:tc>
          <w:tcPr>
            <w:tcW w:w="1435" w:type="dxa"/>
            <w:vAlign w:val="bottom"/>
          </w:tcPr>
          <w:p>
            <w:pPr>
              <w:jc w:val="right"/>
              <w:spacing w:after="0"/>
              <w:rPr>
                <w:sz w:val="20"/>
                <w:szCs w:val="20"/>
                <w:color w:val="auto"/>
              </w:rPr>
            </w:pPr>
            <w:r>
              <w:rPr>
                <w:rFonts w:ascii="Arial" w:cs="Arial" w:eastAsia="Arial" w:hAnsi="Arial"/>
                <w:sz w:val="18"/>
                <w:szCs w:val="18"/>
                <w:color w:val="auto"/>
              </w:rPr>
              <w:t>55.7</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196.2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7"/>
        </w:trPr>
        <w:tc>
          <w:tcPr>
            <w:tcW w:w="8220" w:type="dxa"/>
            <w:vAlign w:val="bottom"/>
            <w:tcBorders>
              <w:bottom w:val="single" w:sz="8" w:color="808080"/>
            </w:tcBorders>
            <w:gridSpan w:val="2"/>
          </w:tcPr>
          <w:p>
            <w:pPr>
              <w:spacing w:after="0"/>
              <w:rPr>
                <w:sz w:val="8"/>
                <w:szCs w:val="8"/>
                <w:color w:val="auto"/>
              </w:rPr>
            </w:pPr>
          </w:p>
        </w:tc>
        <w:tc>
          <w:tcPr>
            <w:tcW w:w="125" w:type="dxa"/>
            <w:vAlign w:val="bottom"/>
            <w:tcBorders>
              <w:bottom w:val="single" w:sz="8" w:color="808080"/>
            </w:tcBorders>
          </w:tcPr>
          <w:p>
            <w:pPr>
              <w:spacing w:after="0"/>
              <w:rPr>
                <w:sz w:val="8"/>
                <w:szCs w:val="8"/>
                <w:color w:val="auto"/>
              </w:rPr>
            </w:pPr>
          </w:p>
        </w:tc>
        <w:tc>
          <w:tcPr>
            <w:tcW w:w="1435"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10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8220" w:type="dxa"/>
            <w:vAlign w:val="bottom"/>
            <w:gridSpan w:val="2"/>
          </w:tcPr>
          <w:p>
            <w:pPr>
              <w:spacing w:after="0"/>
              <w:rPr>
                <w:sz w:val="8"/>
                <w:szCs w:val="8"/>
                <w:color w:val="auto"/>
              </w:rPr>
            </w:pPr>
          </w:p>
        </w:tc>
        <w:tc>
          <w:tcPr>
            <w:tcW w:w="125" w:type="dxa"/>
            <w:vAlign w:val="bottom"/>
          </w:tcPr>
          <w:p>
            <w:pPr>
              <w:spacing w:after="0"/>
              <w:rPr>
                <w:sz w:val="8"/>
                <w:szCs w:val="8"/>
                <w:color w:val="auto"/>
              </w:rPr>
            </w:pPr>
          </w:p>
        </w:tc>
        <w:tc>
          <w:tcPr>
            <w:tcW w:w="1435"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0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Total minimum lease payments</w:t>
            </w:r>
          </w:p>
        </w:tc>
        <w:tc>
          <w:tcPr>
            <w:tcW w:w="125"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w w:val="79"/>
              </w:rPr>
              <w:t>$</w:t>
            </w:r>
          </w:p>
        </w:tc>
        <w:tc>
          <w:tcPr>
            <w:tcW w:w="1435"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187.0</w:t>
            </w:r>
          </w:p>
        </w:tc>
        <w:tc>
          <w:tcPr>
            <w:tcW w:w="440" w:type="dxa"/>
            <w:vAlign w:val="bottom"/>
            <w:gridSpan w:val="2"/>
            <w:shd w:val="clear" w:color="auto" w:fill="E6E6E6"/>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10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224.2</w:t>
            </w:r>
          </w:p>
        </w:tc>
        <w:tc>
          <w:tcPr>
            <w:tcW w:w="100" w:type="dxa"/>
            <w:vAlign w:val="bottom"/>
            <w:shd w:val="clear" w:color="auto" w:fill="E6E6E6"/>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00" w:type="dxa"/>
            <w:vAlign w:val="bottom"/>
            <w:vMerge w:val="restart"/>
          </w:tcPr>
          <w:p>
            <w:pPr>
              <w:ind w:left="140"/>
              <w:spacing w:after="0"/>
              <w:rPr>
                <w:sz w:val="20"/>
                <w:szCs w:val="20"/>
                <w:color w:val="auto"/>
              </w:rPr>
            </w:pPr>
            <w:r>
              <w:rPr>
                <w:rFonts w:ascii="Arial" w:cs="Arial" w:eastAsia="Arial" w:hAnsi="Arial"/>
                <w:sz w:val="18"/>
                <w:szCs w:val="18"/>
                <w:color w:val="auto"/>
              </w:rPr>
              <w:t>Less amount representing interest</w:t>
            </w:r>
          </w:p>
        </w:tc>
        <w:tc>
          <w:tcPr>
            <w:tcW w:w="125" w:type="dxa"/>
            <w:vAlign w:val="bottom"/>
            <w:tcBorders>
              <w:bottom w:val="single" w:sz="8" w:color="808080"/>
            </w:tcBorders>
          </w:tcPr>
          <w:p>
            <w:pPr>
              <w:spacing w:after="0"/>
              <w:rPr>
                <w:sz w:val="11"/>
                <w:szCs w:val="11"/>
                <w:color w:val="auto"/>
              </w:rPr>
            </w:pPr>
          </w:p>
        </w:tc>
        <w:tc>
          <w:tcPr>
            <w:tcW w:w="1435"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168.3</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8200" w:type="dxa"/>
            <w:vAlign w:val="bottom"/>
            <w:vMerge w:val="continue"/>
          </w:tcPr>
          <w:p>
            <w:pPr>
              <w:spacing w:after="0"/>
              <w:rPr>
                <w:sz w:val="24"/>
                <w:szCs w:val="24"/>
                <w:color w:val="auto"/>
              </w:rPr>
            </w:pPr>
          </w:p>
        </w:tc>
        <w:tc>
          <w:tcPr>
            <w:tcW w:w="125" w:type="dxa"/>
            <w:vAlign w:val="bottom"/>
          </w:tcPr>
          <w:p>
            <w:pPr>
              <w:spacing w:after="0"/>
              <w:rPr>
                <w:sz w:val="24"/>
                <w:szCs w:val="24"/>
                <w:color w:val="auto"/>
              </w:rPr>
            </w:pPr>
          </w:p>
        </w:tc>
        <w:tc>
          <w:tcPr>
            <w:tcW w:w="1435"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8220" w:type="dxa"/>
            <w:vAlign w:val="bottom"/>
            <w:gridSpan w:val="2"/>
          </w:tcPr>
          <w:p>
            <w:pPr>
              <w:spacing w:after="0"/>
              <w:rPr>
                <w:sz w:val="8"/>
                <w:szCs w:val="8"/>
                <w:color w:val="auto"/>
              </w:rPr>
            </w:pPr>
          </w:p>
        </w:tc>
        <w:tc>
          <w:tcPr>
            <w:tcW w:w="125" w:type="dxa"/>
            <w:vAlign w:val="bottom"/>
          </w:tcPr>
          <w:p>
            <w:pPr>
              <w:spacing w:after="0"/>
              <w:rPr>
                <w:sz w:val="8"/>
                <w:szCs w:val="8"/>
                <w:color w:val="auto"/>
              </w:rPr>
            </w:pPr>
          </w:p>
        </w:tc>
        <w:tc>
          <w:tcPr>
            <w:tcW w:w="1435"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10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8220" w:type="dxa"/>
            <w:vAlign w:val="bottom"/>
            <w:gridSpan w:val="2"/>
          </w:tcPr>
          <w:p>
            <w:pPr>
              <w:spacing w:after="0"/>
              <w:rPr>
                <w:sz w:val="8"/>
                <w:szCs w:val="8"/>
                <w:color w:val="auto"/>
              </w:rPr>
            </w:pPr>
          </w:p>
        </w:tc>
        <w:tc>
          <w:tcPr>
            <w:tcW w:w="125" w:type="dxa"/>
            <w:vAlign w:val="bottom"/>
          </w:tcPr>
          <w:p>
            <w:pPr>
              <w:spacing w:after="0"/>
              <w:rPr>
                <w:sz w:val="8"/>
                <w:szCs w:val="8"/>
                <w:color w:val="auto"/>
              </w:rPr>
            </w:pPr>
          </w:p>
        </w:tc>
        <w:tc>
          <w:tcPr>
            <w:tcW w:w="1435"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0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Present value of net minimum capital lease payments</w:t>
            </w:r>
          </w:p>
        </w:tc>
        <w:tc>
          <w:tcPr>
            <w:tcW w:w="125" w:type="dxa"/>
            <w:vAlign w:val="bottom"/>
            <w:shd w:val="clear" w:color="auto" w:fill="E6E6E6"/>
          </w:tcPr>
          <w:p>
            <w:pPr>
              <w:spacing w:after="0"/>
              <w:rPr>
                <w:sz w:val="17"/>
                <w:szCs w:val="17"/>
                <w:color w:val="auto"/>
              </w:rPr>
            </w:pPr>
          </w:p>
        </w:tc>
        <w:tc>
          <w:tcPr>
            <w:tcW w:w="1435" w:type="dxa"/>
            <w:vAlign w:val="bottom"/>
            <w:shd w:val="clear" w:color="auto" w:fill="E6E6E6"/>
          </w:tcPr>
          <w:p>
            <w:pPr>
              <w:spacing w:after="0"/>
              <w:rPr>
                <w:sz w:val="17"/>
                <w:szCs w:val="17"/>
                <w:color w:val="auto"/>
              </w:rPr>
            </w:pPr>
          </w:p>
        </w:tc>
        <w:tc>
          <w:tcPr>
            <w:tcW w:w="200" w:type="dxa"/>
            <w:vAlign w:val="bottom"/>
            <w:shd w:val="clear" w:color="auto" w:fill="E6E6E6"/>
          </w:tcPr>
          <w:p>
            <w:pPr>
              <w:spacing w:after="0"/>
              <w:rPr>
                <w:sz w:val="17"/>
                <w:szCs w:val="17"/>
                <w:color w:val="auto"/>
              </w:rPr>
            </w:pPr>
          </w:p>
        </w:tc>
        <w:tc>
          <w:tcPr>
            <w:tcW w:w="240" w:type="dxa"/>
            <w:vAlign w:val="bottom"/>
            <w:shd w:val="clear" w:color="auto" w:fill="E6E6E6"/>
          </w:tcPr>
          <w:p>
            <w:pPr>
              <w:spacing w:after="0"/>
              <w:rPr>
                <w:sz w:val="17"/>
                <w:szCs w:val="17"/>
                <w:color w:val="auto"/>
              </w:rPr>
            </w:pPr>
          </w:p>
        </w:tc>
        <w:tc>
          <w:tcPr>
            <w:tcW w:w="110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55.9</w:t>
            </w:r>
          </w:p>
        </w:tc>
        <w:tc>
          <w:tcPr>
            <w:tcW w:w="100" w:type="dxa"/>
            <w:vAlign w:val="bottom"/>
            <w:shd w:val="clear" w:color="auto" w:fill="E6E6E6"/>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8220" w:type="dxa"/>
            <w:vAlign w:val="bottom"/>
            <w:gridSpan w:val="2"/>
          </w:tcPr>
          <w:p>
            <w:pPr>
              <w:spacing w:after="0"/>
              <w:rPr>
                <w:sz w:val="20"/>
                <w:szCs w:val="20"/>
                <w:color w:val="auto"/>
              </w:rPr>
            </w:pPr>
            <w:r>
              <w:rPr>
                <w:rFonts w:ascii="Arial" w:cs="Arial" w:eastAsia="Arial" w:hAnsi="Arial"/>
                <w:sz w:val="18"/>
                <w:szCs w:val="18"/>
                <w:color w:val="auto"/>
              </w:rPr>
              <w:t>Less current maturities of capital lease obligations</w:t>
            </w:r>
          </w:p>
        </w:tc>
        <w:tc>
          <w:tcPr>
            <w:tcW w:w="125" w:type="dxa"/>
            <w:vAlign w:val="bottom"/>
          </w:tcPr>
          <w:p>
            <w:pPr>
              <w:spacing w:after="0"/>
              <w:rPr>
                <w:sz w:val="18"/>
                <w:szCs w:val="18"/>
                <w:color w:val="auto"/>
              </w:rPr>
            </w:pPr>
          </w:p>
        </w:tc>
        <w:tc>
          <w:tcPr>
            <w:tcW w:w="1435"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7"/>
        </w:trPr>
        <w:tc>
          <w:tcPr>
            <w:tcW w:w="8220" w:type="dxa"/>
            <w:vAlign w:val="bottom"/>
            <w:gridSpan w:val="2"/>
          </w:tcPr>
          <w:p>
            <w:pPr>
              <w:spacing w:after="0"/>
              <w:rPr>
                <w:sz w:val="8"/>
                <w:szCs w:val="8"/>
                <w:color w:val="auto"/>
              </w:rPr>
            </w:pPr>
          </w:p>
        </w:tc>
        <w:tc>
          <w:tcPr>
            <w:tcW w:w="125" w:type="dxa"/>
            <w:vAlign w:val="bottom"/>
          </w:tcPr>
          <w:p>
            <w:pPr>
              <w:spacing w:after="0"/>
              <w:rPr>
                <w:sz w:val="8"/>
                <w:szCs w:val="8"/>
                <w:color w:val="auto"/>
              </w:rPr>
            </w:pPr>
          </w:p>
        </w:tc>
        <w:tc>
          <w:tcPr>
            <w:tcW w:w="1435"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10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200" w:type="dxa"/>
            <w:vAlign w:val="bottom"/>
          </w:tcPr>
          <w:p>
            <w:pPr>
              <w:spacing w:after="0"/>
              <w:rPr>
                <w:sz w:val="8"/>
                <w:szCs w:val="8"/>
                <w:color w:val="auto"/>
              </w:rPr>
            </w:pPr>
          </w:p>
        </w:tc>
        <w:tc>
          <w:tcPr>
            <w:tcW w:w="125" w:type="dxa"/>
            <w:vAlign w:val="bottom"/>
          </w:tcPr>
          <w:p>
            <w:pPr>
              <w:spacing w:after="0"/>
              <w:rPr>
                <w:sz w:val="8"/>
                <w:szCs w:val="8"/>
                <w:color w:val="auto"/>
              </w:rPr>
            </w:pPr>
          </w:p>
        </w:tc>
        <w:tc>
          <w:tcPr>
            <w:tcW w:w="1435"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8200" w:type="dxa"/>
            <w:vAlign w:val="bottom"/>
            <w:shd w:val="clear" w:color="auto" w:fill="E6E6E6"/>
          </w:tcPr>
          <w:p>
            <w:pPr>
              <w:spacing w:after="0" w:line="202" w:lineRule="exact"/>
              <w:rPr>
                <w:sz w:val="20"/>
                <w:szCs w:val="20"/>
                <w:color w:val="auto"/>
              </w:rPr>
            </w:pPr>
            <w:r>
              <w:rPr>
                <w:rFonts w:ascii="Arial" w:cs="Arial" w:eastAsia="Arial" w:hAnsi="Arial"/>
                <w:sz w:val="18"/>
                <w:szCs w:val="18"/>
                <w:b w:val="1"/>
                <w:bCs w:val="1"/>
                <w:color w:val="auto"/>
              </w:rPr>
              <w:t>Long-term capital lease obligations</w:t>
            </w:r>
          </w:p>
        </w:tc>
        <w:tc>
          <w:tcPr>
            <w:tcW w:w="125" w:type="dxa"/>
            <w:vAlign w:val="bottom"/>
            <w:shd w:val="clear" w:color="auto" w:fill="E6E6E6"/>
          </w:tcPr>
          <w:p>
            <w:pPr>
              <w:spacing w:after="0"/>
              <w:rPr>
                <w:sz w:val="17"/>
                <w:szCs w:val="17"/>
                <w:color w:val="auto"/>
              </w:rPr>
            </w:pPr>
          </w:p>
        </w:tc>
        <w:tc>
          <w:tcPr>
            <w:tcW w:w="1435" w:type="dxa"/>
            <w:vAlign w:val="bottom"/>
            <w:shd w:val="clear" w:color="auto" w:fill="E6E6E6"/>
          </w:tcPr>
          <w:p>
            <w:pPr>
              <w:spacing w:after="0"/>
              <w:rPr>
                <w:sz w:val="17"/>
                <w:szCs w:val="17"/>
                <w:color w:val="auto"/>
              </w:rPr>
            </w:pPr>
          </w:p>
        </w:tc>
        <w:tc>
          <w:tcPr>
            <w:tcW w:w="440" w:type="dxa"/>
            <w:vAlign w:val="bottom"/>
            <w:gridSpan w:val="2"/>
            <w:shd w:val="clear" w:color="auto" w:fill="E6E6E6"/>
          </w:tcPr>
          <w:p>
            <w:pPr>
              <w:jc w:val="right"/>
              <w:ind w:right="140"/>
              <w:spacing w:after="0" w:line="202" w:lineRule="exact"/>
              <w:rPr>
                <w:sz w:val="20"/>
                <w:szCs w:val="20"/>
                <w:color w:val="auto"/>
              </w:rPr>
            </w:pPr>
            <w:r>
              <w:rPr>
                <w:rFonts w:ascii="Arial" w:cs="Arial" w:eastAsia="Arial" w:hAnsi="Arial"/>
                <w:sz w:val="18"/>
                <w:szCs w:val="18"/>
                <w:b w:val="1"/>
                <w:bCs w:val="1"/>
                <w:color w:val="auto"/>
              </w:rPr>
              <w:t>$</w:t>
            </w:r>
          </w:p>
        </w:tc>
        <w:tc>
          <w:tcPr>
            <w:tcW w:w="110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b w:val="1"/>
                <w:bCs w:val="1"/>
                <w:color w:val="auto"/>
              </w:rPr>
              <w:t>55.0</w:t>
            </w:r>
          </w:p>
        </w:tc>
        <w:tc>
          <w:tcPr>
            <w:tcW w:w="100" w:type="dxa"/>
            <w:vAlign w:val="bottom"/>
            <w:shd w:val="clear" w:color="auto" w:fill="E6E6E6"/>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00" w:type="dxa"/>
            <w:vAlign w:val="bottom"/>
          </w:tcPr>
          <w:p>
            <w:pPr>
              <w:spacing w:after="0"/>
              <w:rPr>
                <w:sz w:val="11"/>
                <w:szCs w:val="11"/>
                <w:color w:val="auto"/>
              </w:rPr>
            </w:pPr>
          </w:p>
        </w:tc>
        <w:tc>
          <w:tcPr>
            <w:tcW w:w="125" w:type="dxa"/>
            <w:vAlign w:val="bottom"/>
          </w:tcPr>
          <w:p>
            <w:pPr>
              <w:spacing w:after="0"/>
              <w:rPr>
                <w:sz w:val="11"/>
                <w:szCs w:val="11"/>
                <w:color w:val="auto"/>
              </w:rPr>
            </w:pPr>
          </w:p>
        </w:tc>
        <w:tc>
          <w:tcPr>
            <w:tcW w:w="1435"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1100" w:type="dxa"/>
            <w:vAlign w:val="bottom"/>
            <w:tcBorders>
              <w:bottom w:val="single" w:sz="8" w:color="808080"/>
            </w:tcBorders>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5217160</wp:posOffset>
            </wp:positionH>
            <wp:positionV relativeFrom="paragraph">
              <wp:posOffset>-998220</wp:posOffset>
            </wp:positionV>
            <wp:extent cx="12700" cy="2984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6203315</wp:posOffset>
            </wp:positionH>
            <wp:positionV relativeFrom="paragraph">
              <wp:posOffset>-998220</wp:posOffset>
            </wp:positionV>
            <wp:extent cx="12700" cy="2984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-998220</wp:posOffset>
            </wp:positionV>
            <wp:extent cx="12700" cy="2984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-29210</wp:posOffset>
            </wp:positionV>
            <wp:extent cx="12700" cy="2984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-29210</wp:posOffset>
            </wp:positionV>
            <wp:extent cx="12700" cy="2984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-29210</wp:posOffset>
            </wp:positionV>
            <wp:extent cx="12700" cy="2984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Commitments</w:t>
      </w:r>
    </w:p>
    <w:p>
      <w:pPr>
        <w:spacing w:after="0" w:line="222"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The Company had contractual commitments relating to royalty advances at May 31, 2010 totaling $10.6. The aggregate annual commitments for royalty advances are as follows: fiscal 2011 – $7.4; fiscal 2012 – $1.9; fiscal 2013 – $0.8; fiscal 2014 – $0.4; fiscal 2015 – $0.1.</w:t>
      </w:r>
    </w:p>
    <w:p>
      <w:pPr>
        <w:spacing w:after="0" w:line="186"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color w:val="auto"/>
        </w:rPr>
        <w:t>The Company had contractual commitments relating to minimum print quantities at May 31, 2010 totaling $508.1. The annual commitments relating to minimum print quantities are as follows: fiscal 2011 –$46.2; fiscal 2012 – $47.1; fiscal 2013 – $48.1; fiscal 2014 – $49.2; fiscal 2015 – $50.2; thereafter – $267.3.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2663825</wp:posOffset>
            </wp:positionH>
            <wp:positionV relativeFrom="paragraph">
              <wp:posOffset>93980</wp:posOffset>
            </wp:positionV>
            <wp:extent cx="1929765" cy="23177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1929765" cy="231775"/>
                    </a:xfrm>
                    <a:prstGeom prst="rect">
                      <a:avLst/>
                    </a:prstGeom>
                    <a:noFill/>
                  </pic:spPr>
                </pic:pic>
              </a:graphicData>
            </a:graphic>
          </wp:anchor>
        </w:drawing>
      </w:r>
    </w:p>
    <w:p>
      <w:pPr>
        <w:sectPr>
          <w:pgSz w:w="11900" w:h="16838" w:orient="portrait"/>
          <w:cols w:equalWidth="0" w:num="1">
            <w:col w:w="11460"/>
          </w:cols>
          <w:pgMar w:left="240" w:top="823" w:right="1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55</w:t>
      </w:r>
    </w:p>
    <w:p>
      <w:pPr>
        <w:sectPr>
          <w:pgSz w:w="11900" w:h="16838" w:orient="portrait"/>
          <w:cols w:equalWidth="0" w:num="1">
            <w:col w:w="11460"/>
          </w:cols>
          <w:pgMar w:left="240" w:top="823" w:right="199" w:bottom="0" w:gutter="0" w:footer="0" w:header="0"/>
          <w:type w:val="continuous"/>
        </w:sectPr>
      </w:pPr>
    </w:p>
    <w:bookmarkStart w:id="59" w:name="page60"/>
    <w:bookmarkEnd w:id="5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3619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267575" cy="361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0" w:name="page61"/>
    <w:bookmarkEnd w:id="60"/>
    <w:p>
      <w:pPr>
        <w:jc w:val="both"/>
        <w:ind w:right="1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7263765" cy="8890"/>
                    </a:xfrm>
                    <a:prstGeom prst="rect">
                      <a:avLst/>
                    </a:prstGeom>
                    <a:noFill/>
                  </pic:spPr>
                </pic:pic>
              </a:graphicData>
            </a:graphic>
          </wp:anchor>
        </w:drawing>
        <w:t>As of May 31, 2010, the Company had open standby letters of credit of $7.2 issued under certain credit lines, compared to $7.4 as of May 31, 2009. These letters of credit are scheduled to expire within one year; however, the Company expects that substantially all of these letters of credit will be renewed, at similar terms, prior to expiration.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222" w:lineRule="exact"/>
        <w:rPr>
          <w:sz w:val="20"/>
          <w:szCs w:val="20"/>
          <w:color w:val="auto"/>
        </w:rPr>
      </w:pPr>
    </w:p>
    <w:p>
      <w:pPr>
        <w:ind w:right="220"/>
        <w:spacing w:after="0" w:line="289" w:lineRule="auto"/>
        <w:rPr>
          <w:sz w:val="20"/>
          <w:szCs w:val="20"/>
          <w:color w:val="auto"/>
        </w:rPr>
      </w:pPr>
      <w:r>
        <w:rPr>
          <w:rFonts w:ascii="Arial" w:cs="Arial" w:eastAsia="Arial" w:hAnsi="Arial"/>
          <w:sz w:val="16"/>
          <w:szCs w:val="16"/>
          <w:color w:val="auto"/>
        </w:rPr>
        <w:t>As previously reported, the Company is party to certain actions filed by each of Alaska Laborers Employee Retirement Fund and Paul Baicu, which were consolidated on November 8, 2007. On September 26, 2008, the plaintiff sought leave of the Court to file a second amended class action complaint, in order to add allegations relating to the Company’s restatement announced in the Company’s Annual Report on Form 10-K filed on July 30, 2008. The Court thereafter dismissed the Company’s pending motion to dismiss as moot. On October 20, 2008, the plaintiff filed the second amended complaint, and on October 31, 2008, the Company filed a motion to dismiss the second amended complaint, which remains pending. The second amended class action complaint continues to allege securities fraud relating to statements made by the Company concerning its operations and financial results between March 2005 and March 2006 and seeks unspecified compensatory damages. The Company continues to believe that the allegations in such complaint are without merit and is vigorously defending the lawsuit.</w:t>
      </w:r>
    </w:p>
    <w:p>
      <w:pPr>
        <w:spacing w:after="0" w:line="172" w:lineRule="exact"/>
        <w:rPr>
          <w:sz w:val="20"/>
          <w:szCs w:val="20"/>
          <w:color w:val="auto"/>
        </w:rPr>
      </w:pPr>
    </w:p>
    <w:p>
      <w:pPr>
        <w:ind w:right="720"/>
        <w:spacing w:after="0" w:line="332" w:lineRule="auto"/>
        <w:rPr>
          <w:sz w:val="20"/>
          <w:szCs w:val="20"/>
          <w:color w:val="auto"/>
        </w:rPr>
      </w:pPr>
      <w:r>
        <w:rPr>
          <w:rFonts w:ascii="Arial" w:cs="Arial" w:eastAsia="Arial" w:hAnsi="Arial"/>
          <w:sz w:val="16"/>
          <w:szCs w:val="16"/>
          <w:color w:val="auto"/>
        </w:rPr>
        <w:t>In addition to the above suits, various claims and lawsuits arising in the normal course of business are pending against the Company. The results of these proceedings are not expected to have a material adverse effect on the Company’s consolidated financial position or results of operations.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INVESTMENTS</w:t>
      </w:r>
    </w:p>
    <w:p>
      <w:pPr>
        <w:spacing w:after="0" w:line="231"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Included in the Other Assets and Deferred Charges Section of the Company’s Consolidated Balance Sheets were investments of $20.6 and $27.1 at May 31, 2010 and May 31, 2009, respectively.</w:t>
      </w:r>
    </w:p>
    <w:p>
      <w:pPr>
        <w:spacing w:after="0" w:line="186"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In fiscal 2010, the Company determined that a cost-method investment in a U.S. based internet company was other than temporarily impaired. Accordingly, the Company recognized a loss of $1.5 for the fiscal year ended May 31, 2010.</w:t>
      </w:r>
    </w:p>
    <w:p>
      <w:pPr>
        <w:spacing w:after="0" w:line="186"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Company owns a non-controlling interest in a book distribution business located in the United Kingdom. In fiscal 2009, the Company determined that these assets were other than temporarily impaired. For the fiscal year ended May 31, 2009, the Company recorded impairments on investments related to these operations of $13.5. The carrying value of these assets is $9.1 as of May 31, 2010.</w:t>
      </w:r>
    </w:p>
    <w:p>
      <w:pPr>
        <w:spacing w:after="0" w:line="194" w:lineRule="exact"/>
        <w:rPr>
          <w:sz w:val="20"/>
          <w:szCs w:val="20"/>
          <w:color w:val="auto"/>
        </w:rPr>
      </w:pPr>
    </w:p>
    <w:p>
      <w:pPr>
        <w:ind w:right="200"/>
        <w:spacing w:after="0" w:line="298" w:lineRule="auto"/>
        <w:rPr>
          <w:sz w:val="20"/>
          <w:szCs w:val="20"/>
          <w:color w:val="auto"/>
        </w:rPr>
      </w:pPr>
      <w:r>
        <w:rPr>
          <w:rFonts w:ascii="Arial" w:cs="Arial" w:eastAsia="Arial" w:hAnsi="Arial"/>
          <w:sz w:val="16"/>
          <w:szCs w:val="16"/>
          <w:color w:val="auto"/>
        </w:rPr>
        <w:t>In fiscal 2007, the Company participated in the organization of a new entity, the Children’s Network Venture LLC (“Children’s Network”) that produces and distributes educational children’s television programming under the name Qubo. Since inception in August 2006, the Company has contributed a total of $5.4 in cash and certain rights to existing television programming to the Children’s Network. The Company’s investment, which consists of a 12.25% equity interest, is accounted for using the equity method of accounting. The net value of this investment at May 31, 2010 was $0.7, reflecting the ongoing recognition of losses.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Company’s investments as of May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263765" cy="889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82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720" w:type="dxa"/>
            <w:vAlign w:val="bottom"/>
          </w:tcPr>
          <w:p>
            <w:pPr>
              <w:jc w:val="right"/>
              <w:ind w:right="35"/>
              <w:spacing w:after="0"/>
              <w:rPr>
                <w:sz w:val="20"/>
                <w:szCs w:val="20"/>
                <w:color w:val="auto"/>
              </w:rPr>
            </w:pPr>
            <w:r>
              <w:rPr>
                <w:rFonts w:ascii="Arial" w:cs="Arial" w:eastAsia="Arial" w:hAnsi="Arial"/>
                <w:sz w:val="14"/>
                <w:szCs w:val="14"/>
                <w:b w:val="1"/>
                <w:bCs w:val="1"/>
                <w:color w:val="auto"/>
              </w:rPr>
              <w:t>2010</w:t>
            </w:r>
          </w:p>
        </w:tc>
        <w:tc>
          <w:tcPr>
            <w:tcW w:w="460" w:type="dxa"/>
            <w:vAlign w:val="bottom"/>
          </w:tcPr>
          <w:p>
            <w:pPr>
              <w:spacing w:after="0"/>
              <w:rPr>
                <w:sz w:val="15"/>
                <w:szCs w:val="15"/>
                <w:color w:val="auto"/>
              </w:rPr>
            </w:pPr>
          </w:p>
        </w:tc>
        <w:tc>
          <w:tcPr>
            <w:tcW w:w="720" w:type="dxa"/>
            <w:vAlign w:val="bottom"/>
          </w:tcPr>
          <w:p>
            <w:pPr>
              <w:jc w:val="right"/>
              <w:ind w:right="35"/>
              <w:spacing w:after="0"/>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820" w:type="dxa"/>
            <w:vAlign w:val="bottom"/>
            <w:tcBorders>
              <w:bottom w:val="single" w:sz="8" w:color="auto"/>
            </w:tcBorders>
          </w:tcPr>
          <w:p>
            <w:pPr>
              <w:spacing w:after="0"/>
              <w:rPr>
                <w:sz w:val="8"/>
                <w:szCs w:val="8"/>
                <w:color w:val="auto"/>
              </w:rPr>
            </w:pPr>
          </w:p>
        </w:tc>
        <w:tc>
          <w:tcPr>
            <w:tcW w:w="36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840" w:type="dxa"/>
            <w:vAlign w:val="bottom"/>
            <w:gridSpan w:val="2"/>
          </w:tcPr>
          <w:p>
            <w:pPr>
              <w:spacing w:after="0"/>
              <w:rPr>
                <w:sz w:val="8"/>
                <w:szCs w:val="8"/>
                <w:color w:val="auto"/>
              </w:rPr>
            </w:pPr>
          </w:p>
        </w:tc>
        <w:tc>
          <w:tcPr>
            <w:tcW w:w="3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6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2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Cost method investments</w:t>
            </w:r>
          </w:p>
        </w:tc>
        <w:tc>
          <w:tcPr>
            <w:tcW w:w="3680" w:type="dxa"/>
            <w:vAlign w:val="bottom"/>
            <w:shd w:val="clear" w:color="auto" w:fill="E6E6E6"/>
          </w:tcPr>
          <w:p>
            <w:pPr>
              <w:spacing w:after="0"/>
              <w:rPr>
                <w:sz w:val="17"/>
                <w:szCs w:val="17"/>
                <w:color w:val="auto"/>
              </w:rPr>
            </w:pPr>
          </w:p>
        </w:tc>
        <w:tc>
          <w:tcPr>
            <w:tcW w:w="720" w:type="dxa"/>
            <w:vAlign w:val="bottom"/>
            <w:shd w:val="clear" w:color="auto" w:fill="E6E6E6"/>
          </w:tcPr>
          <w:p>
            <w:pPr>
              <w:spacing w:after="0"/>
              <w:rPr>
                <w:sz w:val="17"/>
                <w:szCs w:val="17"/>
                <w:color w:val="auto"/>
              </w:rPr>
            </w:pPr>
          </w:p>
        </w:tc>
        <w:tc>
          <w:tcPr>
            <w:tcW w:w="460" w:type="dxa"/>
            <w:vAlign w:val="bottom"/>
            <w:shd w:val="clear" w:color="auto" w:fill="E6E6E6"/>
          </w:tcPr>
          <w:p>
            <w:pPr>
              <w:spacing w:after="0"/>
              <w:rPr>
                <w:sz w:val="17"/>
                <w:szCs w:val="17"/>
                <w:color w:val="auto"/>
              </w:rPr>
            </w:pPr>
          </w:p>
        </w:tc>
        <w:tc>
          <w:tcPr>
            <w:tcW w:w="720" w:type="dxa"/>
            <w:vAlign w:val="bottom"/>
            <w:shd w:val="clear" w:color="auto" w:fill="E6E6E6"/>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20" w:type="dxa"/>
            <w:vAlign w:val="bottom"/>
          </w:tcPr>
          <w:p>
            <w:pPr>
              <w:ind w:left="140"/>
              <w:spacing w:after="0" w:line="202" w:lineRule="exact"/>
              <w:rPr>
                <w:sz w:val="20"/>
                <w:szCs w:val="20"/>
                <w:color w:val="auto"/>
              </w:rPr>
            </w:pPr>
            <w:r>
              <w:rPr>
                <w:rFonts w:ascii="Arial" w:cs="Arial" w:eastAsia="Arial" w:hAnsi="Arial"/>
                <w:sz w:val="18"/>
                <w:szCs w:val="18"/>
                <w:color w:val="auto"/>
              </w:rPr>
              <w:t>The Book People, Ltd.</w:t>
            </w:r>
          </w:p>
        </w:tc>
        <w:tc>
          <w:tcPr>
            <w:tcW w:w="368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w:t>
            </w:r>
          </w:p>
        </w:tc>
        <w:tc>
          <w:tcPr>
            <w:tcW w:w="720" w:type="dxa"/>
            <w:vAlign w:val="bottom"/>
          </w:tcPr>
          <w:p>
            <w:pPr>
              <w:jc w:val="right"/>
              <w:ind w:right="35"/>
              <w:spacing w:after="0" w:line="202" w:lineRule="exact"/>
              <w:rPr>
                <w:sz w:val="20"/>
                <w:szCs w:val="20"/>
                <w:color w:val="auto"/>
              </w:rPr>
            </w:pPr>
            <w:r>
              <w:rPr>
                <w:rFonts w:ascii="Arial" w:cs="Arial" w:eastAsia="Arial" w:hAnsi="Arial"/>
                <w:sz w:val="18"/>
                <w:szCs w:val="18"/>
                <w:color w:val="auto"/>
              </w:rPr>
              <w:t>9.1</w:t>
            </w:r>
          </w:p>
        </w:tc>
        <w:tc>
          <w:tcPr>
            <w:tcW w:w="460" w:type="dxa"/>
            <w:vAlign w:val="bottom"/>
          </w:tcPr>
          <w:p>
            <w:pPr>
              <w:jc w:val="right"/>
              <w:ind w:right="172"/>
              <w:spacing w:after="0" w:line="202" w:lineRule="exact"/>
              <w:rPr>
                <w:sz w:val="20"/>
                <w:szCs w:val="20"/>
                <w:color w:val="auto"/>
              </w:rPr>
            </w:pPr>
            <w:r>
              <w:rPr>
                <w:rFonts w:ascii="Arial" w:cs="Arial" w:eastAsia="Arial" w:hAnsi="Arial"/>
                <w:sz w:val="18"/>
                <w:szCs w:val="18"/>
                <w:color w:val="auto"/>
              </w:rPr>
              <w:t>$</w:t>
            </w:r>
          </w:p>
        </w:tc>
        <w:tc>
          <w:tcPr>
            <w:tcW w:w="720" w:type="dxa"/>
            <w:vAlign w:val="bottom"/>
          </w:tcPr>
          <w:p>
            <w:pPr>
              <w:jc w:val="right"/>
              <w:ind w:right="35"/>
              <w:spacing w:after="0" w:line="202" w:lineRule="exact"/>
              <w:rPr>
                <w:sz w:val="20"/>
                <w:szCs w:val="20"/>
                <w:color w:val="auto"/>
              </w:rPr>
            </w:pPr>
            <w:r>
              <w:rPr>
                <w:rFonts w:ascii="Arial" w:cs="Arial" w:eastAsia="Arial" w:hAnsi="Arial"/>
                <w:sz w:val="18"/>
                <w:szCs w:val="18"/>
                <w:color w:val="auto"/>
              </w:rPr>
              <w:t>9.1</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20" w:type="dxa"/>
            <w:vAlign w:val="bottom"/>
            <w:shd w:val="clear" w:color="auto" w:fill="E6E6E6"/>
          </w:tcPr>
          <w:p>
            <w:pPr>
              <w:ind w:left="140"/>
              <w:spacing w:after="0" w:line="202" w:lineRule="exact"/>
              <w:rPr>
                <w:sz w:val="20"/>
                <w:szCs w:val="20"/>
                <w:color w:val="auto"/>
              </w:rPr>
            </w:pPr>
            <w:r>
              <w:rPr>
                <w:rFonts w:ascii="Arial" w:cs="Arial" w:eastAsia="Arial" w:hAnsi="Arial"/>
                <w:sz w:val="18"/>
                <w:szCs w:val="18"/>
                <w:color w:val="auto"/>
              </w:rPr>
              <w:t>KIDZUI</w:t>
            </w:r>
          </w:p>
        </w:tc>
        <w:tc>
          <w:tcPr>
            <w:tcW w:w="3680" w:type="dxa"/>
            <w:vAlign w:val="bottom"/>
            <w:shd w:val="clear" w:color="auto" w:fill="E6E6E6"/>
          </w:tcPr>
          <w:p>
            <w:pPr>
              <w:spacing w:after="0"/>
              <w:rPr>
                <w:sz w:val="17"/>
                <w:szCs w:val="17"/>
                <w:color w:val="auto"/>
              </w:rPr>
            </w:pPr>
          </w:p>
        </w:tc>
        <w:tc>
          <w:tcPr>
            <w:tcW w:w="720" w:type="dxa"/>
            <w:vAlign w:val="bottom"/>
            <w:shd w:val="clear" w:color="auto" w:fill="E6E6E6"/>
          </w:tcPr>
          <w:p>
            <w:pPr>
              <w:jc w:val="right"/>
              <w:ind w:right="35"/>
              <w:spacing w:after="0" w:line="202" w:lineRule="exact"/>
              <w:rPr>
                <w:sz w:val="20"/>
                <w:szCs w:val="20"/>
                <w:color w:val="auto"/>
              </w:rPr>
            </w:pPr>
            <w:r>
              <w:rPr>
                <w:rFonts w:ascii="Arial" w:cs="Arial" w:eastAsia="Arial" w:hAnsi="Arial"/>
                <w:sz w:val="18"/>
                <w:szCs w:val="18"/>
                <w:color w:val="auto"/>
              </w:rPr>
              <w:t>—</w:t>
            </w:r>
          </w:p>
        </w:tc>
        <w:tc>
          <w:tcPr>
            <w:tcW w:w="460" w:type="dxa"/>
            <w:vAlign w:val="bottom"/>
            <w:shd w:val="clear" w:color="auto" w:fill="E6E6E6"/>
          </w:tcPr>
          <w:p>
            <w:pPr>
              <w:spacing w:after="0"/>
              <w:rPr>
                <w:sz w:val="17"/>
                <w:szCs w:val="17"/>
                <w:color w:val="auto"/>
              </w:rPr>
            </w:pPr>
          </w:p>
        </w:tc>
        <w:tc>
          <w:tcPr>
            <w:tcW w:w="720" w:type="dxa"/>
            <w:vAlign w:val="bottom"/>
            <w:shd w:val="clear" w:color="auto" w:fill="E6E6E6"/>
          </w:tcPr>
          <w:p>
            <w:pPr>
              <w:jc w:val="right"/>
              <w:ind w:right="35"/>
              <w:spacing w:after="0" w:line="202" w:lineRule="exact"/>
              <w:rPr>
                <w:sz w:val="20"/>
                <w:szCs w:val="20"/>
                <w:color w:val="auto"/>
              </w:rPr>
            </w:pPr>
            <w:r>
              <w:rPr>
                <w:rFonts w:ascii="Arial" w:cs="Arial" w:eastAsia="Arial" w:hAnsi="Arial"/>
                <w:sz w:val="18"/>
                <w:szCs w:val="18"/>
                <w:color w:val="auto"/>
              </w:rPr>
              <w:t>1.5</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820" w:type="dxa"/>
            <w:vAlign w:val="bottom"/>
            <w:tcBorders>
              <w:bottom w:val="single" w:sz="8" w:color="808080"/>
            </w:tcBorders>
          </w:tcPr>
          <w:p>
            <w:pPr>
              <w:spacing w:after="0"/>
              <w:rPr>
                <w:sz w:val="9"/>
                <w:szCs w:val="9"/>
                <w:color w:val="auto"/>
              </w:rPr>
            </w:pPr>
          </w:p>
        </w:tc>
        <w:tc>
          <w:tcPr>
            <w:tcW w:w="36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840" w:type="dxa"/>
            <w:vAlign w:val="bottom"/>
            <w:gridSpan w:val="2"/>
          </w:tcPr>
          <w:p>
            <w:pPr>
              <w:spacing w:after="0"/>
              <w:rPr>
                <w:sz w:val="20"/>
                <w:szCs w:val="20"/>
                <w:color w:val="auto"/>
              </w:rPr>
            </w:pPr>
            <w:r>
              <w:rPr>
                <w:rFonts w:ascii="Arial" w:cs="Arial" w:eastAsia="Arial" w:hAnsi="Arial"/>
                <w:sz w:val="18"/>
                <w:szCs w:val="18"/>
                <w:color w:val="auto"/>
              </w:rPr>
              <w:t>Total cost method investments</w:t>
            </w:r>
          </w:p>
        </w:tc>
        <w:tc>
          <w:tcPr>
            <w:tcW w:w="3680" w:type="dxa"/>
            <w:vAlign w:val="bottom"/>
          </w:tcPr>
          <w:p>
            <w:pPr>
              <w:spacing w:after="0"/>
              <w:rPr>
                <w:sz w:val="24"/>
                <w:szCs w:val="24"/>
                <w:color w:val="auto"/>
              </w:rPr>
            </w:pPr>
          </w:p>
        </w:tc>
        <w:tc>
          <w:tcPr>
            <w:tcW w:w="720" w:type="dxa"/>
            <w:vAlign w:val="bottom"/>
          </w:tcPr>
          <w:p>
            <w:pPr>
              <w:jc w:val="right"/>
              <w:ind w:right="35"/>
              <w:spacing w:after="0"/>
              <w:rPr>
                <w:sz w:val="20"/>
                <w:szCs w:val="20"/>
                <w:color w:val="auto"/>
              </w:rPr>
            </w:pPr>
            <w:r>
              <w:rPr>
                <w:rFonts w:ascii="Arial" w:cs="Arial" w:eastAsia="Arial" w:hAnsi="Arial"/>
                <w:sz w:val="18"/>
                <w:szCs w:val="18"/>
                <w:color w:val="auto"/>
              </w:rPr>
              <w:t>9.1</w:t>
            </w:r>
          </w:p>
        </w:tc>
        <w:tc>
          <w:tcPr>
            <w:tcW w:w="460" w:type="dxa"/>
            <w:vAlign w:val="bottom"/>
          </w:tcPr>
          <w:p>
            <w:pPr>
              <w:spacing w:after="0"/>
              <w:rPr>
                <w:sz w:val="24"/>
                <w:szCs w:val="24"/>
                <w:color w:val="auto"/>
              </w:rPr>
            </w:pPr>
          </w:p>
        </w:tc>
        <w:tc>
          <w:tcPr>
            <w:tcW w:w="720" w:type="dxa"/>
            <w:vAlign w:val="bottom"/>
          </w:tcPr>
          <w:p>
            <w:pPr>
              <w:jc w:val="right"/>
              <w:ind w:right="35"/>
              <w:spacing w:after="0"/>
              <w:rPr>
                <w:sz w:val="20"/>
                <w:szCs w:val="20"/>
                <w:color w:val="auto"/>
              </w:rPr>
            </w:pPr>
            <w:r>
              <w:rPr>
                <w:rFonts w:ascii="Arial" w:cs="Arial" w:eastAsia="Arial" w:hAnsi="Arial"/>
                <w:sz w:val="18"/>
                <w:szCs w:val="18"/>
                <w:color w:val="auto"/>
              </w:rPr>
              <w:t>10.6</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5840" w:type="dxa"/>
            <w:vAlign w:val="bottom"/>
            <w:tcBorders>
              <w:bottom w:val="single" w:sz="8" w:color="808080"/>
            </w:tcBorders>
            <w:gridSpan w:val="2"/>
          </w:tcPr>
          <w:p>
            <w:pPr>
              <w:spacing w:after="0"/>
              <w:rPr>
                <w:sz w:val="8"/>
                <w:szCs w:val="8"/>
                <w:color w:val="auto"/>
              </w:rPr>
            </w:pPr>
          </w:p>
        </w:tc>
        <w:tc>
          <w:tcPr>
            <w:tcW w:w="36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840" w:type="dxa"/>
            <w:vAlign w:val="bottom"/>
            <w:gridSpan w:val="2"/>
          </w:tcPr>
          <w:p>
            <w:pPr>
              <w:spacing w:after="0"/>
              <w:rPr>
                <w:sz w:val="8"/>
                <w:szCs w:val="8"/>
                <w:color w:val="auto"/>
              </w:rPr>
            </w:pPr>
          </w:p>
        </w:tc>
        <w:tc>
          <w:tcPr>
            <w:tcW w:w="3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6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2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Equity method investments</w:t>
            </w:r>
          </w:p>
        </w:tc>
        <w:tc>
          <w:tcPr>
            <w:tcW w:w="3680" w:type="dxa"/>
            <w:vAlign w:val="bottom"/>
            <w:shd w:val="clear" w:color="auto" w:fill="E6E6E6"/>
          </w:tcPr>
          <w:p>
            <w:pPr>
              <w:spacing w:after="0"/>
              <w:rPr>
                <w:sz w:val="17"/>
                <w:szCs w:val="17"/>
                <w:color w:val="auto"/>
              </w:rPr>
            </w:pPr>
          </w:p>
        </w:tc>
        <w:tc>
          <w:tcPr>
            <w:tcW w:w="720" w:type="dxa"/>
            <w:vAlign w:val="bottom"/>
            <w:shd w:val="clear" w:color="auto" w:fill="E6E6E6"/>
          </w:tcPr>
          <w:p>
            <w:pPr>
              <w:spacing w:after="0"/>
              <w:rPr>
                <w:sz w:val="17"/>
                <w:szCs w:val="17"/>
                <w:color w:val="auto"/>
              </w:rPr>
            </w:pPr>
          </w:p>
        </w:tc>
        <w:tc>
          <w:tcPr>
            <w:tcW w:w="460" w:type="dxa"/>
            <w:vAlign w:val="bottom"/>
            <w:shd w:val="clear" w:color="auto" w:fill="E6E6E6"/>
          </w:tcPr>
          <w:p>
            <w:pPr>
              <w:spacing w:after="0"/>
              <w:rPr>
                <w:sz w:val="17"/>
                <w:szCs w:val="17"/>
                <w:color w:val="auto"/>
              </w:rPr>
            </w:pPr>
          </w:p>
        </w:tc>
        <w:tc>
          <w:tcPr>
            <w:tcW w:w="720" w:type="dxa"/>
            <w:vAlign w:val="bottom"/>
            <w:shd w:val="clear" w:color="auto" w:fill="E6E6E6"/>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20" w:type="dxa"/>
            <w:vAlign w:val="bottom"/>
          </w:tcPr>
          <w:p>
            <w:pPr>
              <w:ind w:left="140"/>
              <w:spacing w:after="0" w:line="202" w:lineRule="exact"/>
              <w:rPr>
                <w:sz w:val="20"/>
                <w:szCs w:val="20"/>
                <w:color w:val="auto"/>
              </w:rPr>
            </w:pPr>
            <w:r>
              <w:rPr>
                <w:rFonts w:ascii="Arial" w:cs="Arial" w:eastAsia="Arial" w:hAnsi="Arial"/>
                <w:sz w:val="18"/>
                <w:szCs w:val="18"/>
                <w:color w:val="auto"/>
              </w:rPr>
              <w:t>Usborne</w:t>
            </w:r>
          </w:p>
        </w:tc>
        <w:tc>
          <w:tcPr>
            <w:tcW w:w="3680" w:type="dxa"/>
            <w:vAlign w:val="bottom"/>
          </w:tcPr>
          <w:p>
            <w:pPr>
              <w:spacing w:after="0"/>
              <w:rPr>
                <w:sz w:val="17"/>
                <w:szCs w:val="17"/>
                <w:color w:val="auto"/>
              </w:rPr>
            </w:pPr>
          </w:p>
        </w:tc>
        <w:tc>
          <w:tcPr>
            <w:tcW w:w="720" w:type="dxa"/>
            <w:vAlign w:val="bottom"/>
          </w:tcPr>
          <w:p>
            <w:pPr>
              <w:jc w:val="right"/>
              <w:ind w:right="35"/>
              <w:spacing w:after="0" w:line="202" w:lineRule="exact"/>
              <w:rPr>
                <w:sz w:val="20"/>
                <w:szCs w:val="20"/>
                <w:color w:val="auto"/>
              </w:rPr>
            </w:pPr>
            <w:r>
              <w:rPr>
                <w:rFonts w:ascii="Arial" w:cs="Arial" w:eastAsia="Arial" w:hAnsi="Arial"/>
                <w:sz w:val="18"/>
                <w:szCs w:val="18"/>
                <w:color w:val="auto"/>
              </w:rPr>
              <w:t>10.8</w:t>
            </w:r>
          </w:p>
        </w:tc>
        <w:tc>
          <w:tcPr>
            <w:tcW w:w="460" w:type="dxa"/>
            <w:vAlign w:val="bottom"/>
          </w:tcPr>
          <w:p>
            <w:pPr>
              <w:spacing w:after="0"/>
              <w:rPr>
                <w:sz w:val="17"/>
                <w:szCs w:val="17"/>
                <w:color w:val="auto"/>
              </w:rPr>
            </w:pPr>
          </w:p>
        </w:tc>
        <w:tc>
          <w:tcPr>
            <w:tcW w:w="720" w:type="dxa"/>
            <w:vAlign w:val="bottom"/>
          </w:tcPr>
          <w:p>
            <w:pPr>
              <w:jc w:val="right"/>
              <w:ind w:right="35"/>
              <w:spacing w:after="0" w:line="202" w:lineRule="exact"/>
              <w:rPr>
                <w:sz w:val="20"/>
                <w:szCs w:val="20"/>
                <w:color w:val="auto"/>
              </w:rPr>
            </w:pPr>
            <w:r>
              <w:rPr>
                <w:rFonts w:ascii="Arial" w:cs="Arial" w:eastAsia="Arial" w:hAnsi="Arial"/>
                <w:sz w:val="18"/>
                <w:szCs w:val="18"/>
                <w:color w:val="auto"/>
              </w:rPr>
              <w:t>11.1</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20" w:type="dxa"/>
            <w:vAlign w:val="bottom"/>
            <w:shd w:val="clear" w:color="auto" w:fill="E6E6E6"/>
          </w:tcPr>
          <w:p>
            <w:pPr>
              <w:ind w:left="140"/>
              <w:spacing w:after="0" w:line="202" w:lineRule="exact"/>
              <w:rPr>
                <w:sz w:val="20"/>
                <w:szCs w:val="20"/>
                <w:color w:val="auto"/>
              </w:rPr>
            </w:pPr>
            <w:r>
              <w:rPr>
                <w:rFonts w:ascii="Arial" w:cs="Arial" w:eastAsia="Arial" w:hAnsi="Arial"/>
                <w:sz w:val="18"/>
                <w:szCs w:val="18"/>
                <w:color w:val="auto"/>
              </w:rPr>
              <w:t>Other</w:t>
            </w:r>
          </w:p>
        </w:tc>
        <w:tc>
          <w:tcPr>
            <w:tcW w:w="3680" w:type="dxa"/>
            <w:vAlign w:val="bottom"/>
            <w:shd w:val="clear" w:color="auto" w:fill="E6E6E6"/>
          </w:tcPr>
          <w:p>
            <w:pPr>
              <w:spacing w:after="0"/>
              <w:rPr>
                <w:sz w:val="17"/>
                <w:szCs w:val="17"/>
                <w:color w:val="auto"/>
              </w:rPr>
            </w:pPr>
          </w:p>
        </w:tc>
        <w:tc>
          <w:tcPr>
            <w:tcW w:w="720" w:type="dxa"/>
            <w:vAlign w:val="bottom"/>
            <w:shd w:val="clear" w:color="auto" w:fill="E6E6E6"/>
          </w:tcPr>
          <w:p>
            <w:pPr>
              <w:jc w:val="right"/>
              <w:ind w:right="35"/>
              <w:spacing w:after="0" w:line="202" w:lineRule="exact"/>
              <w:rPr>
                <w:sz w:val="20"/>
                <w:szCs w:val="20"/>
                <w:color w:val="auto"/>
              </w:rPr>
            </w:pPr>
            <w:r>
              <w:rPr>
                <w:rFonts w:ascii="Arial" w:cs="Arial" w:eastAsia="Arial" w:hAnsi="Arial"/>
                <w:sz w:val="18"/>
                <w:szCs w:val="18"/>
                <w:color w:val="auto"/>
              </w:rPr>
              <w:t>0.7</w:t>
            </w:r>
          </w:p>
        </w:tc>
        <w:tc>
          <w:tcPr>
            <w:tcW w:w="460" w:type="dxa"/>
            <w:vAlign w:val="bottom"/>
            <w:shd w:val="clear" w:color="auto" w:fill="E6E6E6"/>
          </w:tcPr>
          <w:p>
            <w:pPr>
              <w:spacing w:after="0"/>
              <w:rPr>
                <w:sz w:val="17"/>
                <w:szCs w:val="17"/>
                <w:color w:val="auto"/>
              </w:rPr>
            </w:pPr>
          </w:p>
        </w:tc>
        <w:tc>
          <w:tcPr>
            <w:tcW w:w="720" w:type="dxa"/>
            <w:vAlign w:val="bottom"/>
            <w:shd w:val="clear" w:color="auto" w:fill="E6E6E6"/>
          </w:tcPr>
          <w:p>
            <w:pPr>
              <w:jc w:val="right"/>
              <w:ind w:right="35"/>
              <w:spacing w:after="0" w:line="202" w:lineRule="exact"/>
              <w:rPr>
                <w:sz w:val="20"/>
                <w:szCs w:val="20"/>
                <w:color w:val="auto"/>
              </w:rPr>
            </w:pPr>
            <w:r>
              <w:rPr>
                <w:rFonts w:ascii="Arial" w:cs="Arial" w:eastAsia="Arial" w:hAnsi="Arial"/>
                <w:sz w:val="18"/>
                <w:szCs w:val="18"/>
                <w:color w:val="auto"/>
              </w:rPr>
              <w:t>5.4</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820" w:type="dxa"/>
            <w:vAlign w:val="bottom"/>
            <w:tcBorders>
              <w:bottom w:val="single" w:sz="8" w:color="808080"/>
            </w:tcBorders>
          </w:tcPr>
          <w:p>
            <w:pPr>
              <w:spacing w:after="0"/>
              <w:rPr>
                <w:sz w:val="9"/>
                <w:szCs w:val="9"/>
                <w:color w:val="auto"/>
              </w:rPr>
            </w:pPr>
          </w:p>
        </w:tc>
        <w:tc>
          <w:tcPr>
            <w:tcW w:w="36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840" w:type="dxa"/>
            <w:vAlign w:val="bottom"/>
            <w:gridSpan w:val="2"/>
          </w:tcPr>
          <w:p>
            <w:pPr>
              <w:spacing w:after="0"/>
              <w:rPr>
                <w:sz w:val="20"/>
                <w:szCs w:val="20"/>
                <w:color w:val="auto"/>
              </w:rPr>
            </w:pPr>
            <w:r>
              <w:rPr>
                <w:rFonts w:ascii="Arial" w:cs="Arial" w:eastAsia="Arial" w:hAnsi="Arial"/>
                <w:sz w:val="18"/>
                <w:szCs w:val="18"/>
                <w:color w:val="auto"/>
              </w:rPr>
              <w:t>Total equity method investments</w:t>
            </w:r>
          </w:p>
        </w:tc>
        <w:tc>
          <w:tcPr>
            <w:tcW w:w="3680" w:type="dxa"/>
            <w:vAlign w:val="bottom"/>
          </w:tcPr>
          <w:p>
            <w:pPr>
              <w:spacing w:after="0"/>
              <w:rPr>
                <w:sz w:val="24"/>
                <w:szCs w:val="24"/>
                <w:color w:val="auto"/>
              </w:rPr>
            </w:pPr>
          </w:p>
        </w:tc>
        <w:tc>
          <w:tcPr>
            <w:tcW w:w="720" w:type="dxa"/>
            <w:vAlign w:val="bottom"/>
          </w:tcPr>
          <w:p>
            <w:pPr>
              <w:jc w:val="right"/>
              <w:ind w:right="35"/>
              <w:spacing w:after="0"/>
              <w:rPr>
                <w:sz w:val="20"/>
                <w:szCs w:val="20"/>
                <w:color w:val="auto"/>
              </w:rPr>
            </w:pPr>
            <w:r>
              <w:rPr>
                <w:rFonts w:ascii="Arial" w:cs="Arial" w:eastAsia="Arial" w:hAnsi="Arial"/>
                <w:sz w:val="18"/>
                <w:szCs w:val="18"/>
                <w:color w:val="auto"/>
              </w:rPr>
              <w:t>11.5</w:t>
            </w:r>
          </w:p>
        </w:tc>
        <w:tc>
          <w:tcPr>
            <w:tcW w:w="460" w:type="dxa"/>
            <w:vAlign w:val="bottom"/>
          </w:tcPr>
          <w:p>
            <w:pPr>
              <w:spacing w:after="0"/>
              <w:rPr>
                <w:sz w:val="24"/>
                <w:szCs w:val="24"/>
                <w:color w:val="auto"/>
              </w:rPr>
            </w:pPr>
          </w:p>
        </w:tc>
        <w:tc>
          <w:tcPr>
            <w:tcW w:w="720" w:type="dxa"/>
            <w:vAlign w:val="bottom"/>
          </w:tcPr>
          <w:p>
            <w:pPr>
              <w:jc w:val="right"/>
              <w:ind w:right="35"/>
              <w:spacing w:after="0"/>
              <w:rPr>
                <w:sz w:val="20"/>
                <w:szCs w:val="20"/>
                <w:color w:val="auto"/>
              </w:rPr>
            </w:pPr>
            <w:r>
              <w:rPr>
                <w:rFonts w:ascii="Arial" w:cs="Arial" w:eastAsia="Arial" w:hAnsi="Arial"/>
                <w:sz w:val="18"/>
                <w:szCs w:val="18"/>
                <w:color w:val="auto"/>
              </w:rPr>
              <w:t>16.5</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5840" w:type="dxa"/>
            <w:vAlign w:val="bottom"/>
            <w:tcBorders>
              <w:bottom w:val="single" w:sz="8" w:color="808080"/>
            </w:tcBorders>
            <w:gridSpan w:val="2"/>
          </w:tcPr>
          <w:p>
            <w:pPr>
              <w:spacing w:after="0"/>
              <w:rPr>
                <w:sz w:val="8"/>
                <w:szCs w:val="8"/>
                <w:color w:val="auto"/>
              </w:rPr>
            </w:pPr>
          </w:p>
        </w:tc>
        <w:tc>
          <w:tcPr>
            <w:tcW w:w="36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820" w:type="dxa"/>
            <w:vAlign w:val="bottom"/>
          </w:tcPr>
          <w:p>
            <w:pPr>
              <w:spacing w:after="0"/>
              <w:rPr>
                <w:sz w:val="8"/>
                <w:szCs w:val="8"/>
                <w:color w:val="auto"/>
              </w:rPr>
            </w:pPr>
          </w:p>
        </w:tc>
        <w:tc>
          <w:tcPr>
            <w:tcW w:w="3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6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820" w:type="dxa"/>
            <w:vAlign w:val="bottom"/>
            <w:shd w:val="clear" w:color="auto" w:fill="E6E6E6"/>
          </w:tcPr>
          <w:p>
            <w:pPr>
              <w:spacing w:after="0" w:line="202" w:lineRule="exact"/>
              <w:rPr>
                <w:sz w:val="20"/>
                <w:szCs w:val="20"/>
                <w:color w:val="auto"/>
              </w:rPr>
            </w:pPr>
            <w:r>
              <w:rPr>
                <w:rFonts w:ascii="Arial" w:cs="Arial" w:eastAsia="Arial" w:hAnsi="Arial"/>
                <w:sz w:val="18"/>
                <w:szCs w:val="18"/>
                <w:b w:val="1"/>
                <w:bCs w:val="1"/>
                <w:color w:val="auto"/>
              </w:rPr>
              <w:t>Total</w:t>
            </w:r>
          </w:p>
        </w:tc>
        <w:tc>
          <w:tcPr>
            <w:tcW w:w="3680" w:type="dxa"/>
            <w:vAlign w:val="bottom"/>
            <w:shd w:val="clear" w:color="auto" w:fill="E6E6E6"/>
          </w:tcPr>
          <w:p>
            <w:pPr>
              <w:jc w:val="right"/>
              <w:ind w:right="152"/>
              <w:spacing w:after="0" w:line="202" w:lineRule="exact"/>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E6E6E6"/>
          </w:tcPr>
          <w:p>
            <w:pPr>
              <w:jc w:val="right"/>
              <w:ind w:right="35"/>
              <w:spacing w:after="0" w:line="202" w:lineRule="exact"/>
              <w:rPr>
                <w:sz w:val="20"/>
                <w:szCs w:val="20"/>
                <w:color w:val="auto"/>
              </w:rPr>
            </w:pPr>
            <w:r>
              <w:rPr>
                <w:rFonts w:ascii="Arial" w:cs="Arial" w:eastAsia="Arial" w:hAnsi="Arial"/>
                <w:sz w:val="18"/>
                <w:szCs w:val="18"/>
                <w:b w:val="1"/>
                <w:bCs w:val="1"/>
                <w:color w:val="auto"/>
              </w:rPr>
              <w:t>20.6</w:t>
            </w:r>
          </w:p>
        </w:tc>
        <w:tc>
          <w:tcPr>
            <w:tcW w:w="460" w:type="dxa"/>
            <w:vAlign w:val="bottom"/>
            <w:shd w:val="clear" w:color="auto" w:fill="E6E6E6"/>
          </w:tcPr>
          <w:p>
            <w:pPr>
              <w:jc w:val="right"/>
              <w:ind w:right="172"/>
              <w:spacing w:after="0" w:line="202" w:lineRule="exact"/>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E6E6E6"/>
          </w:tcPr>
          <w:p>
            <w:pPr>
              <w:jc w:val="right"/>
              <w:ind w:right="35"/>
              <w:spacing w:after="0" w:line="202" w:lineRule="exact"/>
              <w:rPr>
                <w:sz w:val="20"/>
                <w:szCs w:val="20"/>
                <w:color w:val="auto"/>
              </w:rPr>
            </w:pPr>
            <w:r>
              <w:rPr>
                <w:rFonts w:ascii="Arial" w:cs="Arial" w:eastAsia="Arial" w:hAnsi="Arial"/>
                <w:sz w:val="18"/>
                <w:szCs w:val="18"/>
                <w:b w:val="1"/>
                <w:bCs w:val="1"/>
                <w:color w:val="auto"/>
              </w:rPr>
              <w:t>27.1</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5820" w:type="dxa"/>
            <w:vAlign w:val="bottom"/>
            <w:tcBorders>
              <w:bottom w:val="single" w:sz="8" w:color="808080"/>
            </w:tcBorders>
          </w:tcPr>
          <w:p>
            <w:pPr>
              <w:spacing w:after="0"/>
              <w:rPr>
                <w:sz w:val="11"/>
                <w:szCs w:val="11"/>
                <w:color w:val="auto"/>
              </w:rPr>
            </w:pPr>
          </w:p>
        </w:tc>
        <w:tc>
          <w:tcPr>
            <w:tcW w:w="368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46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-29210</wp:posOffset>
            </wp:positionV>
            <wp:extent cx="12700" cy="2984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-29210</wp:posOffset>
            </wp:positionV>
            <wp:extent cx="12700" cy="2984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-29210</wp:posOffset>
            </wp:positionV>
            <wp:extent cx="12700" cy="2984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-29210</wp:posOffset>
            </wp:positionV>
            <wp:extent cx="12700" cy="2984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-29210</wp:posOffset>
            </wp:positionV>
            <wp:extent cx="12700" cy="2984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6631940</wp:posOffset>
            </wp:positionH>
            <wp:positionV relativeFrom="paragraph">
              <wp:posOffset>-29210</wp:posOffset>
            </wp:positionV>
            <wp:extent cx="12700" cy="2984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-29210</wp:posOffset>
            </wp:positionV>
            <wp:extent cx="12700" cy="2984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2663825</wp:posOffset>
            </wp:positionH>
            <wp:positionV relativeFrom="paragraph">
              <wp:posOffset>203835</wp:posOffset>
            </wp:positionV>
            <wp:extent cx="1929765" cy="23177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1929765"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3873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60"/>
          </w:cols>
          <w:pgMar w:left="240" w:top="833" w:right="19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7263765" cy="8890"/>
                    </a:xfrm>
                    <a:prstGeom prst="rect">
                      <a:avLst/>
                    </a:prstGeom>
                    <a:noFill/>
                  </pic:spPr>
                </pic:pic>
              </a:graphicData>
            </a:graphic>
          </wp:anchor>
        </w:drawing>
        <w:t>7. GOODWILL AND OTHER INTANGIBLES</w:t>
      </w:r>
    </w:p>
    <w:p>
      <w:pPr>
        <w:spacing w:after="0" w:line="231"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Goodwill and other intangible assets with indefinite lives are reviewed for impairment annually or more frequently if impairment indicators arise. The following table summarizes the activity in Goodwill for the fiscal years ended May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200660</wp:posOffset>
            </wp:positionV>
            <wp:extent cx="7263765" cy="889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540" w:type="dxa"/>
            <w:vAlign w:val="bottom"/>
          </w:tcPr>
          <w:p>
            <w:pPr>
              <w:spacing w:after="0"/>
              <w:rPr>
                <w:sz w:val="15"/>
                <w:szCs w:val="15"/>
                <w:color w:val="auto"/>
              </w:rPr>
            </w:pPr>
          </w:p>
        </w:tc>
        <w:tc>
          <w:tcPr>
            <w:tcW w:w="3700" w:type="dxa"/>
            <w:vAlign w:val="bottom"/>
          </w:tcPr>
          <w:p>
            <w:pPr>
              <w:spacing w:after="0"/>
              <w:rPr>
                <w:sz w:val="15"/>
                <w:szCs w:val="15"/>
                <w:color w:val="auto"/>
              </w:rPr>
            </w:pPr>
          </w:p>
        </w:tc>
        <w:tc>
          <w:tcPr>
            <w:tcW w:w="880" w:type="dxa"/>
            <w:vAlign w:val="bottom"/>
          </w:tcPr>
          <w:p>
            <w:pPr>
              <w:jc w:val="right"/>
              <w:ind w:right="114"/>
              <w:spacing w:after="0"/>
              <w:rPr>
                <w:sz w:val="20"/>
                <w:szCs w:val="20"/>
                <w:color w:val="auto"/>
              </w:rPr>
            </w:pPr>
            <w:r>
              <w:rPr>
                <w:rFonts w:ascii="Arial" w:cs="Arial" w:eastAsia="Arial" w:hAnsi="Arial"/>
                <w:sz w:val="14"/>
                <w:szCs w:val="14"/>
                <w:b w:val="1"/>
                <w:bCs w:val="1"/>
                <w:color w:val="auto"/>
              </w:rPr>
              <w:t>2010</w:t>
            </w:r>
          </w:p>
        </w:tc>
        <w:tc>
          <w:tcPr>
            <w:tcW w:w="480" w:type="dxa"/>
            <w:vAlign w:val="bottom"/>
          </w:tcPr>
          <w:p>
            <w:pPr>
              <w:spacing w:after="0"/>
              <w:rPr>
                <w:sz w:val="15"/>
                <w:szCs w:val="15"/>
                <w:color w:val="auto"/>
              </w:rPr>
            </w:pPr>
          </w:p>
        </w:tc>
        <w:tc>
          <w:tcPr>
            <w:tcW w:w="820" w:type="dxa"/>
            <w:vAlign w:val="bottom"/>
          </w:tcPr>
          <w:p>
            <w:pPr>
              <w:jc w:val="right"/>
              <w:ind w:right="34"/>
              <w:spacing w:after="0"/>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95"/>
        </w:trPr>
        <w:tc>
          <w:tcPr>
            <w:tcW w:w="5540" w:type="dxa"/>
            <w:vAlign w:val="bottom"/>
            <w:tcBorders>
              <w:bottom w:val="single" w:sz="8" w:color="auto"/>
            </w:tcBorders>
          </w:tcPr>
          <w:p>
            <w:pPr>
              <w:spacing w:after="0"/>
              <w:rPr>
                <w:sz w:val="8"/>
                <w:szCs w:val="8"/>
                <w:color w:val="auto"/>
              </w:rPr>
            </w:pPr>
          </w:p>
        </w:tc>
        <w:tc>
          <w:tcPr>
            <w:tcW w:w="370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r>
      <w:tr>
        <w:trPr>
          <w:trHeight w:val="102"/>
        </w:trPr>
        <w:tc>
          <w:tcPr>
            <w:tcW w:w="5540" w:type="dxa"/>
            <w:vAlign w:val="bottom"/>
          </w:tcPr>
          <w:p>
            <w:pPr>
              <w:spacing w:after="0"/>
              <w:rPr>
                <w:sz w:val="8"/>
                <w:szCs w:val="8"/>
                <w:color w:val="auto"/>
              </w:rPr>
            </w:pPr>
          </w:p>
        </w:tc>
        <w:tc>
          <w:tcPr>
            <w:tcW w:w="3700" w:type="dxa"/>
            <w:vAlign w:val="bottom"/>
          </w:tcPr>
          <w:p>
            <w:pPr>
              <w:spacing w:after="0"/>
              <w:rPr>
                <w:sz w:val="8"/>
                <w:szCs w:val="8"/>
                <w:color w:val="auto"/>
              </w:rPr>
            </w:pPr>
          </w:p>
        </w:tc>
        <w:tc>
          <w:tcPr>
            <w:tcW w:w="880" w:type="dxa"/>
            <w:vAlign w:val="bottom"/>
          </w:tcPr>
          <w:p>
            <w:pPr>
              <w:spacing w:after="0"/>
              <w:rPr>
                <w:sz w:val="8"/>
                <w:szCs w:val="8"/>
                <w:color w:val="auto"/>
              </w:rPr>
            </w:pPr>
          </w:p>
        </w:tc>
        <w:tc>
          <w:tcPr>
            <w:tcW w:w="48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203"/>
        </w:trPr>
        <w:tc>
          <w:tcPr>
            <w:tcW w:w="554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Gross beginning balance</w:t>
            </w:r>
          </w:p>
        </w:tc>
        <w:tc>
          <w:tcPr>
            <w:tcW w:w="3700" w:type="dxa"/>
            <w:vAlign w:val="bottom"/>
            <w:shd w:val="clear" w:color="auto" w:fill="E6E6E6"/>
          </w:tcPr>
          <w:p>
            <w:pPr>
              <w:jc w:val="right"/>
              <w:ind w:right="152"/>
              <w:spacing w:after="0" w:line="202" w:lineRule="exact"/>
              <w:rPr>
                <w:sz w:val="20"/>
                <w:szCs w:val="20"/>
                <w:color w:val="auto"/>
              </w:rPr>
            </w:pPr>
            <w:r>
              <w:rPr>
                <w:rFonts w:ascii="Arial" w:cs="Arial" w:eastAsia="Arial" w:hAnsi="Arial"/>
                <w:sz w:val="18"/>
                <w:szCs w:val="18"/>
                <w:color w:val="auto"/>
              </w:rPr>
              <w:t>$</w:t>
            </w:r>
          </w:p>
        </w:tc>
        <w:tc>
          <w:tcPr>
            <w:tcW w:w="880" w:type="dxa"/>
            <w:vAlign w:val="bottom"/>
            <w:shd w:val="clear" w:color="auto" w:fill="E6E6E6"/>
          </w:tcPr>
          <w:p>
            <w:pPr>
              <w:jc w:val="right"/>
              <w:ind w:right="114"/>
              <w:spacing w:after="0" w:line="202" w:lineRule="exact"/>
              <w:rPr>
                <w:sz w:val="20"/>
                <w:szCs w:val="20"/>
                <w:color w:val="auto"/>
              </w:rPr>
            </w:pPr>
            <w:r>
              <w:rPr>
                <w:rFonts w:ascii="Arial" w:cs="Arial" w:eastAsia="Arial" w:hAnsi="Arial"/>
                <w:sz w:val="18"/>
                <w:szCs w:val="18"/>
                <w:color w:val="auto"/>
              </w:rPr>
              <w:t>174.0</w:t>
            </w:r>
          </w:p>
        </w:tc>
        <w:tc>
          <w:tcPr>
            <w:tcW w:w="480" w:type="dxa"/>
            <w:vAlign w:val="bottom"/>
            <w:shd w:val="clear" w:color="auto" w:fill="E6E6E6"/>
          </w:tcPr>
          <w:p>
            <w:pPr>
              <w:jc w:val="right"/>
              <w:ind w:right="152"/>
              <w:spacing w:after="0" w:line="202" w:lineRule="exact"/>
              <w:rPr>
                <w:sz w:val="20"/>
                <w:szCs w:val="20"/>
                <w:color w:val="auto"/>
              </w:rPr>
            </w:pPr>
            <w:r>
              <w:rPr>
                <w:rFonts w:ascii="Arial" w:cs="Arial" w:eastAsia="Arial" w:hAnsi="Arial"/>
                <w:sz w:val="18"/>
                <w:szCs w:val="18"/>
                <w:color w:val="auto"/>
              </w:rPr>
              <w:t>$</w:t>
            </w:r>
          </w:p>
        </w:tc>
        <w:tc>
          <w:tcPr>
            <w:tcW w:w="820" w:type="dxa"/>
            <w:vAlign w:val="bottom"/>
            <w:shd w:val="clear" w:color="auto" w:fill="E6E6E6"/>
          </w:tcPr>
          <w:p>
            <w:pPr>
              <w:jc w:val="right"/>
              <w:ind w:right="34"/>
              <w:spacing w:after="0" w:line="202" w:lineRule="exact"/>
              <w:rPr>
                <w:sz w:val="20"/>
                <w:szCs w:val="20"/>
                <w:color w:val="auto"/>
              </w:rPr>
            </w:pPr>
            <w:r>
              <w:rPr>
                <w:rFonts w:ascii="Arial" w:cs="Arial" w:eastAsia="Arial" w:hAnsi="Arial"/>
                <w:sz w:val="18"/>
                <w:szCs w:val="18"/>
                <w:color w:val="auto"/>
              </w:rPr>
              <w:t>164.4</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4"/>
        </w:trPr>
        <w:tc>
          <w:tcPr>
            <w:tcW w:w="5540" w:type="dxa"/>
            <w:vAlign w:val="bottom"/>
          </w:tcPr>
          <w:p>
            <w:pPr>
              <w:spacing w:after="0"/>
              <w:rPr>
                <w:sz w:val="20"/>
                <w:szCs w:val="20"/>
                <w:color w:val="auto"/>
              </w:rPr>
            </w:pPr>
            <w:r>
              <w:rPr>
                <w:rFonts w:ascii="Arial" w:cs="Arial" w:eastAsia="Arial" w:hAnsi="Arial"/>
                <w:sz w:val="18"/>
                <w:szCs w:val="18"/>
                <w:color w:val="auto"/>
              </w:rPr>
              <w:t>Accumulated impairment</w:t>
            </w:r>
          </w:p>
        </w:tc>
        <w:tc>
          <w:tcPr>
            <w:tcW w:w="3700" w:type="dxa"/>
            <w:vAlign w:val="bottom"/>
          </w:tcPr>
          <w:p>
            <w:pPr>
              <w:spacing w:after="0"/>
              <w:rPr>
                <w:sz w:val="18"/>
                <w:szCs w:val="18"/>
                <w:color w:val="auto"/>
              </w:rPr>
            </w:pPr>
          </w:p>
        </w:tc>
        <w:tc>
          <w:tcPr>
            <w:tcW w:w="880" w:type="dxa"/>
            <w:vAlign w:val="bottom"/>
          </w:tcPr>
          <w:p>
            <w:pPr>
              <w:jc w:val="right"/>
              <w:ind w:right="54"/>
              <w:spacing w:after="0"/>
              <w:rPr>
                <w:sz w:val="20"/>
                <w:szCs w:val="20"/>
                <w:color w:val="auto"/>
              </w:rPr>
            </w:pPr>
            <w:r>
              <w:rPr>
                <w:rFonts w:ascii="Arial" w:cs="Arial" w:eastAsia="Arial" w:hAnsi="Arial"/>
                <w:sz w:val="18"/>
                <w:szCs w:val="18"/>
                <w:color w:val="auto"/>
              </w:rPr>
              <w:t>(17.0)</w:t>
            </w:r>
          </w:p>
        </w:tc>
        <w:tc>
          <w:tcPr>
            <w:tcW w:w="48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97"/>
        </w:trPr>
        <w:tc>
          <w:tcPr>
            <w:tcW w:w="5540" w:type="dxa"/>
            <w:vAlign w:val="bottom"/>
            <w:tcBorders>
              <w:bottom w:val="single" w:sz="8" w:color="808080"/>
            </w:tcBorders>
          </w:tcPr>
          <w:p>
            <w:pPr>
              <w:spacing w:after="0"/>
              <w:rPr>
                <w:sz w:val="8"/>
                <w:szCs w:val="8"/>
                <w:color w:val="auto"/>
              </w:rPr>
            </w:pPr>
          </w:p>
        </w:tc>
        <w:tc>
          <w:tcPr>
            <w:tcW w:w="3700" w:type="dxa"/>
            <w:vAlign w:val="bottom"/>
            <w:tcBorders>
              <w:bottom w:val="single" w:sz="8" w:color="808080"/>
            </w:tcBorders>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r>
      <w:tr>
        <w:trPr>
          <w:trHeight w:val="102"/>
        </w:trPr>
        <w:tc>
          <w:tcPr>
            <w:tcW w:w="5540" w:type="dxa"/>
            <w:vAlign w:val="bottom"/>
          </w:tcPr>
          <w:p>
            <w:pPr>
              <w:spacing w:after="0"/>
              <w:rPr>
                <w:sz w:val="8"/>
                <w:szCs w:val="8"/>
                <w:color w:val="auto"/>
              </w:rPr>
            </w:pPr>
          </w:p>
        </w:tc>
        <w:tc>
          <w:tcPr>
            <w:tcW w:w="3700" w:type="dxa"/>
            <w:vAlign w:val="bottom"/>
          </w:tcPr>
          <w:p>
            <w:pPr>
              <w:spacing w:after="0"/>
              <w:rPr>
                <w:sz w:val="8"/>
                <w:szCs w:val="8"/>
                <w:color w:val="auto"/>
              </w:rPr>
            </w:pPr>
          </w:p>
        </w:tc>
        <w:tc>
          <w:tcPr>
            <w:tcW w:w="880" w:type="dxa"/>
            <w:vAlign w:val="bottom"/>
          </w:tcPr>
          <w:p>
            <w:pPr>
              <w:spacing w:after="0"/>
              <w:rPr>
                <w:sz w:val="8"/>
                <w:szCs w:val="8"/>
                <w:color w:val="auto"/>
              </w:rPr>
            </w:pPr>
          </w:p>
        </w:tc>
        <w:tc>
          <w:tcPr>
            <w:tcW w:w="48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203"/>
        </w:trPr>
        <w:tc>
          <w:tcPr>
            <w:tcW w:w="554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Beginning balance</w:t>
            </w:r>
          </w:p>
        </w:tc>
        <w:tc>
          <w:tcPr>
            <w:tcW w:w="3700" w:type="dxa"/>
            <w:vAlign w:val="bottom"/>
            <w:shd w:val="clear" w:color="auto" w:fill="E6E6E6"/>
          </w:tcPr>
          <w:p>
            <w:pPr>
              <w:spacing w:after="0"/>
              <w:rPr>
                <w:sz w:val="17"/>
                <w:szCs w:val="17"/>
                <w:color w:val="auto"/>
              </w:rPr>
            </w:pPr>
          </w:p>
        </w:tc>
        <w:tc>
          <w:tcPr>
            <w:tcW w:w="880" w:type="dxa"/>
            <w:vAlign w:val="bottom"/>
            <w:shd w:val="clear" w:color="auto" w:fill="E6E6E6"/>
          </w:tcPr>
          <w:p>
            <w:pPr>
              <w:jc w:val="right"/>
              <w:ind w:right="114"/>
              <w:spacing w:after="0" w:line="202" w:lineRule="exact"/>
              <w:rPr>
                <w:sz w:val="20"/>
                <w:szCs w:val="20"/>
                <w:color w:val="auto"/>
              </w:rPr>
            </w:pPr>
            <w:r>
              <w:rPr>
                <w:rFonts w:ascii="Arial" w:cs="Arial" w:eastAsia="Arial" w:hAnsi="Arial"/>
                <w:sz w:val="18"/>
                <w:szCs w:val="18"/>
                <w:color w:val="auto"/>
              </w:rPr>
              <w:t>157.0</w:t>
            </w:r>
          </w:p>
        </w:tc>
        <w:tc>
          <w:tcPr>
            <w:tcW w:w="480" w:type="dxa"/>
            <w:vAlign w:val="bottom"/>
            <w:shd w:val="clear" w:color="auto" w:fill="E6E6E6"/>
          </w:tcPr>
          <w:p>
            <w:pPr>
              <w:spacing w:after="0"/>
              <w:rPr>
                <w:sz w:val="17"/>
                <w:szCs w:val="17"/>
                <w:color w:val="auto"/>
              </w:rPr>
            </w:pPr>
          </w:p>
        </w:tc>
        <w:tc>
          <w:tcPr>
            <w:tcW w:w="820" w:type="dxa"/>
            <w:vAlign w:val="bottom"/>
            <w:shd w:val="clear" w:color="auto" w:fill="E6E6E6"/>
          </w:tcPr>
          <w:p>
            <w:pPr>
              <w:jc w:val="right"/>
              <w:ind w:right="34"/>
              <w:spacing w:after="0" w:line="202" w:lineRule="exact"/>
              <w:rPr>
                <w:sz w:val="20"/>
                <w:szCs w:val="20"/>
                <w:color w:val="auto"/>
              </w:rPr>
            </w:pPr>
            <w:r>
              <w:rPr>
                <w:rFonts w:ascii="Arial" w:cs="Arial" w:eastAsia="Arial" w:hAnsi="Arial"/>
                <w:sz w:val="18"/>
                <w:szCs w:val="18"/>
                <w:color w:val="auto"/>
              </w:rPr>
              <w:t>164.4</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5540" w:type="dxa"/>
            <w:vAlign w:val="bottom"/>
          </w:tcPr>
          <w:p>
            <w:pPr>
              <w:spacing w:after="0" w:line="202" w:lineRule="exact"/>
              <w:rPr>
                <w:sz w:val="20"/>
                <w:szCs w:val="20"/>
                <w:color w:val="auto"/>
              </w:rPr>
            </w:pPr>
            <w:r>
              <w:rPr>
                <w:rFonts w:ascii="Arial" w:cs="Arial" w:eastAsia="Arial" w:hAnsi="Arial"/>
                <w:sz w:val="18"/>
                <w:szCs w:val="18"/>
                <w:color w:val="auto"/>
              </w:rPr>
              <w:t>Impairment charge</w:t>
            </w:r>
          </w:p>
        </w:tc>
        <w:tc>
          <w:tcPr>
            <w:tcW w:w="3700" w:type="dxa"/>
            <w:vAlign w:val="bottom"/>
          </w:tcPr>
          <w:p>
            <w:pPr>
              <w:spacing w:after="0"/>
              <w:rPr>
                <w:sz w:val="17"/>
                <w:szCs w:val="17"/>
                <w:color w:val="auto"/>
              </w:rPr>
            </w:pPr>
          </w:p>
        </w:tc>
        <w:tc>
          <w:tcPr>
            <w:tcW w:w="880" w:type="dxa"/>
            <w:vAlign w:val="bottom"/>
          </w:tcPr>
          <w:p>
            <w:pPr>
              <w:jc w:val="right"/>
              <w:ind w:right="54"/>
              <w:spacing w:after="0" w:line="202" w:lineRule="exact"/>
              <w:rPr>
                <w:sz w:val="20"/>
                <w:szCs w:val="20"/>
                <w:color w:val="auto"/>
              </w:rPr>
            </w:pPr>
            <w:r>
              <w:rPr>
                <w:rFonts w:ascii="Arial" w:cs="Arial" w:eastAsia="Arial" w:hAnsi="Arial"/>
                <w:sz w:val="18"/>
                <w:szCs w:val="18"/>
                <w:color w:val="auto"/>
              </w:rPr>
              <w:t>(0.4)</w:t>
            </w:r>
          </w:p>
        </w:tc>
        <w:tc>
          <w:tcPr>
            <w:tcW w:w="48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(17.0)</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554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Deferred tax adjustment</w:t>
            </w:r>
          </w:p>
        </w:tc>
        <w:tc>
          <w:tcPr>
            <w:tcW w:w="3700" w:type="dxa"/>
            <w:vAlign w:val="bottom"/>
            <w:shd w:val="clear" w:color="auto" w:fill="E6E6E6"/>
          </w:tcPr>
          <w:p>
            <w:pPr>
              <w:spacing w:after="0"/>
              <w:rPr>
                <w:sz w:val="17"/>
                <w:szCs w:val="17"/>
                <w:color w:val="auto"/>
              </w:rPr>
            </w:pPr>
          </w:p>
        </w:tc>
        <w:tc>
          <w:tcPr>
            <w:tcW w:w="880" w:type="dxa"/>
            <w:vAlign w:val="bottom"/>
            <w:shd w:val="clear" w:color="auto" w:fill="E6E6E6"/>
          </w:tcPr>
          <w:p>
            <w:pPr>
              <w:jc w:val="right"/>
              <w:ind w:right="114"/>
              <w:spacing w:after="0" w:line="202" w:lineRule="exact"/>
              <w:rPr>
                <w:sz w:val="20"/>
                <w:szCs w:val="20"/>
                <w:color w:val="auto"/>
              </w:rPr>
            </w:pPr>
            <w:r>
              <w:rPr>
                <w:rFonts w:ascii="Arial" w:cs="Arial" w:eastAsia="Arial" w:hAnsi="Arial"/>
                <w:sz w:val="18"/>
                <w:szCs w:val="18"/>
                <w:color w:val="auto"/>
              </w:rPr>
              <w:t>—</w:t>
            </w:r>
          </w:p>
        </w:tc>
        <w:tc>
          <w:tcPr>
            <w:tcW w:w="480" w:type="dxa"/>
            <w:vAlign w:val="bottom"/>
            <w:shd w:val="clear" w:color="auto" w:fill="E6E6E6"/>
          </w:tcPr>
          <w:p>
            <w:pPr>
              <w:spacing w:after="0"/>
              <w:rPr>
                <w:sz w:val="17"/>
                <w:szCs w:val="17"/>
                <w:color w:val="auto"/>
              </w:rPr>
            </w:pPr>
          </w:p>
        </w:tc>
        <w:tc>
          <w:tcPr>
            <w:tcW w:w="820" w:type="dxa"/>
            <w:vAlign w:val="bottom"/>
            <w:shd w:val="clear" w:color="auto" w:fill="E6E6E6"/>
          </w:tcPr>
          <w:p>
            <w:pPr>
              <w:jc w:val="right"/>
              <w:ind w:right="34"/>
              <w:spacing w:after="0" w:line="202" w:lineRule="exact"/>
              <w:rPr>
                <w:sz w:val="20"/>
                <w:szCs w:val="20"/>
                <w:color w:val="auto"/>
              </w:rPr>
            </w:pPr>
            <w:r>
              <w:rPr>
                <w:rFonts w:ascii="Arial" w:cs="Arial" w:eastAsia="Arial" w:hAnsi="Arial"/>
                <w:sz w:val="18"/>
                <w:szCs w:val="18"/>
                <w:color w:val="auto"/>
              </w:rPr>
              <w:t>16.1</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5540" w:type="dxa"/>
            <w:vAlign w:val="bottom"/>
          </w:tcPr>
          <w:p>
            <w:pPr>
              <w:spacing w:after="0" w:line="202" w:lineRule="exact"/>
              <w:rPr>
                <w:sz w:val="20"/>
                <w:szCs w:val="20"/>
                <w:color w:val="auto"/>
              </w:rPr>
            </w:pPr>
            <w:r>
              <w:rPr>
                <w:rFonts w:ascii="Arial" w:cs="Arial" w:eastAsia="Arial" w:hAnsi="Arial"/>
                <w:sz w:val="18"/>
                <w:szCs w:val="18"/>
                <w:color w:val="auto"/>
              </w:rPr>
              <w:t>Purchase adjustment</w:t>
            </w:r>
          </w:p>
        </w:tc>
        <w:tc>
          <w:tcPr>
            <w:tcW w:w="3700" w:type="dxa"/>
            <w:vAlign w:val="bottom"/>
          </w:tcPr>
          <w:p>
            <w:pPr>
              <w:spacing w:after="0"/>
              <w:rPr>
                <w:sz w:val="17"/>
                <w:szCs w:val="17"/>
                <w:color w:val="auto"/>
              </w:rPr>
            </w:pPr>
          </w:p>
        </w:tc>
        <w:tc>
          <w:tcPr>
            <w:tcW w:w="880" w:type="dxa"/>
            <w:vAlign w:val="bottom"/>
          </w:tcPr>
          <w:p>
            <w:pPr>
              <w:jc w:val="right"/>
              <w:ind w:right="114"/>
              <w:spacing w:after="0" w:line="202" w:lineRule="exact"/>
              <w:rPr>
                <w:sz w:val="20"/>
                <w:szCs w:val="20"/>
                <w:color w:val="auto"/>
              </w:rPr>
            </w:pPr>
            <w:r>
              <w:rPr>
                <w:rFonts w:ascii="Arial" w:cs="Arial" w:eastAsia="Arial" w:hAnsi="Arial"/>
                <w:sz w:val="18"/>
                <w:szCs w:val="18"/>
                <w:color w:val="auto"/>
              </w:rPr>
              <w:t>—</w:t>
            </w:r>
          </w:p>
        </w:tc>
        <w:tc>
          <w:tcPr>
            <w:tcW w:w="48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(0.7)</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554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Foreign currency translation</w:t>
            </w:r>
          </w:p>
        </w:tc>
        <w:tc>
          <w:tcPr>
            <w:tcW w:w="3700" w:type="dxa"/>
            <w:vAlign w:val="bottom"/>
            <w:shd w:val="clear" w:color="auto" w:fill="E6E6E6"/>
          </w:tcPr>
          <w:p>
            <w:pPr>
              <w:spacing w:after="0"/>
              <w:rPr>
                <w:sz w:val="17"/>
                <w:szCs w:val="17"/>
                <w:color w:val="auto"/>
              </w:rPr>
            </w:pPr>
          </w:p>
        </w:tc>
        <w:tc>
          <w:tcPr>
            <w:tcW w:w="880" w:type="dxa"/>
            <w:vAlign w:val="bottom"/>
            <w:shd w:val="clear" w:color="auto" w:fill="E6E6E6"/>
          </w:tcPr>
          <w:p>
            <w:pPr>
              <w:jc w:val="right"/>
              <w:ind w:right="114"/>
              <w:spacing w:after="0" w:line="202" w:lineRule="exact"/>
              <w:rPr>
                <w:sz w:val="20"/>
                <w:szCs w:val="20"/>
                <w:color w:val="auto"/>
              </w:rPr>
            </w:pPr>
            <w:r>
              <w:rPr>
                <w:rFonts w:ascii="Arial" w:cs="Arial" w:eastAsia="Arial" w:hAnsi="Arial"/>
                <w:sz w:val="18"/>
                <w:szCs w:val="18"/>
                <w:color w:val="auto"/>
              </w:rPr>
              <w:t>—</w:t>
            </w:r>
          </w:p>
        </w:tc>
        <w:tc>
          <w:tcPr>
            <w:tcW w:w="480" w:type="dxa"/>
            <w:vAlign w:val="bottom"/>
            <w:shd w:val="clear" w:color="auto" w:fill="E6E6E6"/>
          </w:tcPr>
          <w:p>
            <w:pPr>
              <w:spacing w:after="0"/>
              <w:rPr>
                <w:sz w:val="17"/>
                <w:szCs w:val="17"/>
                <w:color w:val="auto"/>
              </w:rPr>
            </w:pPr>
          </w:p>
        </w:tc>
        <w:tc>
          <w:tcPr>
            <w:tcW w:w="82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(5.8)</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08"/>
        </w:trPr>
        <w:tc>
          <w:tcPr>
            <w:tcW w:w="5540" w:type="dxa"/>
            <w:vAlign w:val="bottom"/>
            <w:tcBorders>
              <w:bottom w:val="single" w:sz="8" w:color="808080"/>
            </w:tcBorders>
          </w:tcPr>
          <w:p>
            <w:pPr>
              <w:spacing w:after="0"/>
              <w:rPr>
                <w:sz w:val="9"/>
                <w:szCs w:val="9"/>
                <w:color w:val="auto"/>
              </w:rPr>
            </w:pPr>
          </w:p>
        </w:tc>
        <w:tc>
          <w:tcPr>
            <w:tcW w:w="370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316"/>
        </w:trPr>
        <w:tc>
          <w:tcPr>
            <w:tcW w:w="5540" w:type="dxa"/>
            <w:vAlign w:val="bottom"/>
          </w:tcPr>
          <w:p>
            <w:pPr>
              <w:spacing w:after="0"/>
              <w:rPr>
                <w:sz w:val="20"/>
                <w:szCs w:val="20"/>
                <w:color w:val="auto"/>
              </w:rPr>
            </w:pPr>
            <w:r>
              <w:rPr>
                <w:rFonts w:ascii="Arial" w:cs="Arial" w:eastAsia="Arial" w:hAnsi="Arial"/>
                <w:sz w:val="18"/>
                <w:szCs w:val="18"/>
                <w:b w:val="1"/>
                <w:bCs w:val="1"/>
                <w:color w:val="auto"/>
              </w:rPr>
              <w:t>Ending balance</w:t>
            </w:r>
          </w:p>
        </w:tc>
        <w:tc>
          <w:tcPr>
            <w:tcW w:w="3700" w:type="dxa"/>
            <w:vAlign w:val="bottom"/>
          </w:tcPr>
          <w:p>
            <w:pPr>
              <w:jc w:val="right"/>
              <w:ind w:right="152"/>
              <w:spacing w:after="0"/>
              <w:rPr>
                <w:sz w:val="20"/>
                <w:szCs w:val="20"/>
                <w:color w:val="auto"/>
              </w:rPr>
            </w:pPr>
            <w:r>
              <w:rPr>
                <w:rFonts w:ascii="Arial" w:cs="Arial" w:eastAsia="Arial" w:hAnsi="Arial"/>
                <w:sz w:val="18"/>
                <w:szCs w:val="18"/>
                <w:b w:val="1"/>
                <w:bCs w:val="1"/>
                <w:color w:val="auto"/>
              </w:rPr>
              <w:t>$</w:t>
            </w:r>
          </w:p>
        </w:tc>
        <w:tc>
          <w:tcPr>
            <w:tcW w:w="880" w:type="dxa"/>
            <w:vAlign w:val="bottom"/>
          </w:tcPr>
          <w:p>
            <w:pPr>
              <w:jc w:val="right"/>
              <w:ind w:right="114"/>
              <w:spacing w:after="0"/>
              <w:rPr>
                <w:sz w:val="20"/>
                <w:szCs w:val="20"/>
                <w:color w:val="auto"/>
              </w:rPr>
            </w:pPr>
            <w:r>
              <w:rPr>
                <w:rFonts w:ascii="Arial" w:cs="Arial" w:eastAsia="Arial" w:hAnsi="Arial"/>
                <w:sz w:val="18"/>
                <w:szCs w:val="18"/>
                <w:b w:val="1"/>
                <w:bCs w:val="1"/>
                <w:color w:val="auto"/>
              </w:rPr>
              <w:t>156.6</w:t>
            </w:r>
          </w:p>
        </w:tc>
        <w:tc>
          <w:tcPr>
            <w:tcW w:w="480" w:type="dxa"/>
            <w:vAlign w:val="bottom"/>
          </w:tcPr>
          <w:p>
            <w:pPr>
              <w:jc w:val="right"/>
              <w:ind w:right="152"/>
              <w:spacing w:after="0"/>
              <w:rPr>
                <w:sz w:val="20"/>
                <w:szCs w:val="20"/>
                <w:color w:val="auto"/>
              </w:rPr>
            </w:pPr>
            <w:r>
              <w:rPr>
                <w:rFonts w:ascii="Arial" w:cs="Arial" w:eastAsia="Arial" w:hAnsi="Arial"/>
                <w:sz w:val="18"/>
                <w:szCs w:val="18"/>
                <w:b w:val="1"/>
                <w:bCs w:val="1"/>
                <w:color w:val="auto"/>
              </w:rPr>
              <w:t>$</w:t>
            </w:r>
          </w:p>
        </w:tc>
        <w:tc>
          <w:tcPr>
            <w:tcW w:w="820" w:type="dxa"/>
            <w:vAlign w:val="bottom"/>
          </w:tcPr>
          <w:p>
            <w:pPr>
              <w:jc w:val="right"/>
              <w:ind w:right="34"/>
              <w:spacing w:after="0"/>
              <w:rPr>
                <w:sz w:val="20"/>
                <w:szCs w:val="20"/>
                <w:color w:val="auto"/>
              </w:rPr>
            </w:pPr>
            <w:r>
              <w:rPr>
                <w:rFonts w:ascii="Arial" w:cs="Arial" w:eastAsia="Arial" w:hAnsi="Arial"/>
                <w:sz w:val="18"/>
                <w:szCs w:val="18"/>
                <w:b w:val="1"/>
                <w:bCs w:val="1"/>
                <w:color w:val="auto"/>
              </w:rPr>
              <w:t>157.0</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20"/>
        </w:trPr>
        <w:tc>
          <w:tcPr>
            <w:tcW w:w="5540" w:type="dxa"/>
            <w:vAlign w:val="bottom"/>
            <w:tcBorders>
              <w:bottom w:val="single" w:sz="8" w:color="808080"/>
            </w:tcBorders>
          </w:tcPr>
          <w:p>
            <w:pPr>
              <w:spacing w:after="0"/>
              <w:rPr>
                <w:sz w:val="10"/>
                <w:szCs w:val="10"/>
                <w:color w:val="auto"/>
              </w:rPr>
            </w:pPr>
          </w:p>
        </w:tc>
        <w:tc>
          <w:tcPr>
            <w:tcW w:w="370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-29210</wp:posOffset>
            </wp:positionV>
            <wp:extent cx="12700" cy="2984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-29210</wp:posOffset>
            </wp:positionV>
            <wp:extent cx="12700" cy="2984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-29210</wp:posOffset>
            </wp:positionV>
            <wp:extent cx="12700" cy="2984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-29210</wp:posOffset>
            </wp:positionV>
            <wp:extent cx="12700" cy="2984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-29210</wp:posOffset>
            </wp:positionV>
            <wp:extent cx="12700" cy="2984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-29210</wp:posOffset>
            </wp:positionV>
            <wp:extent cx="12700" cy="2984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-29210</wp:posOffset>
            </wp:positionV>
            <wp:extent cx="12700" cy="2984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The ending balances as of May 31, 2010 include accumulated impairments of $17.4.</w:t>
      </w:r>
    </w:p>
    <w:p>
      <w:pPr>
        <w:spacing w:after="0" w:line="22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At February 28, 2009, the total market value of the Company’s outstanding Common and Class A shares was less than the carrying value of the Company’s net assets. Due to the reduced total market value of the Company’s Common Stock, the Company evaluated the goodwill for its reporting units for impairment as of February 28, 2009. The Company employed internally developed discounted cash flow forecasts to determine the fair values of its reporting units, based upon the best available financial data. The Company concluded that goodwill associated with the Company’s United Kingdom operations was impaired as of February 28, 2009, and recognized a goodwill impairment of $17.0.</w:t>
      </w:r>
    </w:p>
    <w:p>
      <w:pPr>
        <w:spacing w:after="0" w:line="197" w:lineRule="exact"/>
        <w:rPr>
          <w:sz w:val="20"/>
          <w:szCs w:val="20"/>
          <w:color w:val="auto"/>
        </w:rPr>
      </w:pPr>
    </w:p>
    <w:p>
      <w:pPr>
        <w:ind w:right="540"/>
        <w:spacing w:after="0" w:line="332" w:lineRule="auto"/>
        <w:rPr>
          <w:sz w:val="20"/>
          <w:szCs w:val="20"/>
          <w:color w:val="auto"/>
        </w:rPr>
      </w:pPr>
      <w:r>
        <w:rPr>
          <w:rFonts w:ascii="Arial" w:cs="Arial" w:eastAsia="Arial" w:hAnsi="Arial"/>
          <w:sz w:val="16"/>
          <w:szCs w:val="16"/>
          <w:color w:val="auto"/>
        </w:rPr>
        <w:t>The deferred tax adjustment in fiscal 2009 relates to a prior acquisition included in the Children’s Book Publishing and Distribution segment. The purchase adjustment in fiscal 2009 is related to the acquisition of a school consulting and professional development services company in fiscal 2007.</w:t>
      </w:r>
    </w:p>
    <w:p>
      <w:pPr>
        <w:spacing w:after="0" w:line="139"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color w:val="auto"/>
        </w:rPr>
        <w:t>As of May 31, 2010, the Company determined the carrying value of its direct-to-home catalog business specializing in toys exceeded the fair value of this reporting unit. The Company employed internally developed discounted cash flow forecast and market comparisons to determine the fair value of the reporting unit and the implied fair value of the reporting unit’s assets and liabilities. Accordingly, the Company recognized an impairment charge of $0.4 at May 31, 2010.</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Other intangibles subject to amortization as of May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263765" cy="889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640" w:type="dxa"/>
            <w:vAlign w:val="bottom"/>
          </w:tcPr>
          <w:p>
            <w:pPr>
              <w:spacing w:after="0"/>
              <w:rPr>
                <w:sz w:val="15"/>
                <w:szCs w:val="15"/>
                <w:color w:val="auto"/>
              </w:rPr>
            </w:pPr>
          </w:p>
        </w:tc>
        <w:tc>
          <w:tcPr>
            <w:tcW w:w="1350" w:type="dxa"/>
            <w:vAlign w:val="bottom"/>
          </w:tcPr>
          <w:p>
            <w:pPr>
              <w:spacing w:after="0"/>
              <w:rPr>
                <w:sz w:val="15"/>
                <w:szCs w:val="15"/>
                <w:color w:val="auto"/>
              </w:rPr>
            </w:pPr>
          </w:p>
        </w:tc>
        <w:tc>
          <w:tcPr>
            <w:tcW w:w="1250" w:type="dxa"/>
            <w:vAlign w:val="bottom"/>
          </w:tcPr>
          <w:p>
            <w:pPr>
              <w:jc w:val="right"/>
              <w:ind w:right="254"/>
              <w:spacing w:after="0"/>
              <w:rPr>
                <w:sz w:val="20"/>
                <w:szCs w:val="20"/>
                <w:color w:val="auto"/>
              </w:rPr>
            </w:pPr>
            <w:r>
              <w:rPr>
                <w:rFonts w:ascii="Arial" w:cs="Arial" w:eastAsia="Arial" w:hAnsi="Arial"/>
                <w:sz w:val="14"/>
                <w:szCs w:val="14"/>
                <w:b w:val="1"/>
                <w:bCs w:val="1"/>
                <w:color w:val="auto"/>
              </w:rPr>
              <w:t>2010</w:t>
            </w:r>
          </w:p>
        </w:tc>
        <w:tc>
          <w:tcPr>
            <w:tcW w:w="420" w:type="dxa"/>
            <w:vAlign w:val="bottom"/>
          </w:tcPr>
          <w:p>
            <w:pPr>
              <w:spacing w:after="0"/>
              <w:rPr>
                <w:sz w:val="15"/>
                <w:szCs w:val="15"/>
                <w:color w:val="auto"/>
              </w:rPr>
            </w:pPr>
          </w:p>
        </w:tc>
        <w:tc>
          <w:tcPr>
            <w:tcW w:w="740" w:type="dxa"/>
            <w:vAlign w:val="bottom"/>
          </w:tcPr>
          <w:p>
            <w:pPr>
              <w:jc w:val="right"/>
              <w:ind w:right="34"/>
              <w:spacing w:after="0"/>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640" w:type="dxa"/>
            <w:vAlign w:val="bottom"/>
            <w:tcBorders>
              <w:bottom w:val="single" w:sz="8" w:color="auto"/>
            </w:tcBorders>
          </w:tcPr>
          <w:p>
            <w:pPr>
              <w:spacing w:after="0"/>
              <w:rPr>
                <w:sz w:val="8"/>
                <w:szCs w:val="8"/>
                <w:color w:val="auto"/>
              </w:rPr>
            </w:pPr>
          </w:p>
        </w:tc>
        <w:tc>
          <w:tcPr>
            <w:tcW w:w="1350" w:type="dxa"/>
            <w:vAlign w:val="bottom"/>
            <w:tcBorders>
              <w:bottom w:val="single" w:sz="8" w:color="auto"/>
            </w:tcBorders>
          </w:tcPr>
          <w:p>
            <w:pPr>
              <w:spacing w:after="0"/>
              <w:rPr>
                <w:sz w:val="8"/>
                <w:szCs w:val="8"/>
                <w:color w:val="auto"/>
              </w:rPr>
            </w:pPr>
          </w:p>
        </w:tc>
        <w:tc>
          <w:tcPr>
            <w:tcW w:w="125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7660" w:type="dxa"/>
            <w:vAlign w:val="bottom"/>
            <w:gridSpan w:val="2"/>
          </w:tcPr>
          <w:p>
            <w:pPr>
              <w:spacing w:after="0"/>
              <w:rPr>
                <w:sz w:val="8"/>
                <w:szCs w:val="8"/>
                <w:color w:val="auto"/>
              </w:rPr>
            </w:pPr>
          </w:p>
        </w:tc>
        <w:tc>
          <w:tcPr>
            <w:tcW w:w="1350" w:type="dxa"/>
            <w:vAlign w:val="bottom"/>
          </w:tcPr>
          <w:p>
            <w:pPr>
              <w:spacing w:after="0"/>
              <w:rPr>
                <w:sz w:val="8"/>
                <w:szCs w:val="8"/>
                <w:color w:val="auto"/>
              </w:rPr>
            </w:pPr>
          </w:p>
        </w:tc>
        <w:tc>
          <w:tcPr>
            <w:tcW w:w="125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4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Beginning balance</w:t>
            </w:r>
          </w:p>
        </w:tc>
        <w:tc>
          <w:tcPr>
            <w:tcW w:w="135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w:t>
            </w:r>
          </w:p>
        </w:tc>
        <w:tc>
          <w:tcPr>
            <w:tcW w:w="1250" w:type="dxa"/>
            <w:vAlign w:val="bottom"/>
            <w:shd w:val="clear" w:color="auto" w:fill="E6E6E6"/>
          </w:tcPr>
          <w:p>
            <w:pPr>
              <w:jc w:val="right"/>
              <w:ind w:right="254"/>
              <w:spacing w:after="0" w:line="202" w:lineRule="exact"/>
              <w:rPr>
                <w:sz w:val="20"/>
                <w:szCs w:val="20"/>
                <w:color w:val="auto"/>
              </w:rPr>
            </w:pPr>
            <w:r>
              <w:rPr>
                <w:rFonts w:ascii="Arial" w:cs="Arial" w:eastAsia="Arial" w:hAnsi="Arial"/>
                <w:sz w:val="18"/>
                <w:szCs w:val="18"/>
                <w:color w:val="auto"/>
              </w:rPr>
              <w:t>0.1</w:t>
            </w:r>
          </w:p>
        </w:tc>
        <w:tc>
          <w:tcPr>
            <w:tcW w:w="420" w:type="dxa"/>
            <w:vAlign w:val="bottom"/>
            <w:shd w:val="clear" w:color="auto" w:fill="E6E6E6"/>
          </w:tcPr>
          <w:p>
            <w:pPr>
              <w:jc w:val="right"/>
              <w:ind w:right="232"/>
              <w:spacing w:after="0" w:line="202" w:lineRule="exact"/>
              <w:rPr>
                <w:sz w:val="20"/>
                <w:szCs w:val="20"/>
                <w:color w:val="auto"/>
              </w:rPr>
            </w:pPr>
            <w:r>
              <w:rPr>
                <w:rFonts w:ascii="Arial" w:cs="Arial" w:eastAsia="Arial" w:hAnsi="Arial"/>
                <w:sz w:val="18"/>
                <w:szCs w:val="18"/>
                <w:color w:val="auto"/>
                <w:w w:val="79"/>
              </w:rPr>
              <w:t>$</w:t>
            </w:r>
          </w:p>
        </w:tc>
        <w:tc>
          <w:tcPr>
            <w:tcW w:w="740" w:type="dxa"/>
            <w:vAlign w:val="bottom"/>
            <w:shd w:val="clear" w:color="auto" w:fill="E6E6E6"/>
          </w:tcPr>
          <w:p>
            <w:pPr>
              <w:jc w:val="right"/>
              <w:ind w:right="34"/>
              <w:spacing w:after="0" w:line="202" w:lineRule="exact"/>
              <w:rPr>
                <w:sz w:val="20"/>
                <w:szCs w:val="20"/>
                <w:color w:val="auto"/>
              </w:rPr>
            </w:pPr>
            <w:r>
              <w:rPr>
                <w:rFonts w:ascii="Arial" w:cs="Arial" w:eastAsia="Arial" w:hAnsi="Arial"/>
                <w:sz w:val="18"/>
                <w:szCs w:val="18"/>
                <w:color w:val="auto"/>
              </w:rPr>
              <w:t>0.2</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60" w:type="dxa"/>
            <w:vAlign w:val="bottom"/>
            <w:gridSpan w:val="2"/>
          </w:tcPr>
          <w:p>
            <w:pPr>
              <w:spacing w:after="0" w:line="202" w:lineRule="exact"/>
              <w:rPr>
                <w:sz w:val="20"/>
                <w:szCs w:val="20"/>
                <w:color w:val="auto"/>
              </w:rPr>
            </w:pPr>
            <w:r>
              <w:rPr>
                <w:rFonts w:ascii="Arial" w:cs="Arial" w:eastAsia="Arial" w:hAnsi="Arial"/>
                <w:sz w:val="18"/>
                <w:szCs w:val="18"/>
                <w:color w:val="auto"/>
              </w:rPr>
              <w:t>Additions</w:t>
            </w:r>
          </w:p>
        </w:tc>
        <w:tc>
          <w:tcPr>
            <w:tcW w:w="1350" w:type="dxa"/>
            <w:vAlign w:val="bottom"/>
          </w:tcPr>
          <w:p>
            <w:pPr>
              <w:spacing w:after="0"/>
              <w:rPr>
                <w:sz w:val="17"/>
                <w:szCs w:val="17"/>
                <w:color w:val="auto"/>
              </w:rPr>
            </w:pPr>
          </w:p>
        </w:tc>
        <w:tc>
          <w:tcPr>
            <w:tcW w:w="1250" w:type="dxa"/>
            <w:vAlign w:val="bottom"/>
          </w:tcPr>
          <w:p>
            <w:pPr>
              <w:jc w:val="right"/>
              <w:ind w:right="254"/>
              <w:spacing w:after="0" w:line="202" w:lineRule="exact"/>
              <w:rPr>
                <w:sz w:val="20"/>
                <w:szCs w:val="20"/>
                <w:color w:val="auto"/>
              </w:rPr>
            </w:pPr>
            <w:r>
              <w:rPr>
                <w:rFonts w:ascii="Arial" w:cs="Arial" w:eastAsia="Arial" w:hAnsi="Arial"/>
                <w:sz w:val="18"/>
                <w:szCs w:val="18"/>
                <w:color w:val="auto"/>
              </w:rPr>
              <w:t>5.1</w:t>
            </w:r>
          </w:p>
        </w:tc>
        <w:tc>
          <w:tcPr>
            <w:tcW w:w="420" w:type="dxa"/>
            <w:vAlign w:val="bottom"/>
          </w:tcPr>
          <w:p>
            <w:pPr>
              <w:spacing w:after="0"/>
              <w:rPr>
                <w:sz w:val="17"/>
                <w:szCs w:val="17"/>
                <w:color w:val="auto"/>
              </w:rPr>
            </w:pPr>
          </w:p>
        </w:tc>
        <w:tc>
          <w:tcPr>
            <w:tcW w:w="7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4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Impairment charge</w:t>
            </w:r>
          </w:p>
        </w:tc>
        <w:tc>
          <w:tcPr>
            <w:tcW w:w="1350" w:type="dxa"/>
            <w:vAlign w:val="bottom"/>
            <w:shd w:val="clear" w:color="auto" w:fill="E6E6E6"/>
          </w:tcPr>
          <w:p>
            <w:pPr>
              <w:spacing w:after="0"/>
              <w:rPr>
                <w:sz w:val="17"/>
                <w:szCs w:val="17"/>
                <w:color w:val="auto"/>
              </w:rPr>
            </w:pPr>
          </w:p>
        </w:tc>
        <w:tc>
          <w:tcPr>
            <w:tcW w:w="1250" w:type="dxa"/>
            <w:vAlign w:val="bottom"/>
            <w:shd w:val="clear" w:color="auto" w:fill="E6E6E6"/>
          </w:tcPr>
          <w:p>
            <w:pPr>
              <w:jc w:val="right"/>
              <w:ind w:right="194"/>
              <w:spacing w:after="0" w:line="202" w:lineRule="exact"/>
              <w:rPr>
                <w:sz w:val="20"/>
                <w:szCs w:val="20"/>
                <w:color w:val="auto"/>
              </w:rPr>
            </w:pPr>
            <w:r>
              <w:rPr>
                <w:rFonts w:ascii="Arial" w:cs="Arial" w:eastAsia="Arial" w:hAnsi="Arial"/>
                <w:sz w:val="18"/>
                <w:szCs w:val="18"/>
                <w:color w:val="auto"/>
              </w:rPr>
              <w:t>(3.8)</w:t>
            </w:r>
          </w:p>
        </w:tc>
        <w:tc>
          <w:tcPr>
            <w:tcW w:w="420" w:type="dxa"/>
            <w:vAlign w:val="bottom"/>
            <w:shd w:val="clear" w:color="auto" w:fill="E6E6E6"/>
          </w:tcPr>
          <w:p>
            <w:pPr>
              <w:spacing w:after="0"/>
              <w:rPr>
                <w:sz w:val="17"/>
                <w:szCs w:val="17"/>
                <w:color w:val="auto"/>
              </w:rPr>
            </w:pPr>
          </w:p>
        </w:tc>
        <w:tc>
          <w:tcPr>
            <w:tcW w:w="740" w:type="dxa"/>
            <w:vAlign w:val="bottom"/>
            <w:shd w:val="clear" w:color="auto" w:fill="E6E6E6"/>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60" w:type="dxa"/>
            <w:vAlign w:val="bottom"/>
            <w:gridSpan w:val="2"/>
          </w:tcPr>
          <w:p>
            <w:pPr>
              <w:spacing w:after="0" w:line="202" w:lineRule="exact"/>
              <w:rPr>
                <w:sz w:val="20"/>
                <w:szCs w:val="20"/>
                <w:color w:val="auto"/>
              </w:rPr>
            </w:pPr>
            <w:r>
              <w:rPr>
                <w:rFonts w:ascii="Arial" w:cs="Arial" w:eastAsia="Arial" w:hAnsi="Arial"/>
                <w:sz w:val="18"/>
                <w:szCs w:val="18"/>
                <w:color w:val="auto"/>
              </w:rPr>
              <w:t>Other adjustments</w:t>
            </w:r>
          </w:p>
        </w:tc>
        <w:tc>
          <w:tcPr>
            <w:tcW w:w="1350" w:type="dxa"/>
            <w:vAlign w:val="bottom"/>
          </w:tcPr>
          <w:p>
            <w:pPr>
              <w:spacing w:after="0"/>
              <w:rPr>
                <w:sz w:val="17"/>
                <w:szCs w:val="17"/>
                <w:color w:val="auto"/>
              </w:rPr>
            </w:pPr>
          </w:p>
        </w:tc>
        <w:tc>
          <w:tcPr>
            <w:tcW w:w="1250" w:type="dxa"/>
            <w:vAlign w:val="bottom"/>
          </w:tcPr>
          <w:p>
            <w:pPr>
              <w:jc w:val="right"/>
              <w:ind w:right="194"/>
              <w:spacing w:after="0" w:line="202" w:lineRule="exact"/>
              <w:rPr>
                <w:sz w:val="20"/>
                <w:szCs w:val="20"/>
                <w:color w:val="auto"/>
              </w:rPr>
            </w:pPr>
            <w:r>
              <w:rPr>
                <w:rFonts w:ascii="Arial" w:cs="Arial" w:eastAsia="Arial" w:hAnsi="Arial"/>
                <w:sz w:val="18"/>
                <w:szCs w:val="18"/>
                <w:color w:val="auto"/>
              </w:rPr>
              <w:t>(0.3)</w:t>
            </w:r>
          </w:p>
        </w:tc>
        <w:tc>
          <w:tcPr>
            <w:tcW w:w="420" w:type="dxa"/>
            <w:vAlign w:val="bottom"/>
          </w:tcPr>
          <w:p>
            <w:pPr>
              <w:spacing w:after="0"/>
              <w:rPr>
                <w:sz w:val="17"/>
                <w:szCs w:val="17"/>
                <w:color w:val="auto"/>
              </w:rPr>
            </w:pPr>
          </w:p>
        </w:tc>
        <w:tc>
          <w:tcPr>
            <w:tcW w:w="7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4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Amortization expense</w:t>
            </w:r>
          </w:p>
        </w:tc>
        <w:tc>
          <w:tcPr>
            <w:tcW w:w="1350" w:type="dxa"/>
            <w:vAlign w:val="bottom"/>
            <w:shd w:val="clear" w:color="auto" w:fill="E6E6E6"/>
          </w:tcPr>
          <w:p>
            <w:pPr>
              <w:spacing w:after="0"/>
              <w:rPr>
                <w:sz w:val="17"/>
                <w:szCs w:val="17"/>
                <w:color w:val="auto"/>
              </w:rPr>
            </w:pPr>
          </w:p>
        </w:tc>
        <w:tc>
          <w:tcPr>
            <w:tcW w:w="1250" w:type="dxa"/>
            <w:vAlign w:val="bottom"/>
            <w:shd w:val="clear" w:color="auto" w:fill="E6E6E6"/>
          </w:tcPr>
          <w:p>
            <w:pPr>
              <w:jc w:val="right"/>
              <w:ind w:right="194"/>
              <w:spacing w:after="0" w:line="202" w:lineRule="exact"/>
              <w:rPr>
                <w:sz w:val="20"/>
                <w:szCs w:val="20"/>
                <w:color w:val="auto"/>
              </w:rPr>
            </w:pPr>
            <w:r>
              <w:rPr>
                <w:rFonts w:ascii="Arial" w:cs="Arial" w:eastAsia="Arial" w:hAnsi="Arial"/>
                <w:sz w:val="18"/>
                <w:szCs w:val="18"/>
                <w:color w:val="auto"/>
              </w:rPr>
              <w:t>(0.2)</w:t>
            </w:r>
          </w:p>
        </w:tc>
        <w:tc>
          <w:tcPr>
            <w:tcW w:w="420" w:type="dxa"/>
            <w:vAlign w:val="bottom"/>
            <w:shd w:val="clear" w:color="auto" w:fill="E6E6E6"/>
          </w:tcPr>
          <w:p>
            <w:pPr>
              <w:spacing w:after="0"/>
              <w:rPr>
                <w:sz w:val="17"/>
                <w:szCs w:val="17"/>
                <w:color w:val="auto"/>
              </w:rPr>
            </w:pPr>
          </w:p>
        </w:tc>
        <w:tc>
          <w:tcPr>
            <w:tcW w:w="74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(0.1)</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7660" w:type="dxa"/>
            <w:vAlign w:val="bottom"/>
            <w:gridSpan w:val="2"/>
          </w:tcPr>
          <w:p>
            <w:pPr>
              <w:spacing w:after="0"/>
              <w:rPr>
                <w:sz w:val="20"/>
                <w:szCs w:val="20"/>
                <w:color w:val="auto"/>
              </w:rPr>
            </w:pPr>
            <w:r>
              <w:rPr>
                <w:rFonts w:ascii="Arial" w:cs="Arial" w:eastAsia="Arial" w:hAnsi="Arial"/>
                <w:sz w:val="18"/>
                <w:szCs w:val="18"/>
                <w:color w:val="auto"/>
              </w:rPr>
              <w:t>Foreign currency translation</w:t>
            </w:r>
          </w:p>
        </w:tc>
        <w:tc>
          <w:tcPr>
            <w:tcW w:w="1350" w:type="dxa"/>
            <w:vAlign w:val="bottom"/>
          </w:tcPr>
          <w:p>
            <w:pPr>
              <w:spacing w:after="0"/>
              <w:rPr>
                <w:sz w:val="18"/>
                <w:szCs w:val="18"/>
                <w:color w:val="auto"/>
              </w:rPr>
            </w:pPr>
          </w:p>
        </w:tc>
        <w:tc>
          <w:tcPr>
            <w:tcW w:w="1250" w:type="dxa"/>
            <w:vAlign w:val="bottom"/>
          </w:tcPr>
          <w:p>
            <w:pPr>
              <w:jc w:val="right"/>
              <w:ind w:right="194"/>
              <w:spacing w:after="0"/>
              <w:rPr>
                <w:sz w:val="20"/>
                <w:szCs w:val="20"/>
                <w:color w:val="auto"/>
              </w:rPr>
            </w:pPr>
            <w:r>
              <w:rPr>
                <w:rFonts w:ascii="Arial" w:cs="Arial" w:eastAsia="Arial" w:hAnsi="Arial"/>
                <w:sz w:val="18"/>
                <w:szCs w:val="18"/>
                <w:color w:val="auto"/>
              </w:rPr>
              <w:t>(0.1)</w:t>
            </w:r>
          </w:p>
        </w:tc>
        <w:tc>
          <w:tcPr>
            <w:tcW w:w="42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7640" w:type="dxa"/>
            <w:vAlign w:val="bottom"/>
            <w:tcBorders>
              <w:bottom w:val="single" w:sz="8" w:color="808080"/>
            </w:tcBorders>
          </w:tcPr>
          <w:p>
            <w:pPr>
              <w:spacing w:after="0"/>
              <w:rPr>
                <w:sz w:val="8"/>
                <w:szCs w:val="8"/>
                <w:color w:val="auto"/>
              </w:rPr>
            </w:pPr>
          </w:p>
        </w:tc>
        <w:tc>
          <w:tcPr>
            <w:tcW w:w="1350" w:type="dxa"/>
            <w:vAlign w:val="bottom"/>
            <w:tcBorders>
              <w:bottom w:val="single" w:sz="8" w:color="808080"/>
            </w:tcBorders>
          </w:tcPr>
          <w:p>
            <w:pPr>
              <w:spacing w:after="0"/>
              <w:rPr>
                <w:sz w:val="8"/>
                <w:szCs w:val="8"/>
                <w:color w:val="auto"/>
              </w:rPr>
            </w:pPr>
          </w:p>
        </w:tc>
        <w:tc>
          <w:tcPr>
            <w:tcW w:w="125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640" w:type="dxa"/>
            <w:vAlign w:val="bottom"/>
          </w:tcPr>
          <w:p>
            <w:pPr>
              <w:spacing w:after="0"/>
              <w:rPr>
                <w:sz w:val="8"/>
                <w:szCs w:val="8"/>
                <w:color w:val="auto"/>
              </w:rPr>
            </w:pPr>
          </w:p>
        </w:tc>
        <w:tc>
          <w:tcPr>
            <w:tcW w:w="1350" w:type="dxa"/>
            <w:vAlign w:val="bottom"/>
          </w:tcPr>
          <w:p>
            <w:pPr>
              <w:spacing w:after="0"/>
              <w:rPr>
                <w:sz w:val="8"/>
                <w:szCs w:val="8"/>
                <w:color w:val="auto"/>
              </w:rPr>
            </w:pPr>
          </w:p>
        </w:tc>
        <w:tc>
          <w:tcPr>
            <w:tcW w:w="125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40" w:type="dxa"/>
            <w:vAlign w:val="bottom"/>
            <w:shd w:val="clear" w:color="auto" w:fill="E6E6E6"/>
          </w:tcPr>
          <w:p>
            <w:pPr>
              <w:ind w:left="140"/>
              <w:spacing w:after="0" w:line="202" w:lineRule="exact"/>
              <w:rPr>
                <w:sz w:val="20"/>
                <w:szCs w:val="20"/>
                <w:color w:val="auto"/>
              </w:rPr>
            </w:pPr>
            <w:r>
              <w:rPr>
                <w:rFonts w:ascii="Arial" w:cs="Arial" w:eastAsia="Arial" w:hAnsi="Arial"/>
                <w:sz w:val="18"/>
                <w:szCs w:val="18"/>
                <w:color w:val="auto"/>
              </w:rPr>
              <w:t>Customer lists, net of accumulated amortization of $1.1 and $0.9, respectively</w:t>
            </w:r>
          </w:p>
        </w:tc>
        <w:tc>
          <w:tcPr>
            <w:tcW w:w="135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w:t>
            </w:r>
          </w:p>
        </w:tc>
        <w:tc>
          <w:tcPr>
            <w:tcW w:w="1250" w:type="dxa"/>
            <w:vAlign w:val="bottom"/>
            <w:shd w:val="clear" w:color="auto" w:fill="E6E6E6"/>
          </w:tcPr>
          <w:p>
            <w:pPr>
              <w:jc w:val="right"/>
              <w:ind w:right="254"/>
              <w:spacing w:after="0" w:line="202" w:lineRule="exact"/>
              <w:rPr>
                <w:sz w:val="20"/>
                <w:szCs w:val="20"/>
                <w:color w:val="auto"/>
              </w:rPr>
            </w:pPr>
            <w:r>
              <w:rPr>
                <w:rFonts w:ascii="Arial" w:cs="Arial" w:eastAsia="Arial" w:hAnsi="Arial"/>
                <w:sz w:val="18"/>
                <w:szCs w:val="18"/>
                <w:color w:val="auto"/>
              </w:rPr>
              <w:t>0.8</w:t>
            </w:r>
          </w:p>
        </w:tc>
        <w:tc>
          <w:tcPr>
            <w:tcW w:w="420" w:type="dxa"/>
            <w:vAlign w:val="bottom"/>
            <w:shd w:val="clear" w:color="auto" w:fill="E6E6E6"/>
          </w:tcPr>
          <w:p>
            <w:pPr>
              <w:jc w:val="right"/>
              <w:ind w:right="232"/>
              <w:spacing w:after="0" w:line="202" w:lineRule="exact"/>
              <w:rPr>
                <w:sz w:val="20"/>
                <w:szCs w:val="20"/>
                <w:color w:val="auto"/>
              </w:rPr>
            </w:pPr>
            <w:r>
              <w:rPr>
                <w:rFonts w:ascii="Arial" w:cs="Arial" w:eastAsia="Arial" w:hAnsi="Arial"/>
                <w:sz w:val="18"/>
                <w:szCs w:val="18"/>
                <w:color w:val="auto"/>
                <w:w w:val="79"/>
              </w:rPr>
              <w:t>$</w:t>
            </w:r>
          </w:p>
        </w:tc>
        <w:tc>
          <w:tcPr>
            <w:tcW w:w="740" w:type="dxa"/>
            <w:vAlign w:val="bottom"/>
            <w:shd w:val="clear" w:color="auto" w:fill="E6E6E6"/>
          </w:tcPr>
          <w:p>
            <w:pPr>
              <w:jc w:val="right"/>
              <w:ind w:right="34"/>
              <w:spacing w:after="0" w:line="202" w:lineRule="exact"/>
              <w:rPr>
                <w:sz w:val="20"/>
                <w:szCs w:val="20"/>
                <w:color w:val="auto"/>
              </w:rPr>
            </w:pPr>
            <w:r>
              <w:rPr>
                <w:rFonts w:ascii="Arial" w:cs="Arial" w:eastAsia="Arial" w:hAnsi="Arial"/>
                <w:sz w:val="18"/>
                <w:szCs w:val="18"/>
                <w:color w:val="auto"/>
              </w:rPr>
              <w:t>0.1</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640" w:type="dxa"/>
            <w:vAlign w:val="bottom"/>
            <w:tcBorders>
              <w:bottom w:val="single" w:sz="8" w:color="808080"/>
            </w:tcBorders>
          </w:tcPr>
          <w:p>
            <w:pPr>
              <w:spacing w:after="0"/>
              <w:rPr>
                <w:sz w:val="9"/>
                <w:szCs w:val="9"/>
                <w:color w:val="auto"/>
              </w:rPr>
            </w:pPr>
          </w:p>
        </w:tc>
        <w:tc>
          <w:tcPr>
            <w:tcW w:w="1350" w:type="dxa"/>
            <w:vAlign w:val="bottom"/>
            <w:tcBorders>
              <w:bottom w:val="single" w:sz="8" w:color="808080"/>
            </w:tcBorders>
          </w:tcPr>
          <w:p>
            <w:pPr>
              <w:spacing w:after="0"/>
              <w:rPr>
                <w:sz w:val="9"/>
                <w:szCs w:val="9"/>
                <w:color w:val="auto"/>
              </w:rPr>
            </w:pPr>
          </w:p>
        </w:tc>
        <w:tc>
          <w:tcPr>
            <w:tcW w:w="125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4"/>
        </w:trPr>
        <w:tc>
          <w:tcPr>
            <w:tcW w:w="7660" w:type="dxa"/>
            <w:vAlign w:val="bottom"/>
            <w:gridSpan w:val="2"/>
          </w:tcPr>
          <w:p>
            <w:pPr>
              <w:spacing w:after="0"/>
              <w:rPr>
                <w:sz w:val="20"/>
                <w:szCs w:val="20"/>
                <w:color w:val="auto"/>
              </w:rPr>
            </w:pPr>
            <w:r>
              <w:rPr>
                <w:rFonts w:ascii="Arial" w:cs="Arial" w:eastAsia="Arial" w:hAnsi="Arial"/>
                <w:sz w:val="18"/>
                <w:szCs w:val="18"/>
                <w:color w:val="auto"/>
              </w:rPr>
              <w:t>Beginning balance</w:t>
            </w:r>
          </w:p>
        </w:tc>
        <w:tc>
          <w:tcPr>
            <w:tcW w:w="1350" w:type="dxa"/>
            <w:vAlign w:val="bottom"/>
          </w:tcPr>
          <w:p>
            <w:pPr>
              <w:jc w:val="right"/>
              <w:spacing w:after="0"/>
              <w:rPr>
                <w:sz w:val="20"/>
                <w:szCs w:val="20"/>
                <w:color w:val="auto"/>
              </w:rPr>
            </w:pPr>
            <w:r>
              <w:rPr>
                <w:rFonts w:ascii="Arial" w:cs="Arial" w:eastAsia="Arial" w:hAnsi="Arial"/>
                <w:sz w:val="18"/>
                <w:szCs w:val="18"/>
                <w:color w:val="auto"/>
              </w:rPr>
              <w:t>$</w:t>
            </w:r>
          </w:p>
        </w:tc>
        <w:tc>
          <w:tcPr>
            <w:tcW w:w="1250" w:type="dxa"/>
            <w:vAlign w:val="bottom"/>
          </w:tcPr>
          <w:p>
            <w:pPr>
              <w:jc w:val="right"/>
              <w:ind w:right="254"/>
              <w:spacing w:after="0"/>
              <w:rPr>
                <w:sz w:val="20"/>
                <w:szCs w:val="20"/>
                <w:color w:val="auto"/>
              </w:rPr>
            </w:pPr>
            <w:r>
              <w:rPr>
                <w:rFonts w:ascii="Arial" w:cs="Arial" w:eastAsia="Arial" w:hAnsi="Arial"/>
                <w:sz w:val="18"/>
                <w:szCs w:val="18"/>
                <w:color w:val="auto"/>
              </w:rPr>
              <w:t>2.8</w:t>
            </w:r>
          </w:p>
        </w:tc>
        <w:tc>
          <w:tcPr>
            <w:tcW w:w="420" w:type="dxa"/>
            <w:vAlign w:val="bottom"/>
          </w:tcPr>
          <w:p>
            <w:pPr>
              <w:jc w:val="right"/>
              <w:ind w:right="232"/>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ind w:right="34"/>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4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Amortization expense</w:t>
            </w:r>
          </w:p>
        </w:tc>
        <w:tc>
          <w:tcPr>
            <w:tcW w:w="1350" w:type="dxa"/>
            <w:vAlign w:val="bottom"/>
            <w:shd w:val="clear" w:color="auto" w:fill="E6E6E6"/>
          </w:tcPr>
          <w:p>
            <w:pPr>
              <w:spacing w:after="0"/>
              <w:rPr>
                <w:sz w:val="17"/>
                <w:szCs w:val="17"/>
                <w:color w:val="auto"/>
              </w:rPr>
            </w:pPr>
          </w:p>
        </w:tc>
        <w:tc>
          <w:tcPr>
            <w:tcW w:w="1250" w:type="dxa"/>
            <w:vAlign w:val="bottom"/>
            <w:shd w:val="clear" w:color="auto" w:fill="E6E6E6"/>
          </w:tcPr>
          <w:p>
            <w:pPr>
              <w:jc w:val="right"/>
              <w:ind w:right="194"/>
              <w:spacing w:after="0" w:line="202" w:lineRule="exact"/>
              <w:rPr>
                <w:sz w:val="20"/>
                <w:szCs w:val="20"/>
                <w:color w:val="auto"/>
              </w:rPr>
            </w:pPr>
            <w:r>
              <w:rPr>
                <w:rFonts w:ascii="Arial" w:cs="Arial" w:eastAsia="Arial" w:hAnsi="Arial"/>
                <w:sz w:val="18"/>
                <w:szCs w:val="18"/>
                <w:color w:val="auto"/>
              </w:rPr>
              <w:t>(0.6)</w:t>
            </w:r>
          </w:p>
        </w:tc>
        <w:tc>
          <w:tcPr>
            <w:tcW w:w="420" w:type="dxa"/>
            <w:vAlign w:val="bottom"/>
            <w:shd w:val="clear" w:color="auto" w:fill="E6E6E6"/>
          </w:tcPr>
          <w:p>
            <w:pPr>
              <w:spacing w:after="0"/>
              <w:rPr>
                <w:sz w:val="17"/>
                <w:szCs w:val="17"/>
                <w:color w:val="auto"/>
              </w:rPr>
            </w:pPr>
          </w:p>
        </w:tc>
        <w:tc>
          <w:tcPr>
            <w:tcW w:w="74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(0.5)</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640" w:type="dxa"/>
            <w:vAlign w:val="bottom"/>
            <w:tcBorders>
              <w:bottom w:val="single" w:sz="8" w:color="808080"/>
            </w:tcBorders>
          </w:tcPr>
          <w:p>
            <w:pPr>
              <w:spacing w:after="0"/>
              <w:rPr>
                <w:sz w:val="9"/>
                <w:szCs w:val="9"/>
                <w:color w:val="auto"/>
              </w:rPr>
            </w:pPr>
          </w:p>
        </w:tc>
        <w:tc>
          <w:tcPr>
            <w:tcW w:w="1350" w:type="dxa"/>
            <w:vAlign w:val="bottom"/>
            <w:tcBorders>
              <w:bottom w:val="single" w:sz="8" w:color="808080"/>
            </w:tcBorders>
          </w:tcPr>
          <w:p>
            <w:pPr>
              <w:spacing w:after="0"/>
              <w:rPr>
                <w:sz w:val="9"/>
                <w:szCs w:val="9"/>
                <w:color w:val="auto"/>
              </w:rPr>
            </w:pPr>
          </w:p>
        </w:tc>
        <w:tc>
          <w:tcPr>
            <w:tcW w:w="125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7640" w:type="dxa"/>
            <w:vAlign w:val="bottom"/>
          </w:tcPr>
          <w:p>
            <w:pPr>
              <w:ind w:left="140"/>
              <w:spacing w:after="0"/>
              <w:rPr>
                <w:sz w:val="20"/>
                <w:szCs w:val="20"/>
                <w:color w:val="auto"/>
              </w:rPr>
            </w:pPr>
            <w:r>
              <w:rPr>
                <w:rFonts w:ascii="Arial" w:cs="Arial" w:eastAsia="Arial" w:hAnsi="Arial"/>
                <w:sz w:val="18"/>
                <w:szCs w:val="18"/>
                <w:color w:val="auto"/>
              </w:rPr>
              <w:t>Other intangibles, net of accumulated amortization of $6.2 and $5.6, respectively</w:t>
            </w:r>
          </w:p>
        </w:tc>
        <w:tc>
          <w:tcPr>
            <w:tcW w:w="1350" w:type="dxa"/>
            <w:vAlign w:val="bottom"/>
          </w:tcPr>
          <w:p>
            <w:pPr>
              <w:jc w:val="right"/>
              <w:spacing w:after="0"/>
              <w:rPr>
                <w:sz w:val="20"/>
                <w:szCs w:val="20"/>
                <w:color w:val="auto"/>
              </w:rPr>
            </w:pPr>
            <w:r>
              <w:rPr>
                <w:rFonts w:ascii="Arial" w:cs="Arial" w:eastAsia="Arial" w:hAnsi="Arial"/>
                <w:sz w:val="18"/>
                <w:szCs w:val="18"/>
                <w:color w:val="auto"/>
              </w:rPr>
              <w:t>$</w:t>
            </w:r>
          </w:p>
        </w:tc>
        <w:tc>
          <w:tcPr>
            <w:tcW w:w="1250" w:type="dxa"/>
            <w:vAlign w:val="bottom"/>
          </w:tcPr>
          <w:p>
            <w:pPr>
              <w:jc w:val="right"/>
              <w:ind w:right="254"/>
              <w:spacing w:after="0"/>
              <w:rPr>
                <w:sz w:val="20"/>
                <w:szCs w:val="20"/>
                <w:color w:val="auto"/>
              </w:rPr>
            </w:pPr>
            <w:r>
              <w:rPr>
                <w:rFonts w:ascii="Arial" w:cs="Arial" w:eastAsia="Arial" w:hAnsi="Arial"/>
                <w:sz w:val="18"/>
                <w:szCs w:val="18"/>
                <w:color w:val="auto"/>
              </w:rPr>
              <w:t>2.2</w:t>
            </w:r>
          </w:p>
        </w:tc>
        <w:tc>
          <w:tcPr>
            <w:tcW w:w="420" w:type="dxa"/>
            <w:vAlign w:val="bottom"/>
          </w:tcPr>
          <w:p>
            <w:pPr>
              <w:jc w:val="right"/>
              <w:ind w:right="232"/>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ind w:right="34"/>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7660" w:type="dxa"/>
            <w:vAlign w:val="bottom"/>
            <w:gridSpan w:val="2"/>
          </w:tcPr>
          <w:p>
            <w:pPr>
              <w:spacing w:after="0"/>
              <w:rPr>
                <w:sz w:val="8"/>
                <w:szCs w:val="8"/>
                <w:color w:val="auto"/>
              </w:rPr>
            </w:pPr>
          </w:p>
        </w:tc>
        <w:tc>
          <w:tcPr>
            <w:tcW w:w="1350" w:type="dxa"/>
            <w:vAlign w:val="bottom"/>
          </w:tcPr>
          <w:p>
            <w:pPr>
              <w:spacing w:after="0"/>
              <w:rPr>
                <w:sz w:val="8"/>
                <w:szCs w:val="8"/>
                <w:color w:val="auto"/>
              </w:rPr>
            </w:pPr>
          </w:p>
        </w:tc>
        <w:tc>
          <w:tcPr>
            <w:tcW w:w="125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640" w:type="dxa"/>
            <w:vAlign w:val="bottom"/>
            <w:tcBorders>
              <w:top w:val="single" w:sz="8" w:color="808080"/>
            </w:tcBorders>
          </w:tcPr>
          <w:p>
            <w:pPr>
              <w:spacing w:after="0"/>
              <w:rPr>
                <w:sz w:val="8"/>
                <w:szCs w:val="8"/>
                <w:color w:val="auto"/>
              </w:rPr>
            </w:pPr>
          </w:p>
        </w:tc>
        <w:tc>
          <w:tcPr>
            <w:tcW w:w="1350" w:type="dxa"/>
            <w:vAlign w:val="bottom"/>
            <w:tcBorders>
              <w:top w:val="single" w:sz="8" w:color="808080"/>
            </w:tcBorders>
          </w:tcPr>
          <w:p>
            <w:pPr>
              <w:spacing w:after="0"/>
              <w:rPr>
                <w:sz w:val="8"/>
                <w:szCs w:val="8"/>
                <w:color w:val="auto"/>
              </w:rPr>
            </w:pPr>
          </w:p>
        </w:tc>
        <w:tc>
          <w:tcPr>
            <w:tcW w:w="1250" w:type="dxa"/>
            <w:vAlign w:val="bottom"/>
            <w:tcBorders>
              <w:top w:val="single" w:sz="8" w:color="808080"/>
            </w:tcBorders>
          </w:tcPr>
          <w:p>
            <w:pPr>
              <w:spacing w:after="0"/>
              <w:rPr>
                <w:sz w:val="8"/>
                <w:szCs w:val="8"/>
                <w:color w:val="auto"/>
              </w:rPr>
            </w:pPr>
          </w:p>
        </w:tc>
        <w:tc>
          <w:tcPr>
            <w:tcW w:w="420" w:type="dxa"/>
            <w:vAlign w:val="bottom"/>
            <w:tcBorders>
              <w:top w:val="single" w:sz="8" w:color="808080"/>
            </w:tcBorders>
          </w:tcPr>
          <w:p>
            <w:pPr>
              <w:spacing w:after="0"/>
              <w:rPr>
                <w:sz w:val="8"/>
                <w:szCs w:val="8"/>
                <w:color w:val="auto"/>
              </w:rPr>
            </w:pPr>
          </w:p>
        </w:tc>
        <w:tc>
          <w:tcPr>
            <w:tcW w:w="740" w:type="dxa"/>
            <w:vAlign w:val="bottom"/>
            <w:tcBorders>
              <w:top w:val="single" w:sz="8" w:color="808080"/>
            </w:tcBorders>
          </w:tcPr>
          <w:p>
            <w:pPr>
              <w:spacing w:after="0"/>
              <w:rPr>
                <w:sz w:val="8"/>
                <w:szCs w:val="8"/>
                <w:color w:val="auto"/>
              </w:rPr>
            </w:pPr>
          </w:p>
        </w:tc>
        <w:tc>
          <w:tcPr>
            <w:tcW w:w="20" w:type="dxa"/>
            <w:vAlign w:val="bottom"/>
            <w:tcBorders>
              <w:top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640" w:type="dxa"/>
            <w:vAlign w:val="bottom"/>
            <w:shd w:val="clear" w:color="auto" w:fill="E6E6E6"/>
          </w:tcPr>
          <w:p>
            <w:pPr>
              <w:spacing w:after="0" w:line="202" w:lineRule="exact"/>
              <w:rPr>
                <w:sz w:val="20"/>
                <w:szCs w:val="20"/>
                <w:color w:val="auto"/>
              </w:rPr>
            </w:pPr>
            <w:r>
              <w:rPr>
                <w:rFonts w:ascii="Arial" w:cs="Arial" w:eastAsia="Arial" w:hAnsi="Arial"/>
                <w:sz w:val="18"/>
                <w:szCs w:val="18"/>
                <w:b w:val="1"/>
                <w:bCs w:val="1"/>
                <w:color w:val="auto"/>
              </w:rPr>
              <w:t>Total</w:t>
            </w:r>
          </w:p>
        </w:tc>
        <w:tc>
          <w:tcPr>
            <w:tcW w:w="135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1250" w:type="dxa"/>
            <w:vAlign w:val="bottom"/>
            <w:shd w:val="clear" w:color="auto" w:fill="E6E6E6"/>
          </w:tcPr>
          <w:p>
            <w:pPr>
              <w:jc w:val="right"/>
              <w:ind w:right="254"/>
              <w:spacing w:after="0" w:line="202" w:lineRule="exact"/>
              <w:rPr>
                <w:sz w:val="20"/>
                <w:szCs w:val="20"/>
                <w:color w:val="auto"/>
              </w:rPr>
            </w:pPr>
            <w:r>
              <w:rPr>
                <w:rFonts w:ascii="Arial" w:cs="Arial" w:eastAsia="Arial" w:hAnsi="Arial"/>
                <w:sz w:val="18"/>
                <w:szCs w:val="18"/>
                <w:b w:val="1"/>
                <w:bCs w:val="1"/>
                <w:color w:val="auto"/>
              </w:rPr>
              <w:t>3.0</w:t>
            </w:r>
          </w:p>
        </w:tc>
        <w:tc>
          <w:tcPr>
            <w:tcW w:w="420" w:type="dxa"/>
            <w:vAlign w:val="bottom"/>
            <w:shd w:val="clear" w:color="auto" w:fill="E6E6E6"/>
          </w:tcPr>
          <w:p>
            <w:pPr>
              <w:jc w:val="right"/>
              <w:ind w:right="232"/>
              <w:spacing w:after="0" w:line="202" w:lineRule="exact"/>
              <w:rPr>
                <w:sz w:val="20"/>
                <w:szCs w:val="20"/>
                <w:color w:val="auto"/>
              </w:rPr>
            </w:pPr>
            <w:r>
              <w:rPr>
                <w:rFonts w:ascii="Arial" w:cs="Arial" w:eastAsia="Arial" w:hAnsi="Arial"/>
                <w:sz w:val="18"/>
                <w:szCs w:val="18"/>
                <w:b w:val="1"/>
                <w:bCs w:val="1"/>
                <w:color w:val="auto"/>
                <w:w w:val="79"/>
              </w:rPr>
              <w:t>$</w:t>
            </w:r>
          </w:p>
        </w:tc>
        <w:tc>
          <w:tcPr>
            <w:tcW w:w="740" w:type="dxa"/>
            <w:vAlign w:val="bottom"/>
            <w:shd w:val="clear" w:color="auto" w:fill="E6E6E6"/>
          </w:tcPr>
          <w:p>
            <w:pPr>
              <w:jc w:val="right"/>
              <w:ind w:right="34"/>
              <w:spacing w:after="0" w:line="202" w:lineRule="exact"/>
              <w:rPr>
                <w:sz w:val="20"/>
                <w:szCs w:val="20"/>
                <w:color w:val="auto"/>
              </w:rPr>
            </w:pPr>
            <w:r>
              <w:rPr>
                <w:rFonts w:ascii="Arial" w:cs="Arial" w:eastAsia="Arial" w:hAnsi="Arial"/>
                <w:sz w:val="18"/>
                <w:szCs w:val="18"/>
                <w:b w:val="1"/>
                <w:bCs w:val="1"/>
                <w:color w:val="auto"/>
              </w:rPr>
              <w:t>2.9</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7640" w:type="dxa"/>
            <w:vAlign w:val="bottom"/>
            <w:tcBorders>
              <w:bottom w:val="single" w:sz="8" w:color="808080"/>
            </w:tcBorders>
          </w:tcPr>
          <w:p>
            <w:pPr>
              <w:spacing w:after="0"/>
              <w:rPr>
                <w:sz w:val="11"/>
                <w:szCs w:val="11"/>
                <w:color w:val="auto"/>
              </w:rPr>
            </w:pPr>
          </w:p>
        </w:tc>
        <w:tc>
          <w:tcPr>
            <w:tcW w:w="1350" w:type="dxa"/>
            <w:vAlign w:val="bottom"/>
            <w:tcBorders>
              <w:bottom w:val="single" w:sz="8" w:color="808080"/>
            </w:tcBorders>
          </w:tcPr>
          <w:p>
            <w:pPr>
              <w:spacing w:after="0"/>
              <w:rPr>
                <w:sz w:val="11"/>
                <w:szCs w:val="11"/>
                <w:color w:val="auto"/>
              </w:rPr>
            </w:pPr>
          </w:p>
        </w:tc>
        <w:tc>
          <w:tcPr>
            <w:tcW w:w="1250" w:type="dxa"/>
            <w:vAlign w:val="bottom"/>
            <w:tcBorders>
              <w:bottom w:val="single" w:sz="8" w:color="808080"/>
            </w:tcBorders>
          </w:tcPr>
          <w:p>
            <w:pPr>
              <w:spacing w:after="0"/>
              <w:rPr>
                <w:sz w:val="11"/>
                <w:szCs w:val="11"/>
                <w:color w:val="auto"/>
              </w:rPr>
            </w:pPr>
          </w:p>
        </w:tc>
        <w:tc>
          <w:tcPr>
            <w:tcW w:w="420" w:type="dxa"/>
            <w:vAlign w:val="bottom"/>
            <w:tcBorders>
              <w:bottom w:val="single" w:sz="8" w:color="808080"/>
            </w:tcBorders>
          </w:tcPr>
          <w:p>
            <w:pPr>
              <w:spacing w:after="0"/>
              <w:rPr>
                <w:sz w:val="11"/>
                <w:szCs w:val="11"/>
                <w:color w:val="auto"/>
              </w:rPr>
            </w:pPr>
          </w:p>
        </w:tc>
        <w:tc>
          <w:tcPr>
            <w:tcW w:w="7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-29210</wp:posOffset>
            </wp:positionV>
            <wp:extent cx="12700" cy="2984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-29210</wp:posOffset>
            </wp:positionV>
            <wp:extent cx="12700" cy="2984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-29210</wp:posOffset>
            </wp:positionV>
            <wp:extent cx="12700" cy="2984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-29210</wp:posOffset>
            </wp:positionV>
            <wp:extent cx="12700" cy="2984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-29210</wp:posOffset>
            </wp:positionV>
            <wp:extent cx="12700" cy="2984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-29210</wp:posOffset>
            </wp:positionV>
            <wp:extent cx="12700" cy="2984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-29210</wp:posOffset>
            </wp:positionV>
            <wp:extent cx="12700" cy="2984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93"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Amortization expense for Other intangibles totaled $0.8, $0.6 and $2.5 for the fiscal years ended May 31, 2010, 2009 and 2008, respectively. Amortization expense for these assets is currently estimated to total $0.8 for the fiscal year ending May 31, 2011, $0.7 for fiscal years ending May 31, 2012 and 2013, $0.2 for the fiscal year ending May 31, 2014 and $0.1 for the fiscal year ending May 31, 2015. Intangible assets with definite lives consist principally of customer lists and covenants not to compete. Intangible assets with definite lives are amortized over their estimated useful lives.</w:t>
      </w:r>
    </w:p>
    <w:p>
      <w:pPr>
        <w:spacing w:after="0" w:line="167" w:lineRule="exact"/>
        <w:rPr>
          <w:sz w:val="20"/>
          <w:szCs w:val="20"/>
          <w:color w:val="auto"/>
        </w:rPr>
      </w:pPr>
    </w:p>
    <w:p>
      <w:pPr>
        <w:ind w:right="200"/>
        <w:spacing w:after="0" w:line="294" w:lineRule="auto"/>
        <w:rPr>
          <w:sz w:val="20"/>
          <w:szCs w:val="20"/>
          <w:color w:val="auto"/>
        </w:rPr>
      </w:pPr>
      <w:r>
        <w:rPr>
          <w:rFonts w:ascii="Arial" w:cs="Arial" w:eastAsia="Arial" w:hAnsi="Arial"/>
          <w:sz w:val="16"/>
          <w:szCs w:val="16"/>
          <w:color w:val="auto"/>
        </w:rPr>
        <w:t>During the first quarter of fiscal 2010, the Company and its joint venture partner terminated a book distribution joint venture in the United Kingdom. As a result of this transaction, the Company received a portion of the business and a related customer list previously held by the joint venture, in exchange for the partial forgiveness of amounts owed to the Company by the joint venture and related entities. The Company recognized this customer list in the first quarter of fiscal 2010 with a carrying value of $5.1, which the Company intended to operate apart from its existing customer list. In the second quarter of fiscal 2010, the Company determined that, to maximize profitability, the acquired customer list should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2663825</wp:posOffset>
            </wp:positionH>
            <wp:positionV relativeFrom="paragraph">
              <wp:posOffset>113030</wp:posOffset>
            </wp:positionV>
            <wp:extent cx="1929765" cy="23177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1929765" cy="231775"/>
                    </a:xfrm>
                    <a:prstGeom prst="rect">
                      <a:avLst/>
                    </a:prstGeom>
                    <a:noFill/>
                  </pic:spPr>
                </pic:pic>
              </a:graphicData>
            </a:graphic>
          </wp:anchor>
        </w:drawing>
      </w:r>
    </w:p>
    <w:p>
      <w:pPr>
        <w:sectPr>
          <w:pgSz w:w="11900" w:h="16838" w:orient="portrait"/>
          <w:cols w:equalWidth="0" w:num="1">
            <w:col w:w="11460"/>
          </w:cols>
          <w:pgMar w:left="240" w:top="827" w:right="199" w:bottom="13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67575" cy="3873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60"/>
          </w:cols>
          <w:pgMar w:left="240" w:top="827" w:right="199" w:bottom="136" w:gutter="0" w:footer="0" w:header="0"/>
          <w:type w:val="continuous"/>
        </w:sectPr>
      </w:pPr>
    </w:p>
    <w:bookmarkStart w:id="62" w:name="page63"/>
    <w:bookmarkEnd w:id="62"/>
    <w:p>
      <w:pPr>
        <w:ind w:right="10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7263765" cy="8890"/>
                    </a:xfrm>
                    <a:prstGeom prst="rect">
                      <a:avLst/>
                    </a:prstGeom>
                    <a:noFill/>
                  </pic:spPr>
                </pic:pic>
              </a:graphicData>
            </a:graphic>
          </wp:anchor>
        </w:drawing>
        <w:t>ultimately be combined with its existing customer list. As a result, the Company assessed this customer list for impairment and determined that the customer list was impaired based upon the highest and best use for this asset. This assessment incorporated internally developed cash flow projections to measure fair value, as market data for this asset is not readily available. Accordingly, the Company recognized an impairment charge in the second quarter of fiscal 2010 related to this asset of $3.8.</w:t>
      </w:r>
    </w:p>
    <w:p>
      <w:pPr>
        <w:spacing w:after="0" w:line="197"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 xml:space="preserve">The Company implemented certain strategic initiatives during fiscal 2010 to centralize publishing efforts within the </w:t>
      </w:r>
      <w:r>
        <w:rPr>
          <w:rFonts w:ascii="Arial" w:cs="Arial" w:eastAsia="Arial" w:hAnsi="Arial"/>
          <w:sz w:val="18"/>
          <w:szCs w:val="18"/>
          <w:i w:val="1"/>
          <w:iCs w:val="1"/>
          <w:color w:val="auto"/>
        </w:rPr>
        <w:t>Children’s Book Publishing and Distribution</w:t>
      </w:r>
      <w:r>
        <w:rPr>
          <w:rFonts w:ascii="Arial" w:cs="Arial" w:eastAsia="Arial" w:hAnsi="Arial"/>
          <w:sz w:val="18"/>
          <w:szCs w:val="18"/>
          <w:color w:val="auto"/>
        </w:rPr>
        <w:t xml:space="preserve"> segment. These initiatives included the elimination of the front list for certain library-specific titles. The Company will continue to serve the library market through other channels, notably the trade channel within the </w:t>
      </w:r>
      <w:r>
        <w:rPr>
          <w:rFonts w:ascii="Arial" w:cs="Arial" w:eastAsia="Arial" w:hAnsi="Arial"/>
          <w:sz w:val="18"/>
          <w:szCs w:val="18"/>
          <w:i w:val="1"/>
          <w:iCs w:val="1"/>
          <w:color w:val="auto"/>
        </w:rPr>
        <w:t>Children’s Book Publishing and Distribution</w:t>
      </w:r>
      <w:r>
        <w:rPr>
          <w:rFonts w:ascii="Arial" w:cs="Arial" w:eastAsia="Arial" w:hAnsi="Arial"/>
          <w:sz w:val="18"/>
          <w:szCs w:val="18"/>
          <w:color w:val="auto"/>
        </w:rPr>
        <w:t xml:space="preserve"> segment. As a result of these initiatives, and in tandem with reduced expectations in certain </w:t>
      </w:r>
      <w:r>
        <w:rPr>
          <w:rFonts w:ascii="Arial" w:cs="Arial" w:eastAsia="Arial" w:hAnsi="Arial"/>
          <w:sz w:val="18"/>
          <w:szCs w:val="18"/>
          <w:i w:val="1"/>
          <w:iCs w:val="1"/>
          <w:color w:val="auto"/>
        </w:rPr>
        <w:t>Educational Publishing</w:t>
      </w:r>
      <w:r>
        <w:rPr>
          <w:rFonts w:ascii="Arial" w:cs="Arial" w:eastAsia="Arial" w:hAnsi="Arial"/>
          <w:sz w:val="18"/>
          <w:szCs w:val="18"/>
          <w:color w:val="auto"/>
        </w:rPr>
        <w:t xml:space="preserve"> print businesses, the Company determined that the intangible assets of $28.7 and prepublication costs of $7.6 associated with such businesses, totaling $36.3, were impaired. The Company employed qualitative and internally developed quantitative methods, including discounted cash flow models, to determine the fair value of the asset to a market participant. Significant inputs included a best use analysis of the existing market for the asset, including uses for the asset other than its current usage, resulting in a determination that the market for the asset had declined significantly.</w:t>
      </w:r>
    </w:p>
    <w:p>
      <w:pPr>
        <w:spacing w:after="0" w:line="199"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In the fourth quarter of fiscal 2010, the Company determined that the fair value of the trademark associated with the Company’s direct-to-home catalog business specializing in toys was less than the carrying value of the trademark. The Company used historical and projected results while applying a residual income fair value method to make this determination and recognized an impairment of this trademark of $2.6.</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Other intangibles not subject to amortization as of May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263765" cy="889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760" w:type="dxa"/>
            <w:vAlign w:val="bottom"/>
          </w:tcPr>
          <w:p>
            <w:pPr>
              <w:spacing w:after="0"/>
              <w:rPr>
                <w:sz w:val="15"/>
                <w:szCs w:val="15"/>
                <w:color w:val="auto"/>
              </w:rPr>
            </w:pPr>
          </w:p>
        </w:tc>
        <w:tc>
          <w:tcPr>
            <w:tcW w:w="3250" w:type="dxa"/>
            <w:vAlign w:val="bottom"/>
          </w:tcPr>
          <w:p>
            <w:pPr>
              <w:spacing w:after="0"/>
              <w:rPr>
                <w:sz w:val="15"/>
                <w:szCs w:val="15"/>
                <w:color w:val="auto"/>
              </w:rPr>
            </w:pPr>
          </w:p>
        </w:tc>
        <w:tc>
          <w:tcPr>
            <w:tcW w:w="1250" w:type="dxa"/>
            <w:vAlign w:val="bottom"/>
          </w:tcPr>
          <w:p>
            <w:pPr>
              <w:jc w:val="right"/>
              <w:ind w:right="257"/>
              <w:spacing w:after="0"/>
              <w:rPr>
                <w:sz w:val="20"/>
                <w:szCs w:val="20"/>
                <w:color w:val="auto"/>
              </w:rPr>
            </w:pPr>
            <w:r>
              <w:rPr>
                <w:rFonts w:ascii="Arial" w:cs="Arial" w:eastAsia="Arial" w:hAnsi="Arial"/>
                <w:sz w:val="14"/>
                <w:szCs w:val="14"/>
                <w:b w:val="1"/>
                <w:bCs w:val="1"/>
                <w:color w:val="auto"/>
              </w:rPr>
              <w:t>2010</w:t>
            </w:r>
          </w:p>
        </w:tc>
        <w:tc>
          <w:tcPr>
            <w:tcW w:w="400" w:type="dxa"/>
            <w:vAlign w:val="bottom"/>
          </w:tcPr>
          <w:p>
            <w:pPr>
              <w:spacing w:after="0"/>
              <w:rPr>
                <w:sz w:val="15"/>
                <w:szCs w:val="15"/>
                <w:color w:val="auto"/>
              </w:rPr>
            </w:pPr>
          </w:p>
        </w:tc>
        <w:tc>
          <w:tcPr>
            <w:tcW w:w="760" w:type="dxa"/>
            <w:vAlign w:val="bottom"/>
          </w:tcPr>
          <w:p>
            <w:pPr>
              <w:jc w:val="right"/>
              <w:ind w:right="37"/>
              <w:spacing w:after="0"/>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95"/>
        </w:trPr>
        <w:tc>
          <w:tcPr>
            <w:tcW w:w="5760" w:type="dxa"/>
            <w:vAlign w:val="bottom"/>
            <w:tcBorders>
              <w:bottom w:val="single" w:sz="8" w:color="auto"/>
            </w:tcBorders>
          </w:tcPr>
          <w:p>
            <w:pPr>
              <w:spacing w:after="0"/>
              <w:rPr>
                <w:sz w:val="8"/>
                <w:szCs w:val="8"/>
                <w:color w:val="auto"/>
              </w:rPr>
            </w:pPr>
          </w:p>
        </w:tc>
        <w:tc>
          <w:tcPr>
            <w:tcW w:w="3250" w:type="dxa"/>
            <w:vAlign w:val="bottom"/>
            <w:tcBorders>
              <w:bottom w:val="single" w:sz="8" w:color="auto"/>
            </w:tcBorders>
          </w:tcPr>
          <w:p>
            <w:pPr>
              <w:spacing w:after="0"/>
              <w:rPr>
                <w:sz w:val="8"/>
                <w:szCs w:val="8"/>
                <w:color w:val="auto"/>
              </w:rPr>
            </w:pPr>
          </w:p>
        </w:tc>
        <w:tc>
          <w:tcPr>
            <w:tcW w:w="125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r>
      <w:tr>
        <w:trPr>
          <w:trHeight w:val="102"/>
        </w:trPr>
        <w:tc>
          <w:tcPr>
            <w:tcW w:w="5760" w:type="dxa"/>
            <w:vAlign w:val="bottom"/>
          </w:tcPr>
          <w:p>
            <w:pPr>
              <w:spacing w:after="0"/>
              <w:rPr>
                <w:sz w:val="8"/>
                <w:szCs w:val="8"/>
                <w:color w:val="auto"/>
              </w:rPr>
            </w:pPr>
          </w:p>
        </w:tc>
        <w:tc>
          <w:tcPr>
            <w:tcW w:w="3250" w:type="dxa"/>
            <w:vAlign w:val="bottom"/>
          </w:tcPr>
          <w:p>
            <w:pPr>
              <w:spacing w:after="0"/>
              <w:rPr>
                <w:sz w:val="8"/>
                <w:szCs w:val="8"/>
                <w:color w:val="auto"/>
              </w:rPr>
            </w:pPr>
          </w:p>
        </w:tc>
        <w:tc>
          <w:tcPr>
            <w:tcW w:w="1250" w:type="dxa"/>
            <w:vAlign w:val="bottom"/>
          </w:tcPr>
          <w:p>
            <w:pPr>
              <w:spacing w:after="0"/>
              <w:rPr>
                <w:sz w:val="8"/>
                <w:szCs w:val="8"/>
                <w:color w:val="auto"/>
              </w:rPr>
            </w:pPr>
          </w:p>
        </w:tc>
        <w:tc>
          <w:tcPr>
            <w:tcW w:w="4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203"/>
        </w:trPr>
        <w:tc>
          <w:tcPr>
            <w:tcW w:w="576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Net carrying value by major class:</w:t>
            </w:r>
          </w:p>
        </w:tc>
        <w:tc>
          <w:tcPr>
            <w:tcW w:w="3250" w:type="dxa"/>
            <w:vAlign w:val="bottom"/>
            <w:shd w:val="clear" w:color="auto" w:fill="E6E6E6"/>
          </w:tcPr>
          <w:p>
            <w:pPr>
              <w:spacing w:after="0"/>
              <w:rPr>
                <w:sz w:val="17"/>
                <w:szCs w:val="17"/>
                <w:color w:val="auto"/>
              </w:rPr>
            </w:pPr>
          </w:p>
        </w:tc>
        <w:tc>
          <w:tcPr>
            <w:tcW w:w="1250" w:type="dxa"/>
            <w:vAlign w:val="bottom"/>
            <w:shd w:val="clear" w:color="auto" w:fill="E6E6E6"/>
          </w:tcPr>
          <w:p>
            <w:pPr>
              <w:spacing w:after="0"/>
              <w:rPr>
                <w:sz w:val="17"/>
                <w:szCs w:val="17"/>
                <w:color w:val="auto"/>
              </w:rPr>
            </w:pPr>
          </w:p>
        </w:tc>
        <w:tc>
          <w:tcPr>
            <w:tcW w:w="400" w:type="dxa"/>
            <w:vAlign w:val="bottom"/>
            <w:shd w:val="clear" w:color="auto" w:fill="E6E6E6"/>
          </w:tcPr>
          <w:p>
            <w:pPr>
              <w:spacing w:after="0"/>
              <w:rPr>
                <w:sz w:val="17"/>
                <w:szCs w:val="17"/>
                <w:color w:val="auto"/>
              </w:rPr>
            </w:pPr>
          </w:p>
        </w:tc>
        <w:tc>
          <w:tcPr>
            <w:tcW w:w="760" w:type="dxa"/>
            <w:vAlign w:val="bottom"/>
            <w:shd w:val="clear" w:color="auto" w:fill="E6E6E6"/>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5760" w:type="dxa"/>
            <w:vAlign w:val="bottom"/>
          </w:tcPr>
          <w:p>
            <w:pPr>
              <w:ind w:left="160"/>
              <w:spacing w:after="0" w:line="202" w:lineRule="exact"/>
              <w:rPr>
                <w:sz w:val="20"/>
                <w:szCs w:val="20"/>
                <w:color w:val="auto"/>
              </w:rPr>
            </w:pPr>
            <w:r>
              <w:rPr>
                <w:rFonts w:ascii="Arial" w:cs="Arial" w:eastAsia="Arial" w:hAnsi="Arial"/>
                <w:sz w:val="18"/>
                <w:szCs w:val="18"/>
                <w:color w:val="auto"/>
              </w:rPr>
              <w:t>Titles</w:t>
            </w:r>
          </w:p>
        </w:tc>
        <w:tc>
          <w:tcPr>
            <w:tcW w:w="325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250" w:type="dxa"/>
            <w:vAlign w:val="bottom"/>
          </w:tcPr>
          <w:p>
            <w:pPr>
              <w:jc w:val="right"/>
              <w:ind w:right="257"/>
              <w:spacing w:after="0" w:line="202" w:lineRule="exact"/>
              <w:rPr>
                <w:sz w:val="20"/>
                <w:szCs w:val="20"/>
                <w:color w:val="auto"/>
              </w:rPr>
            </w:pPr>
            <w:r>
              <w:rPr>
                <w:rFonts w:ascii="Arial" w:cs="Arial" w:eastAsia="Arial" w:hAnsi="Arial"/>
                <w:sz w:val="18"/>
                <w:szCs w:val="18"/>
                <w:color w:val="auto"/>
              </w:rPr>
              <w:t>—</w:t>
            </w:r>
          </w:p>
        </w:tc>
        <w:tc>
          <w:tcPr>
            <w:tcW w:w="400" w:type="dxa"/>
            <w:vAlign w:val="bottom"/>
          </w:tcPr>
          <w:p>
            <w:pPr>
              <w:jc w:val="right"/>
              <w:ind w:right="212"/>
              <w:spacing w:after="0" w:line="202" w:lineRule="exact"/>
              <w:rPr>
                <w:sz w:val="20"/>
                <w:szCs w:val="20"/>
                <w:color w:val="auto"/>
              </w:rPr>
            </w:pPr>
            <w:r>
              <w:rPr>
                <w:rFonts w:ascii="Arial" w:cs="Arial" w:eastAsia="Arial" w:hAnsi="Arial"/>
                <w:sz w:val="18"/>
                <w:szCs w:val="18"/>
                <w:color w:val="auto"/>
                <w:w w:val="79"/>
              </w:rPr>
              <w:t>$</w:t>
            </w:r>
          </w:p>
        </w:tc>
        <w:tc>
          <w:tcPr>
            <w:tcW w:w="760" w:type="dxa"/>
            <w:vAlign w:val="bottom"/>
          </w:tcPr>
          <w:p>
            <w:pPr>
              <w:jc w:val="right"/>
              <w:ind w:right="37"/>
              <w:spacing w:after="0" w:line="202" w:lineRule="exact"/>
              <w:rPr>
                <w:sz w:val="20"/>
                <w:szCs w:val="20"/>
                <w:color w:val="auto"/>
              </w:rPr>
            </w:pPr>
            <w:r>
              <w:rPr>
                <w:rFonts w:ascii="Arial" w:cs="Arial" w:eastAsia="Arial" w:hAnsi="Arial"/>
                <w:sz w:val="18"/>
                <w:szCs w:val="18"/>
                <w:color w:val="auto"/>
              </w:rPr>
              <w:t>28.7</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5760" w:type="dxa"/>
            <w:vAlign w:val="bottom"/>
            <w:shd w:val="clear" w:color="auto" w:fill="E6E6E6"/>
          </w:tcPr>
          <w:p>
            <w:pPr>
              <w:ind w:left="160"/>
              <w:spacing w:after="0" w:line="202" w:lineRule="exact"/>
              <w:rPr>
                <w:sz w:val="20"/>
                <w:szCs w:val="20"/>
                <w:color w:val="auto"/>
              </w:rPr>
            </w:pPr>
            <w:r>
              <w:rPr>
                <w:rFonts w:ascii="Arial" w:cs="Arial" w:eastAsia="Arial" w:hAnsi="Arial"/>
                <w:sz w:val="18"/>
                <w:szCs w:val="18"/>
                <w:color w:val="auto"/>
              </w:rPr>
              <w:t>Trademarks and other</w:t>
            </w:r>
          </w:p>
        </w:tc>
        <w:tc>
          <w:tcPr>
            <w:tcW w:w="3250" w:type="dxa"/>
            <w:vAlign w:val="bottom"/>
            <w:shd w:val="clear" w:color="auto" w:fill="E6E6E6"/>
          </w:tcPr>
          <w:p>
            <w:pPr>
              <w:spacing w:after="0"/>
              <w:rPr>
                <w:sz w:val="17"/>
                <w:szCs w:val="17"/>
                <w:color w:val="auto"/>
              </w:rPr>
            </w:pPr>
          </w:p>
        </w:tc>
        <w:tc>
          <w:tcPr>
            <w:tcW w:w="1250" w:type="dxa"/>
            <w:vAlign w:val="bottom"/>
            <w:shd w:val="clear" w:color="auto" w:fill="E6E6E6"/>
          </w:tcPr>
          <w:p>
            <w:pPr>
              <w:jc w:val="right"/>
              <w:ind w:right="257"/>
              <w:spacing w:after="0" w:line="202" w:lineRule="exact"/>
              <w:rPr>
                <w:sz w:val="20"/>
                <w:szCs w:val="20"/>
                <w:color w:val="auto"/>
              </w:rPr>
            </w:pPr>
            <w:r>
              <w:rPr>
                <w:rFonts w:ascii="Arial" w:cs="Arial" w:eastAsia="Arial" w:hAnsi="Arial"/>
                <w:sz w:val="18"/>
                <w:szCs w:val="18"/>
                <w:color w:val="auto"/>
              </w:rPr>
              <w:t>12.5</w:t>
            </w:r>
          </w:p>
        </w:tc>
        <w:tc>
          <w:tcPr>
            <w:tcW w:w="400" w:type="dxa"/>
            <w:vAlign w:val="bottom"/>
            <w:shd w:val="clear" w:color="auto" w:fill="E6E6E6"/>
          </w:tcPr>
          <w:p>
            <w:pPr>
              <w:spacing w:after="0"/>
              <w:rPr>
                <w:sz w:val="17"/>
                <w:szCs w:val="17"/>
                <w:color w:val="auto"/>
              </w:rPr>
            </w:pPr>
          </w:p>
        </w:tc>
        <w:tc>
          <w:tcPr>
            <w:tcW w:w="760" w:type="dxa"/>
            <w:vAlign w:val="bottom"/>
            <w:shd w:val="clear" w:color="auto" w:fill="E6E6E6"/>
          </w:tcPr>
          <w:p>
            <w:pPr>
              <w:jc w:val="right"/>
              <w:ind w:right="37"/>
              <w:spacing w:after="0" w:line="202" w:lineRule="exact"/>
              <w:rPr>
                <w:sz w:val="20"/>
                <w:szCs w:val="20"/>
                <w:color w:val="auto"/>
              </w:rPr>
            </w:pPr>
            <w:r>
              <w:rPr>
                <w:rFonts w:ascii="Arial" w:cs="Arial" w:eastAsia="Arial" w:hAnsi="Arial"/>
                <w:sz w:val="18"/>
                <w:szCs w:val="18"/>
                <w:color w:val="auto"/>
              </w:rPr>
              <w:t>15.2</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08"/>
        </w:trPr>
        <w:tc>
          <w:tcPr>
            <w:tcW w:w="5760" w:type="dxa"/>
            <w:vAlign w:val="bottom"/>
            <w:tcBorders>
              <w:bottom w:val="single" w:sz="8" w:color="808080"/>
            </w:tcBorders>
          </w:tcPr>
          <w:p>
            <w:pPr>
              <w:spacing w:after="0"/>
              <w:rPr>
                <w:sz w:val="9"/>
                <w:szCs w:val="9"/>
                <w:color w:val="auto"/>
              </w:rPr>
            </w:pPr>
          </w:p>
        </w:tc>
        <w:tc>
          <w:tcPr>
            <w:tcW w:w="3250" w:type="dxa"/>
            <w:vAlign w:val="bottom"/>
            <w:tcBorders>
              <w:bottom w:val="single" w:sz="8" w:color="808080"/>
            </w:tcBorders>
          </w:tcPr>
          <w:p>
            <w:pPr>
              <w:spacing w:after="0"/>
              <w:rPr>
                <w:sz w:val="9"/>
                <w:szCs w:val="9"/>
                <w:color w:val="auto"/>
              </w:rPr>
            </w:pPr>
          </w:p>
        </w:tc>
        <w:tc>
          <w:tcPr>
            <w:tcW w:w="125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316"/>
        </w:trPr>
        <w:tc>
          <w:tcPr>
            <w:tcW w:w="576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325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50" w:type="dxa"/>
            <w:vAlign w:val="bottom"/>
          </w:tcPr>
          <w:p>
            <w:pPr>
              <w:jc w:val="right"/>
              <w:ind w:right="257"/>
              <w:spacing w:after="0"/>
              <w:rPr>
                <w:sz w:val="20"/>
                <w:szCs w:val="20"/>
                <w:color w:val="auto"/>
              </w:rPr>
            </w:pPr>
            <w:r>
              <w:rPr>
                <w:rFonts w:ascii="Arial" w:cs="Arial" w:eastAsia="Arial" w:hAnsi="Arial"/>
                <w:sz w:val="18"/>
                <w:szCs w:val="18"/>
                <w:b w:val="1"/>
                <w:bCs w:val="1"/>
                <w:color w:val="auto"/>
              </w:rPr>
              <w:t>12.5</w:t>
            </w:r>
          </w:p>
        </w:tc>
        <w:tc>
          <w:tcPr>
            <w:tcW w:w="400" w:type="dxa"/>
            <w:vAlign w:val="bottom"/>
          </w:tcPr>
          <w:p>
            <w:pPr>
              <w:jc w:val="right"/>
              <w:ind w:right="212"/>
              <w:spacing w:after="0"/>
              <w:rPr>
                <w:sz w:val="20"/>
                <w:szCs w:val="20"/>
                <w:color w:val="auto"/>
              </w:rPr>
            </w:pPr>
            <w:r>
              <w:rPr>
                <w:rFonts w:ascii="Arial" w:cs="Arial" w:eastAsia="Arial" w:hAnsi="Arial"/>
                <w:sz w:val="18"/>
                <w:szCs w:val="18"/>
                <w:b w:val="1"/>
                <w:bCs w:val="1"/>
                <w:color w:val="auto"/>
                <w:w w:val="79"/>
              </w:rPr>
              <w:t>$</w:t>
            </w:r>
          </w:p>
        </w:tc>
        <w:tc>
          <w:tcPr>
            <w:tcW w:w="760" w:type="dxa"/>
            <w:vAlign w:val="bottom"/>
          </w:tcPr>
          <w:p>
            <w:pPr>
              <w:jc w:val="right"/>
              <w:ind w:right="37"/>
              <w:spacing w:after="0"/>
              <w:rPr>
                <w:sz w:val="20"/>
                <w:szCs w:val="20"/>
                <w:color w:val="auto"/>
              </w:rPr>
            </w:pPr>
            <w:r>
              <w:rPr>
                <w:rFonts w:ascii="Arial" w:cs="Arial" w:eastAsia="Arial" w:hAnsi="Arial"/>
                <w:sz w:val="18"/>
                <w:szCs w:val="18"/>
                <w:b w:val="1"/>
                <w:bCs w:val="1"/>
                <w:color w:val="auto"/>
              </w:rPr>
              <w:t>43.9</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20"/>
        </w:trPr>
        <w:tc>
          <w:tcPr>
            <w:tcW w:w="5760" w:type="dxa"/>
            <w:vAlign w:val="bottom"/>
            <w:tcBorders>
              <w:bottom w:val="single" w:sz="8" w:color="808080"/>
            </w:tcBorders>
          </w:tcPr>
          <w:p>
            <w:pPr>
              <w:spacing w:after="0"/>
              <w:rPr>
                <w:sz w:val="10"/>
                <w:szCs w:val="10"/>
                <w:color w:val="auto"/>
              </w:rPr>
            </w:pPr>
          </w:p>
        </w:tc>
        <w:tc>
          <w:tcPr>
            <w:tcW w:w="3250" w:type="dxa"/>
            <w:vAlign w:val="bottom"/>
            <w:tcBorders>
              <w:bottom w:val="single" w:sz="8" w:color="808080"/>
            </w:tcBorders>
          </w:tcPr>
          <w:p>
            <w:pPr>
              <w:spacing w:after="0"/>
              <w:rPr>
                <w:sz w:val="10"/>
                <w:szCs w:val="10"/>
                <w:color w:val="auto"/>
              </w:rPr>
            </w:pPr>
          </w:p>
        </w:tc>
        <w:tc>
          <w:tcPr>
            <w:tcW w:w="125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-29210</wp:posOffset>
            </wp:positionV>
            <wp:extent cx="12700" cy="2984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-29210</wp:posOffset>
            </wp:positionV>
            <wp:extent cx="12700" cy="2984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-29210</wp:posOffset>
            </wp:positionV>
            <wp:extent cx="12700" cy="2984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-29210</wp:posOffset>
            </wp:positionV>
            <wp:extent cx="12700" cy="2984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-29210</wp:posOffset>
            </wp:positionV>
            <wp:extent cx="12700" cy="2984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-29210</wp:posOffset>
            </wp:positionV>
            <wp:extent cx="12700" cy="2984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-29210</wp:posOffset>
            </wp:positionV>
            <wp:extent cx="12700" cy="2984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TAXES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earnings from continuing operations before income taxes for the fiscal years ended May 31 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263765" cy="889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jc w:val="right"/>
              <w:ind w:right="95"/>
              <w:spacing w:after="0"/>
              <w:rPr>
                <w:sz w:val="20"/>
                <w:szCs w:val="20"/>
                <w:color w:val="auto"/>
              </w:rPr>
            </w:pPr>
            <w:r>
              <w:rPr>
                <w:rFonts w:ascii="Arial" w:cs="Arial" w:eastAsia="Arial" w:hAnsi="Arial"/>
                <w:sz w:val="14"/>
                <w:szCs w:val="14"/>
                <w:b w:val="1"/>
                <w:bCs w:val="1"/>
                <w:color w:val="auto"/>
              </w:rPr>
              <w:t>2010</w:t>
            </w:r>
          </w:p>
        </w:tc>
        <w:tc>
          <w:tcPr>
            <w:tcW w:w="280" w:type="dxa"/>
            <w:vAlign w:val="bottom"/>
          </w:tcPr>
          <w:p>
            <w:pPr>
              <w:spacing w:after="0"/>
              <w:rPr>
                <w:sz w:val="15"/>
                <w:szCs w:val="15"/>
                <w:color w:val="auto"/>
              </w:rPr>
            </w:pPr>
          </w:p>
        </w:tc>
        <w:tc>
          <w:tcPr>
            <w:tcW w:w="1100" w:type="dxa"/>
            <w:vAlign w:val="bottom"/>
          </w:tcPr>
          <w:p>
            <w:pPr>
              <w:jc w:val="right"/>
              <w:ind w:right="115"/>
              <w:spacing w:after="0"/>
              <w:rPr>
                <w:sz w:val="20"/>
                <w:szCs w:val="20"/>
                <w:color w:val="auto"/>
              </w:rPr>
            </w:pPr>
            <w:r>
              <w:rPr>
                <w:rFonts w:ascii="Arial" w:cs="Arial" w:eastAsia="Arial" w:hAnsi="Arial"/>
                <w:sz w:val="14"/>
                <w:szCs w:val="14"/>
                <w:b w:val="1"/>
                <w:bCs w:val="1"/>
                <w:color w:val="auto"/>
              </w:rPr>
              <w:t>2009</w:t>
            </w:r>
          </w:p>
        </w:tc>
        <w:tc>
          <w:tcPr>
            <w:tcW w:w="500" w:type="dxa"/>
            <w:vAlign w:val="bottom"/>
          </w:tcPr>
          <w:p>
            <w:pPr>
              <w:spacing w:after="0"/>
              <w:rPr>
                <w:sz w:val="15"/>
                <w:szCs w:val="15"/>
                <w:color w:val="auto"/>
              </w:rPr>
            </w:pPr>
          </w:p>
        </w:tc>
        <w:tc>
          <w:tcPr>
            <w:tcW w:w="820" w:type="dxa"/>
            <w:vAlign w:val="bottom"/>
          </w:tcPr>
          <w:p>
            <w:pPr>
              <w:jc w:val="right"/>
              <w:ind w:right="35"/>
              <w:spacing w:after="0"/>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1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7180" w:type="dxa"/>
            <w:vAlign w:val="bottom"/>
            <w:gridSpan w:val="2"/>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60" w:type="dxa"/>
            <w:vAlign w:val="bottom"/>
            <w:gridSpan w:val="2"/>
            <w:shd w:val="clear" w:color="auto" w:fill="E6E6E6"/>
          </w:tcPr>
          <w:p>
            <w:pPr>
              <w:spacing w:after="0" w:line="202" w:lineRule="exact"/>
              <w:rPr>
                <w:sz w:val="20"/>
                <w:szCs w:val="20"/>
                <w:color w:val="auto"/>
              </w:rPr>
            </w:pPr>
            <w:r>
              <w:rPr>
                <w:rFonts w:ascii="Arial" w:cs="Arial" w:eastAsia="Arial" w:hAnsi="Arial"/>
                <w:sz w:val="18"/>
                <w:szCs w:val="18"/>
                <w:color w:val="auto"/>
              </w:rPr>
              <w:t>United States</w:t>
            </w:r>
          </w:p>
        </w:tc>
        <w:tc>
          <w:tcPr>
            <w:tcW w:w="26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w:t>
            </w:r>
          </w:p>
        </w:tc>
        <w:tc>
          <w:tcPr>
            <w:tcW w:w="1080" w:type="dxa"/>
            <w:vAlign w:val="bottom"/>
            <w:shd w:val="clear" w:color="auto" w:fill="E6E6E6"/>
          </w:tcPr>
          <w:p>
            <w:pPr>
              <w:jc w:val="right"/>
              <w:ind w:right="95"/>
              <w:spacing w:after="0" w:line="202" w:lineRule="exact"/>
              <w:rPr>
                <w:sz w:val="20"/>
                <w:szCs w:val="20"/>
                <w:color w:val="auto"/>
              </w:rPr>
            </w:pPr>
            <w:r>
              <w:rPr>
                <w:rFonts w:ascii="Arial" w:cs="Arial" w:eastAsia="Arial" w:hAnsi="Arial"/>
                <w:sz w:val="18"/>
                <w:szCs w:val="18"/>
                <w:color w:val="auto"/>
              </w:rPr>
              <w:t>109.6</w:t>
            </w:r>
          </w:p>
        </w:tc>
        <w:tc>
          <w:tcPr>
            <w:tcW w:w="28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w:t>
            </w:r>
          </w:p>
        </w:tc>
        <w:tc>
          <w:tcPr>
            <w:tcW w:w="1100" w:type="dxa"/>
            <w:vAlign w:val="bottom"/>
            <w:shd w:val="clear" w:color="auto" w:fill="E6E6E6"/>
          </w:tcPr>
          <w:p>
            <w:pPr>
              <w:jc w:val="right"/>
              <w:ind w:right="115"/>
              <w:spacing w:after="0" w:line="202" w:lineRule="exact"/>
              <w:rPr>
                <w:sz w:val="20"/>
                <w:szCs w:val="20"/>
                <w:color w:val="auto"/>
              </w:rPr>
            </w:pPr>
            <w:r>
              <w:rPr>
                <w:rFonts w:ascii="Arial" w:cs="Arial" w:eastAsia="Arial" w:hAnsi="Arial"/>
                <w:sz w:val="18"/>
                <w:szCs w:val="18"/>
                <w:color w:val="auto"/>
              </w:rPr>
              <w:t>50.9</w:t>
            </w:r>
          </w:p>
        </w:tc>
        <w:tc>
          <w:tcPr>
            <w:tcW w:w="500" w:type="dxa"/>
            <w:vAlign w:val="bottom"/>
            <w:shd w:val="clear" w:color="auto" w:fill="E6E6E6"/>
          </w:tcPr>
          <w:p>
            <w:pPr>
              <w:jc w:val="right"/>
              <w:ind w:right="172"/>
              <w:spacing w:after="0" w:line="202" w:lineRule="exact"/>
              <w:rPr>
                <w:sz w:val="20"/>
                <w:szCs w:val="20"/>
                <w:color w:val="auto"/>
              </w:rPr>
            </w:pPr>
            <w:r>
              <w:rPr>
                <w:rFonts w:ascii="Arial" w:cs="Arial" w:eastAsia="Arial" w:hAnsi="Arial"/>
                <w:sz w:val="18"/>
                <w:szCs w:val="18"/>
                <w:color w:val="auto"/>
              </w:rPr>
              <w:t>$</w:t>
            </w:r>
          </w:p>
        </w:tc>
        <w:tc>
          <w:tcPr>
            <w:tcW w:w="820" w:type="dxa"/>
            <w:vAlign w:val="bottom"/>
            <w:shd w:val="clear" w:color="auto" w:fill="E6E6E6"/>
          </w:tcPr>
          <w:p>
            <w:pPr>
              <w:jc w:val="right"/>
              <w:ind w:right="35"/>
              <w:spacing w:after="0" w:line="202" w:lineRule="exact"/>
              <w:rPr>
                <w:sz w:val="20"/>
                <w:szCs w:val="20"/>
                <w:color w:val="auto"/>
              </w:rPr>
            </w:pPr>
            <w:r>
              <w:rPr>
                <w:rFonts w:ascii="Arial" w:cs="Arial" w:eastAsia="Arial" w:hAnsi="Arial"/>
                <w:sz w:val="18"/>
                <w:szCs w:val="18"/>
                <w:color w:val="auto"/>
              </w:rPr>
              <w:t>170.4</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7380" w:type="dxa"/>
            <w:vAlign w:val="bottom"/>
            <w:gridSpan w:val="3"/>
          </w:tcPr>
          <w:p>
            <w:pPr>
              <w:spacing w:after="0"/>
              <w:rPr>
                <w:sz w:val="20"/>
                <w:szCs w:val="20"/>
                <w:color w:val="auto"/>
              </w:rPr>
            </w:pPr>
            <w:r>
              <w:rPr>
                <w:rFonts w:ascii="Arial" w:cs="Arial" w:eastAsia="Arial" w:hAnsi="Arial"/>
                <w:sz w:val="18"/>
                <w:szCs w:val="18"/>
                <w:color w:val="auto"/>
              </w:rPr>
              <w:t>Non-United States</w:t>
            </w:r>
          </w:p>
        </w:tc>
        <w:tc>
          <w:tcPr>
            <w:tcW w:w="260" w:type="dxa"/>
            <w:vAlign w:val="bottom"/>
          </w:tcPr>
          <w:p>
            <w:pPr>
              <w:spacing w:after="0"/>
              <w:rPr>
                <w:sz w:val="18"/>
                <w:szCs w:val="18"/>
                <w:color w:val="auto"/>
              </w:rPr>
            </w:pPr>
          </w:p>
        </w:tc>
        <w:tc>
          <w:tcPr>
            <w:tcW w:w="1080" w:type="dxa"/>
            <w:vAlign w:val="bottom"/>
          </w:tcPr>
          <w:p>
            <w:pPr>
              <w:jc w:val="right"/>
              <w:ind w:right="95"/>
              <w:spacing w:after="0"/>
              <w:rPr>
                <w:sz w:val="20"/>
                <w:szCs w:val="20"/>
                <w:color w:val="auto"/>
              </w:rPr>
            </w:pPr>
            <w:r>
              <w:rPr>
                <w:rFonts w:ascii="Arial" w:cs="Arial" w:eastAsia="Arial" w:hAnsi="Arial"/>
                <w:sz w:val="18"/>
                <w:szCs w:val="18"/>
                <w:color w:val="auto"/>
              </w:rPr>
              <w:t>2.0</w:t>
            </w:r>
          </w:p>
        </w:tc>
        <w:tc>
          <w:tcPr>
            <w:tcW w:w="280" w:type="dxa"/>
            <w:vAlign w:val="bottom"/>
          </w:tcPr>
          <w:p>
            <w:pPr>
              <w:spacing w:after="0"/>
              <w:rPr>
                <w:sz w:val="18"/>
                <w:szCs w:val="18"/>
                <w:color w:val="auto"/>
              </w:rPr>
            </w:pPr>
          </w:p>
        </w:tc>
        <w:tc>
          <w:tcPr>
            <w:tcW w:w="1100" w:type="dxa"/>
            <w:vAlign w:val="bottom"/>
          </w:tcPr>
          <w:p>
            <w:pPr>
              <w:jc w:val="right"/>
              <w:ind w:right="55"/>
              <w:spacing w:after="0"/>
              <w:rPr>
                <w:sz w:val="20"/>
                <w:szCs w:val="20"/>
                <w:color w:val="auto"/>
              </w:rPr>
            </w:pPr>
            <w:r>
              <w:rPr>
                <w:rFonts w:ascii="Arial" w:cs="Arial" w:eastAsia="Arial" w:hAnsi="Arial"/>
                <w:sz w:val="18"/>
                <w:szCs w:val="18"/>
                <w:color w:val="auto"/>
              </w:rPr>
              <w:t>(16.3)</w:t>
            </w:r>
          </w:p>
        </w:tc>
        <w:tc>
          <w:tcPr>
            <w:tcW w:w="500" w:type="dxa"/>
            <w:vAlign w:val="bottom"/>
          </w:tcPr>
          <w:p>
            <w:pPr>
              <w:spacing w:after="0"/>
              <w:rPr>
                <w:sz w:val="18"/>
                <w:szCs w:val="18"/>
                <w:color w:val="auto"/>
              </w:rPr>
            </w:pPr>
          </w:p>
        </w:tc>
        <w:tc>
          <w:tcPr>
            <w:tcW w:w="820" w:type="dxa"/>
            <w:vAlign w:val="bottom"/>
          </w:tcPr>
          <w:p>
            <w:pPr>
              <w:jc w:val="right"/>
              <w:ind w:right="35"/>
              <w:spacing w:after="0"/>
              <w:rPr>
                <w:sz w:val="20"/>
                <w:szCs w:val="20"/>
                <w:color w:val="auto"/>
              </w:rPr>
            </w:pPr>
            <w:r>
              <w:rPr>
                <w:rFonts w:ascii="Arial" w:cs="Arial" w:eastAsia="Arial" w:hAnsi="Arial"/>
                <w:sz w:val="18"/>
                <w:szCs w:val="18"/>
                <w:color w:val="auto"/>
              </w:rPr>
              <w:t>15.8</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7"/>
        </w:trPr>
        <w:tc>
          <w:tcPr>
            <w:tcW w:w="7180" w:type="dxa"/>
            <w:vAlign w:val="bottom"/>
            <w:tcBorders>
              <w:bottom w:val="single" w:sz="8" w:color="808080"/>
            </w:tcBorders>
            <w:gridSpan w:val="2"/>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108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10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360" w:type="dxa"/>
            <w:vAlign w:val="bottom"/>
            <w:gridSpan w:val="2"/>
            <w:shd w:val="clear" w:color="auto" w:fill="E6E6E6"/>
          </w:tcPr>
          <w:p>
            <w:pPr>
              <w:spacing w:after="0" w:line="202" w:lineRule="exact"/>
              <w:rPr>
                <w:sz w:val="20"/>
                <w:szCs w:val="20"/>
                <w:color w:val="auto"/>
              </w:rPr>
            </w:pPr>
            <w:r>
              <w:rPr>
                <w:rFonts w:ascii="Arial" w:cs="Arial" w:eastAsia="Arial" w:hAnsi="Arial"/>
                <w:sz w:val="18"/>
                <w:szCs w:val="18"/>
                <w:b w:val="1"/>
                <w:bCs w:val="1"/>
                <w:color w:val="auto"/>
              </w:rPr>
              <w:t>Total</w:t>
            </w:r>
          </w:p>
        </w:tc>
        <w:tc>
          <w:tcPr>
            <w:tcW w:w="26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1080" w:type="dxa"/>
            <w:vAlign w:val="bottom"/>
            <w:shd w:val="clear" w:color="auto" w:fill="E6E6E6"/>
          </w:tcPr>
          <w:p>
            <w:pPr>
              <w:jc w:val="right"/>
              <w:ind w:right="95"/>
              <w:spacing w:after="0" w:line="202" w:lineRule="exact"/>
              <w:rPr>
                <w:sz w:val="20"/>
                <w:szCs w:val="20"/>
                <w:color w:val="auto"/>
              </w:rPr>
            </w:pPr>
            <w:r>
              <w:rPr>
                <w:rFonts w:ascii="Arial" w:cs="Arial" w:eastAsia="Arial" w:hAnsi="Arial"/>
                <w:sz w:val="18"/>
                <w:szCs w:val="18"/>
                <w:b w:val="1"/>
                <w:bCs w:val="1"/>
                <w:color w:val="auto"/>
              </w:rPr>
              <w:t>111.6</w:t>
            </w:r>
          </w:p>
        </w:tc>
        <w:tc>
          <w:tcPr>
            <w:tcW w:w="28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1100" w:type="dxa"/>
            <w:vAlign w:val="bottom"/>
            <w:shd w:val="clear" w:color="auto" w:fill="E6E6E6"/>
          </w:tcPr>
          <w:p>
            <w:pPr>
              <w:jc w:val="right"/>
              <w:ind w:right="115"/>
              <w:spacing w:after="0" w:line="202" w:lineRule="exact"/>
              <w:rPr>
                <w:sz w:val="20"/>
                <w:szCs w:val="20"/>
                <w:color w:val="auto"/>
              </w:rPr>
            </w:pPr>
            <w:r>
              <w:rPr>
                <w:rFonts w:ascii="Arial" w:cs="Arial" w:eastAsia="Arial" w:hAnsi="Arial"/>
                <w:sz w:val="18"/>
                <w:szCs w:val="18"/>
                <w:b w:val="1"/>
                <w:bCs w:val="1"/>
                <w:color w:val="auto"/>
              </w:rPr>
              <w:t>34.6</w:t>
            </w:r>
          </w:p>
        </w:tc>
        <w:tc>
          <w:tcPr>
            <w:tcW w:w="500" w:type="dxa"/>
            <w:vAlign w:val="bottom"/>
            <w:shd w:val="clear" w:color="auto" w:fill="E6E6E6"/>
          </w:tcPr>
          <w:p>
            <w:pPr>
              <w:jc w:val="right"/>
              <w:ind w:right="172"/>
              <w:spacing w:after="0" w:line="202" w:lineRule="exact"/>
              <w:rPr>
                <w:sz w:val="20"/>
                <w:szCs w:val="20"/>
                <w:color w:val="auto"/>
              </w:rPr>
            </w:pPr>
            <w:r>
              <w:rPr>
                <w:rFonts w:ascii="Arial" w:cs="Arial" w:eastAsia="Arial" w:hAnsi="Arial"/>
                <w:sz w:val="18"/>
                <w:szCs w:val="18"/>
                <w:b w:val="1"/>
                <w:bCs w:val="1"/>
                <w:color w:val="auto"/>
              </w:rPr>
              <w:t>$</w:t>
            </w:r>
          </w:p>
        </w:tc>
        <w:tc>
          <w:tcPr>
            <w:tcW w:w="820" w:type="dxa"/>
            <w:vAlign w:val="bottom"/>
            <w:shd w:val="clear" w:color="auto" w:fill="E6E6E6"/>
          </w:tcPr>
          <w:p>
            <w:pPr>
              <w:jc w:val="right"/>
              <w:ind w:right="35"/>
              <w:spacing w:after="0" w:line="202" w:lineRule="exact"/>
              <w:rPr>
                <w:sz w:val="20"/>
                <w:szCs w:val="20"/>
                <w:color w:val="auto"/>
              </w:rPr>
            </w:pPr>
            <w:r>
              <w:rPr>
                <w:rFonts w:ascii="Arial" w:cs="Arial" w:eastAsia="Arial" w:hAnsi="Arial"/>
                <w:sz w:val="18"/>
                <w:szCs w:val="18"/>
                <w:b w:val="1"/>
                <w:bCs w:val="1"/>
                <w:color w:val="auto"/>
              </w:rPr>
              <w:t>186.2</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2"/>
        </w:trPr>
        <w:tc>
          <w:tcPr>
            <w:tcW w:w="7180" w:type="dxa"/>
            <w:vAlign w:val="bottom"/>
            <w:tcBorders>
              <w:bottom w:val="single" w:sz="8" w:color="808080"/>
            </w:tcBorders>
            <w:gridSpan w:val="2"/>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108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100" w:type="dxa"/>
            <w:vAlign w:val="bottom"/>
            <w:tcBorders>
              <w:bottom w:val="single" w:sz="8" w:color="808080"/>
            </w:tcBorders>
          </w:tcPr>
          <w:p>
            <w:pPr>
              <w:spacing w:after="0"/>
              <w:rPr>
                <w:sz w:val="11"/>
                <w:szCs w:val="11"/>
                <w:color w:val="auto"/>
              </w:rPr>
            </w:pPr>
          </w:p>
        </w:tc>
        <w:tc>
          <w:tcPr>
            <w:tcW w:w="500" w:type="dxa"/>
            <w:vAlign w:val="bottom"/>
            <w:tcBorders>
              <w:bottom w:val="single" w:sz="8" w:color="808080"/>
            </w:tcBorders>
          </w:tcPr>
          <w:p>
            <w:pPr>
              <w:spacing w:after="0"/>
              <w:rPr>
                <w:sz w:val="11"/>
                <w:szCs w:val="11"/>
                <w:color w:val="auto"/>
              </w:rPr>
            </w:pPr>
          </w:p>
        </w:tc>
        <w:tc>
          <w:tcPr>
            <w:tcW w:w="8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535"/>
        </w:trPr>
        <w:tc>
          <w:tcPr>
            <w:tcW w:w="7380" w:type="dxa"/>
            <w:vAlign w:val="bottom"/>
            <w:gridSpan w:val="3"/>
          </w:tcPr>
          <w:p>
            <w:pPr>
              <w:spacing w:after="0"/>
              <w:rPr>
                <w:sz w:val="20"/>
                <w:szCs w:val="20"/>
                <w:color w:val="auto"/>
              </w:rPr>
            </w:pPr>
            <w:r>
              <w:rPr>
                <w:rFonts w:ascii="Arial" w:cs="Arial" w:eastAsia="Arial" w:hAnsi="Arial"/>
                <w:sz w:val="18"/>
                <w:szCs w:val="18"/>
                <w:color w:val="auto"/>
                <w:w w:val="90"/>
              </w:rPr>
              <w:t>The provision for income taxes for the fiscal years ended May 31 consist of the following components:</w:t>
            </w: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7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80" w:type="dxa"/>
            <w:vAlign w:val="bottom"/>
          </w:tcPr>
          <w:p>
            <w:pPr>
              <w:jc w:val="right"/>
              <w:ind w:right="95"/>
              <w:spacing w:after="0"/>
              <w:rPr>
                <w:sz w:val="20"/>
                <w:szCs w:val="20"/>
                <w:color w:val="auto"/>
              </w:rPr>
            </w:pPr>
            <w:r>
              <w:rPr>
                <w:rFonts w:ascii="Arial" w:cs="Arial" w:eastAsia="Arial" w:hAnsi="Arial"/>
                <w:sz w:val="14"/>
                <w:szCs w:val="14"/>
                <w:b w:val="1"/>
                <w:bCs w:val="1"/>
                <w:color w:val="auto"/>
              </w:rPr>
              <w:t>2010</w:t>
            </w:r>
          </w:p>
        </w:tc>
        <w:tc>
          <w:tcPr>
            <w:tcW w:w="280" w:type="dxa"/>
            <w:vAlign w:val="bottom"/>
          </w:tcPr>
          <w:p>
            <w:pPr>
              <w:spacing w:after="0"/>
              <w:rPr>
                <w:sz w:val="22"/>
                <w:szCs w:val="22"/>
                <w:color w:val="auto"/>
              </w:rPr>
            </w:pPr>
          </w:p>
        </w:tc>
        <w:tc>
          <w:tcPr>
            <w:tcW w:w="1100" w:type="dxa"/>
            <w:vAlign w:val="bottom"/>
          </w:tcPr>
          <w:p>
            <w:pPr>
              <w:jc w:val="right"/>
              <w:ind w:right="115"/>
              <w:spacing w:after="0"/>
              <w:rPr>
                <w:sz w:val="20"/>
                <w:szCs w:val="20"/>
                <w:color w:val="auto"/>
              </w:rPr>
            </w:pPr>
            <w:r>
              <w:rPr>
                <w:rFonts w:ascii="Arial" w:cs="Arial" w:eastAsia="Arial" w:hAnsi="Arial"/>
                <w:sz w:val="14"/>
                <w:szCs w:val="14"/>
                <w:b w:val="1"/>
                <w:bCs w:val="1"/>
                <w:color w:val="auto"/>
              </w:rPr>
              <w:t>2009</w:t>
            </w:r>
          </w:p>
        </w:tc>
        <w:tc>
          <w:tcPr>
            <w:tcW w:w="500" w:type="dxa"/>
            <w:vAlign w:val="bottom"/>
          </w:tcPr>
          <w:p>
            <w:pPr>
              <w:spacing w:after="0"/>
              <w:rPr>
                <w:sz w:val="22"/>
                <w:szCs w:val="22"/>
                <w:color w:val="auto"/>
              </w:rPr>
            </w:pPr>
          </w:p>
        </w:tc>
        <w:tc>
          <w:tcPr>
            <w:tcW w:w="820" w:type="dxa"/>
            <w:vAlign w:val="bottom"/>
          </w:tcPr>
          <w:p>
            <w:pPr>
              <w:jc w:val="right"/>
              <w:ind w:right="35"/>
              <w:spacing w:after="0"/>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360" w:type="dxa"/>
            <w:vAlign w:val="bottom"/>
            <w:tcBorders>
              <w:bottom w:val="single" w:sz="8" w:color="auto"/>
            </w:tcBorders>
            <w:gridSpan w:val="2"/>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7380" w:type="dxa"/>
            <w:vAlign w:val="bottom"/>
            <w:gridSpan w:val="3"/>
          </w:tcPr>
          <w:p>
            <w:pPr>
              <w:spacing w:after="0"/>
              <w:rPr>
                <w:sz w:val="8"/>
                <w:szCs w:val="8"/>
                <w:color w:val="auto"/>
              </w:rPr>
            </w:pPr>
          </w:p>
        </w:tc>
        <w:tc>
          <w:tcPr>
            <w:tcW w:w="2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60" w:type="dxa"/>
            <w:vAlign w:val="bottom"/>
            <w:gridSpan w:val="2"/>
            <w:shd w:val="clear" w:color="auto" w:fill="E6E6E6"/>
          </w:tcPr>
          <w:p>
            <w:pPr>
              <w:spacing w:after="0" w:line="202" w:lineRule="exact"/>
              <w:rPr>
                <w:sz w:val="20"/>
                <w:szCs w:val="20"/>
                <w:color w:val="auto"/>
              </w:rPr>
            </w:pPr>
            <w:r>
              <w:rPr>
                <w:rFonts w:ascii="Arial" w:cs="Arial" w:eastAsia="Arial" w:hAnsi="Arial"/>
                <w:sz w:val="18"/>
                <w:szCs w:val="18"/>
                <w:color w:val="auto"/>
              </w:rPr>
              <w:t>Federal</w:t>
            </w:r>
          </w:p>
        </w:tc>
        <w:tc>
          <w:tcPr>
            <w:tcW w:w="260" w:type="dxa"/>
            <w:vAlign w:val="bottom"/>
            <w:shd w:val="clear" w:color="auto" w:fill="E6E6E6"/>
          </w:tcPr>
          <w:p>
            <w:pPr>
              <w:spacing w:after="0"/>
              <w:rPr>
                <w:sz w:val="17"/>
                <w:szCs w:val="17"/>
                <w:color w:val="auto"/>
              </w:rPr>
            </w:pPr>
          </w:p>
        </w:tc>
        <w:tc>
          <w:tcPr>
            <w:tcW w:w="1080" w:type="dxa"/>
            <w:vAlign w:val="bottom"/>
            <w:shd w:val="clear" w:color="auto" w:fill="E6E6E6"/>
          </w:tcPr>
          <w:p>
            <w:pPr>
              <w:spacing w:after="0"/>
              <w:rPr>
                <w:sz w:val="17"/>
                <w:szCs w:val="17"/>
                <w:color w:val="auto"/>
              </w:rPr>
            </w:pPr>
          </w:p>
        </w:tc>
        <w:tc>
          <w:tcPr>
            <w:tcW w:w="280" w:type="dxa"/>
            <w:vAlign w:val="bottom"/>
            <w:shd w:val="clear" w:color="auto" w:fill="E6E6E6"/>
          </w:tcPr>
          <w:p>
            <w:pPr>
              <w:spacing w:after="0"/>
              <w:rPr>
                <w:sz w:val="17"/>
                <w:szCs w:val="17"/>
                <w:color w:val="auto"/>
              </w:rPr>
            </w:pPr>
          </w:p>
        </w:tc>
        <w:tc>
          <w:tcPr>
            <w:tcW w:w="1100" w:type="dxa"/>
            <w:vAlign w:val="bottom"/>
            <w:shd w:val="clear" w:color="auto" w:fill="E6E6E6"/>
          </w:tcPr>
          <w:p>
            <w:pPr>
              <w:spacing w:after="0"/>
              <w:rPr>
                <w:sz w:val="17"/>
                <w:szCs w:val="17"/>
                <w:color w:val="auto"/>
              </w:rPr>
            </w:pPr>
          </w:p>
        </w:tc>
        <w:tc>
          <w:tcPr>
            <w:tcW w:w="500" w:type="dxa"/>
            <w:vAlign w:val="bottom"/>
            <w:shd w:val="clear" w:color="auto" w:fill="E6E6E6"/>
          </w:tcPr>
          <w:p>
            <w:pPr>
              <w:spacing w:after="0"/>
              <w:rPr>
                <w:sz w:val="17"/>
                <w:szCs w:val="17"/>
                <w:color w:val="auto"/>
              </w:rPr>
            </w:pPr>
          </w:p>
        </w:tc>
        <w:tc>
          <w:tcPr>
            <w:tcW w:w="820" w:type="dxa"/>
            <w:vAlign w:val="bottom"/>
            <w:shd w:val="clear" w:color="auto" w:fill="E6E6E6"/>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60" w:type="dxa"/>
            <w:vAlign w:val="bottom"/>
            <w:gridSpan w:val="2"/>
          </w:tcPr>
          <w:p>
            <w:pPr>
              <w:ind w:left="140"/>
              <w:spacing w:after="0" w:line="202" w:lineRule="exact"/>
              <w:rPr>
                <w:sz w:val="20"/>
                <w:szCs w:val="20"/>
                <w:color w:val="auto"/>
              </w:rPr>
            </w:pPr>
            <w:r>
              <w:rPr>
                <w:rFonts w:ascii="Arial" w:cs="Arial" w:eastAsia="Arial" w:hAnsi="Arial"/>
                <w:sz w:val="18"/>
                <w:szCs w:val="18"/>
                <w:color w:val="auto"/>
              </w:rPr>
              <w:t>Current</w:t>
            </w:r>
          </w:p>
        </w:tc>
        <w:tc>
          <w:tcPr>
            <w:tcW w:w="2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80" w:type="dxa"/>
            <w:vAlign w:val="bottom"/>
          </w:tcPr>
          <w:p>
            <w:pPr>
              <w:jc w:val="right"/>
              <w:ind w:right="95"/>
              <w:spacing w:after="0" w:line="202" w:lineRule="exact"/>
              <w:rPr>
                <w:sz w:val="20"/>
                <w:szCs w:val="20"/>
                <w:color w:val="auto"/>
              </w:rPr>
            </w:pPr>
            <w:r>
              <w:rPr>
                <w:rFonts w:ascii="Arial" w:cs="Arial" w:eastAsia="Arial" w:hAnsi="Arial"/>
                <w:sz w:val="18"/>
                <w:szCs w:val="18"/>
                <w:color w:val="auto"/>
              </w:rPr>
              <w:t>10.2</w:t>
            </w:r>
          </w:p>
        </w:tc>
        <w:tc>
          <w:tcPr>
            <w:tcW w:w="2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100" w:type="dxa"/>
            <w:vAlign w:val="bottom"/>
          </w:tcPr>
          <w:p>
            <w:pPr>
              <w:jc w:val="right"/>
              <w:ind w:right="115"/>
              <w:spacing w:after="0" w:line="202" w:lineRule="exact"/>
              <w:rPr>
                <w:sz w:val="20"/>
                <w:szCs w:val="20"/>
                <w:color w:val="auto"/>
              </w:rPr>
            </w:pPr>
            <w:r>
              <w:rPr>
                <w:rFonts w:ascii="Arial" w:cs="Arial" w:eastAsia="Arial" w:hAnsi="Arial"/>
                <w:sz w:val="18"/>
                <w:szCs w:val="18"/>
                <w:color w:val="auto"/>
              </w:rPr>
              <w:t>10.4</w:t>
            </w:r>
          </w:p>
        </w:tc>
        <w:tc>
          <w:tcPr>
            <w:tcW w:w="500" w:type="dxa"/>
            <w:vAlign w:val="bottom"/>
          </w:tcPr>
          <w:p>
            <w:pPr>
              <w:jc w:val="right"/>
              <w:ind w:right="172"/>
              <w:spacing w:after="0" w:line="202" w:lineRule="exact"/>
              <w:rPr>
                <w:sz w:val="20"/>
                <w:szCs w:val="20"/>
                <w:color w:val="auto"/>
              </w:rPr>
            </w:pPr>
            <w:r>
              <w:rPr>
                <w:rFonts w:ascii="Arial" w:cs="Arial" w:eastAsia="Arial" w:hAnsi="Arial"/>
                <w:sz w:val="18"/>
                <w:szCs w:val="18"/>
                <w:color w:val="auto"/>
              </w:rPr>
              <w:t>$</w:t>
            </w:r>
          </w:p>
        </w:tc>
        <w:tc>
          <w:tcPr>
            <w:tcW w:w="820" w:type="dxa"/>
            <w:vAlign w:val="bottom"/>
          </w:tcPr>
          <w:p>
            <w:pPr>
              <w:jc w:val="right"/>
              <w:ind w:right="35"/>
              <w:spacing w:after="0" w:line="202" w:lineRule="exact"/>
              <w:rPr>
                <w:sz w:val="20"/>
                <w:szCs w:val="20"/>
                <w:color w:val="auto"/>
              </w:rPr>
            </w:pPr>
            <w:r>
              <w:rPr>
                <w:rFonts w:ascii="Arial" w:cs="Arial" w:eastAsia="Arial" w:hAnsi="Arial"/>
                <w:sz w:val="18"/>
                <w:szCs w:val="18"/>
                <w:color w:val="auto"/>
              </w:rPr>
              <w:t>49.4</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60" w:type="dxa"/>
            <w:vAlign w:val="bottom"/>
            <w:gridSpan w:val="2"/>
            <w:shd w:val="clear" w:color="auto" w:fill="E6E6E6"/>
          </w:tcPr>
          <w:p>
            <w:pPr>
              <w:ind w:left="140"/>
              <w:spacing w:after="0" w:line="202" w:lineRule="exact"/>
              <w:rPr>
                <w:sz w:val="20"/>
                <w:szCs w:val="20"/>
                <w:color w:val="auto"/>
              </w:rPr>
            </w:pPr>
            <w:r>
              <w:rPr>
                <w:rFonts w:ascii="Arial" w:cs="Arial" w:eastAsia="Arial" w:hAnsi="Arial"/>
                <w:sz w:val="18"/>
                <w:szCs w:val="18"/>
                <w:color w:val="auto"/>
              </w:rPr>
              <w:t>Deferred</w:t>
            </w:r>
          </w:p>
        </w:tc>
        <w:tc>
          <w:tcPr>
            <w:tcW w:w="260" w:type="dxa"/>
            <w:vAlign w:val="bottom"/>
            <w:shd w:val="clear" w:color="auto" w:fill="E6E6E6"/>
          </w:tcPr>
          <w:p>
            <w:pPr>
              <w:spacing w:after="0"/>
              <w:rPr>
                <w:sz w:val="17"/>
                <w:szCs w:val="17"/>
                <w:color w:val="auto"/>
              </w:rPr>
            </w:pPr>
          </w:p>
        </w:tc>
        <w:tc>
          <w:tcPr>
            <w:tcW w:w="1080" w:type="dxa"/>
            <w:vAlign w:val="bottom"/>
            <w:shd w:val="clear" w:color="auto" w:fill="E6E6E6"/>
          </w:tcPr>
          <w:p>
            <w:pPr>
              <w:jc w:val="right"/>
              <w:ind w:right="95"/>
              <w:spacing w:after="0" w:line="202" w:lineRule="exact"/>
              <w:rPr>
                <w:sz w:val="20"/>
                <w:szCs w:val="20"/>
                <w:color w:val="auto"/>
              </w:rPr>
            </w:pPr>
            <w:r>
              <w:rPr>
                <w:rFonts w:ascii="Arial" w:cs="Arial" w:eastAsia="Arial" w:hAnsi="Arial"/>
                <w:sz w:val="18"/>
                <w:szCs w:val="18"/>
                <w:color w:val="auto"/>
              </w:rPr>
              <w:t>29.8</w:t>
            </w:r>
          </w:p>
        </w:tc>
        <w:tc>
          <w:tcPr>
            <w:tcW w:w="280" w:type="dxa"/>
            <w:vAlign w:val="bottom"/>
            <w:shd w:val="clear" w:color="auto" w:fill="E6E6E6"/>
          </w:tcPr>
          <w:p>
            <w:pPr>
              <w:spacing w:after="0"/>
              <w:rPr>
                <w:sz w:val="17"/>
                <w:szCs w:val="17"/>
                <w:color w:val="auto"/>
              </w:rPr>
            </w:pPr>
          </w:p>
        </w:tc>
        <w:tc>
          <w:tcPr>
            <w:tcW w:w="1100" w:type="dxa"/>
            <w:vAlign w:val="bottom"/>
            <w:shd w:val="clear" w:color="auto" w:fill="E6E6E6"/>
          </w:tcPr>
          <w:p>
            <w:pPr>
              <w:jc w:val="right"/>
              <w:ind w:right="115"/>
              <w:spacing w:after="0" w:line="202" w:lineRule="exact"/>
              <w:rPr>
                <w:sz w:val="20"/>
                <w:szCs w:val="20"/>
                <w:color w:val="auto"/>
              </w:rPr>
            </w:pPr>
            <w:r>
              <w:rPr>
                <w:rFonts w:ascii="Arial" w:cs="Arial" w:eastAsia="Arial" w:hAnsi="Arial"/>
                <w:sz w:val="18"/>
                <w:szCs w:val="18"/>
                <w:color w:val="auto"/>
              </w:rPr>
              <w:t>2.9</w:t>
            </w:r>
          </w:p>
        </w:tc>
        <w:tc>
          <w:tcPr>
            <w:tcW w:w="500" w:type="dxa"/>
            <w:vAlign w:val="bottom"/>
            <w:shd w:val="clear" w:color="auto" w:fill="E6E6E6"/>
          </w:tcPr>
          <w:p>
            <w:pPr>
              <w:spacing w:after="0"/>
              <w:rPr>
                <w:sz w:val="17"/>
                <w:szCs w:val="17"/>
                <w:color w:val="auto"/>
              </w:rPr>
            </w:pPr>
          </w:p>
        </w:tc>
        <w:tc>
          <w:tcPr>
            <w:tcW w:w="820" w:type="dxa"/>
            <w:vAlign w:val="bottom"/>
            <w:shd w:val="clear" w:color="auto" w:fill="E6E6E6"/>
          </w:tcPr>
          <w:p>
            <w:pPr>
              <w:jc w:val="right"/>
              <w:ind w:right="35"/>
              <w:spacing w:after="0" w:line="202" w:lineRule="exact"/>
              <w:rPr>
                <w:sz w:val="20"/>
                <w:szCs w:val="20"/>
                <w:color w:val="auto"/>
              </w:rPr>
            </w:pPr>
            <w:r>
              <w:rPr>
                <w:rFonts w:ascii="Arial" w:cs="Arial" w:eastAsia="Arial" w:hAnsi="Arial"/>
                <w:sz w:val="18"/>
                <w:szCs w:val="18"/>
                <w:color w:val="auto"/>
              </w:rPr>
              <w:t>4.3</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16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7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ind w:right="95"/>
              <w:spacing w:after="0"/>
              <w:rPr>
                <w:sz w:val="20"/>
                <w:szCs w:val="20"/>
                <w:color w:val="auto"/>
              </w:rPr>
            </w:pPr>
            <w:r>
              <w:rPr>
                <w:rFonts w:ascii="Arial" w:cs="Arial" w:eastAsia="Arial" w:hAnsi="Arial"/>
                <w:sz w:val="18"/>
                <w:szCs w:val="18"/>
                <w:b w:val="1"/>
                <w:bCs w:val="1"/>
                <w:color w:val="auto"/>
              </w:rPr>
              <w:t>40.0</w:t>
            </w: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00" w:type="dxa"/>
            <w:vAlign w:val="bottom"/>
          </w:tcPr>
          <w:p>
            <w:pPr>
              <w:jc w:val="right"/>
              <w:ind w:right="115"/>
              <w:spacing w:after="0"/>
              <w:rPr>
                <w:sz w:val="20"/>
                <w:szCs w:val="20"/>
                <w:color w:val="auto"/>
              </w:rPr>
            </w:pPr>
            <w:r>
              <w:rPr>
                <w:rFonts w:ascii="Arial" w:cs="Arial" w:eastAsia="Arial" w:hAnsi="Arial"/>
                <w:sz w:val="18"/>
                <w:szCs w:val="18"/>
                <w:b w:val="1"/>
                <w:bCs w:val="1"/>
                <w:color w:val="auto"/>
              </w:rPr>
              <w:t>13.3</w:t>
            </w:r>
          </w:p>
        </w:tc>
        <w:tc>
          <w:tcPr>
            <w:tcW w:w="500" w:type="dxa"/>
            <w:vAlign w:val="bottom"/>
          </w:tcPr>
          <w:p>
            <w:pPr>
              <w:jc w:val="right"/>
              <w:ind w:right="172"/>
              <w:spacing w:after="0"/>
              <w:rPr>
                <w:sz w:val="20"/>
                <w:szCs w:val="20"/>
                <w:color w:val="auto"/>
              </w:rPr>
            </w:pPr>
            <w:r>
              <w:rPr>
                <w:rFonts w:ascii="Arial" w:cs="Arial" w:eastAsia="Arial" w:hAnsi="Arial"/>
                <w:sz w:val="18"/>
                <w:szCs w:val="18"/>
                <w:b w:val="1"/>
                <w:bCs w:val="1"/>
                <w:color w:val="auto"/>
              </w:rPr>
              <w:t>$</w:t>
            </w:r>
          </w:p>
        </w:tc>
        <w:tc>
          <w:tcPr>
            <w:tcW w:w="820" w:type="dxa"/>
            <w:vAlign w:val="bottom"/>
          </w:tcPr>
          <w:p>
            <w:pPr>
              <w:jc w:val="right"/>
              <w:ind w:right="35"/>
              <w:spacing w:after="0"/>
              <w:rPr>
                <w:sz w:val="20"/>
                <w:szCs w:val="20"/>
                <w:color w:val="auto"/>
              </w:rPr>
            </w:pPr>
            <w:r>
              <w:rPr>
                <w:rFonts w:ascii="Arial" w:cs="Arial" w:eastAsia="Arial" w:hAnsi="Arial"/>
                <w:sz w:val="18"/>
                <w:szCs w:val="18"/>
                <w:b w:val="1"/>
                <w:bCs w:val="1"/>
                <w:color w:val="auto"/>
              </w:rPr>
              <w:t>53.7</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7380" w:type="dxa"/>
            <w:vAlign w:val="bottom"/>
            <w:tcBorders>
              <w:bottom w:val="single" w:sz="8" w:color="808080"/>
            </w:tcBorders>
            <w:gridSpan w:val="3"/>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7380" w:type="dxa"/>
            <w:vAlign w:val="bottom"/>
            <w:gridSpan w:val="3"/>
          </w:tcPr>
          <w:p>
            <w:pPr>
              <w:spacing w:after="0"/>
              <w:rPr>
                <w:sz w:val="9"/>
                <w:szCs w:val="9"/>
                <w:color w:val="auto"/>
              </w:rPr>
            </w:pPr>
          </w:p>
        </w:tc>
        <w:tc>
          <w:tcPr>
            <w:tcW w:w="2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60" w:type="dxa"/>
            <w:vAlign w:val="bottom"/>
            <w:gridSpan w:val="2"/>
            <w:shd w:val="clear" w:color="auto" w:fill="E6E6E6"/>
          </w:tcPr>
          <w:p>
            <w:pPr>
              <w:spacing w:after="0" w:line="202" w:lineRule="exact"/>
              <w:rPr>
                <w:sz w:val="20"/>
                <w:szCs w:val="20"/>
                <w:color w:val="auto"/>
              </w:rPr>
            </w:pPr>
            <w:r>
              <w:rPr>
                <w:rFonts w:ascii="Arial" w:cs="Arial" w:eastAsia="Arial" w:hAnsi="Arial"/>
                <w:sz w:val="18"/>
                <w:szCs w:val="18"/>
                <w:color w:val="auto"/>
              </w:rPr>
              <w:t>State and local</w:t>
            </w:r>
          </w:p>
        </w:tc>
        <w:tc>
          <w:tcPr>
            <w:tcW w:w="260" w:type="dxa"/>
            <w:vAlign w:val="bottom"/>
            <w:shd w:val="clear" w:color="auto" w:fill="E6E6E6"/>
          </w:tcPr>
          <w:p>
            <w:pPr>
              <w:spacing w:after="0"/>
              <w:rPr>
                <w:sz w:val="17"/>
                <w:szCs w:val="17"/>
                <w:color w:val="auto"/>
              </w:rPr>
            </w:pPr>
          </w:p>
        </w:tc>
        <w:tc>
          <w:tcPr>
            <w:tcW w:w="1080" w:type="dxa"/>
            <w:vAlign w:val="bottom"/>
            <w:shd w:val="clear" w:color="auto" w:fill="E6E6E6"/>
          </w:tcPr>
          <w:p>
            <w:pPr>
              <w:spacing w:after="0"/>
              <w:rPr>
                <w:sz w:val="17"/>
                <w:szCs w:val="17"/>
                <w:color w:val="auto"/>
              </w:rPr>
            </w:pPr>
          </w:p>
        </w:tc>
        <w:tc>
          <w:tcPr>
            <w:tcW w:w="280" w:type="dxa"/>
            <w:vAlign w:val="bottom"/>
            <w:shd w:val="clear" w:color="auto" w:fill="E6E6E6"/>
          </w:tcPr>
          <w:p>
            <w:pPr>
              <w:spacing w:after="0"/>
              <w:rPr>
                <w:sz w:val="17"/>
                <w:szCs w:val="17"/>
                <w:color w:val="auto"/>
              </w:rPr>
            </w:pPr>
          </w:p>
        </w:tc>
        <w:tc>
          <w:tcPr>
            <w:tcW w:w="1100" w:type="dxa"/>
            <w:vAlign w:val="bottom"/>
            <w:shd w:val="clear" w:color="auto" w:fill="E6E6E6"/>
          </w:tcPr>
          <w:p>
            <w:pPr>
              <w:spacing w:after="0"/>
              <w:rPr>
                <w:sz w:val="17"/>
                <w:szCs w:val="17"/>
                <w:color w:val="auto"/>
              </w:rPr>
            </w:pPr>
          </w:p>
        </w:tc>
        <w:tc>
          <w:tcPr>
            <w:tcW w:w="500" w:type="dxa"/>
            <w:vAlign w:val="bottom"/>
            <w:shd w:val="clear" w:color="auto" w:fill="E6E6E6"/>
          </w:tcPr>
          <w:p>
            <w:pPr>
              <w:spacing w:after="0"/>
              <w:rPr>
                <w:sz w:val="17"/>
                <w:szCs w:val="17"/>
                <w:color w:val="auto"/>
              </w:rPr>
            </w:pPr>
          </w:p>
        </w:tc>
        <w:tc>
          <w:tcPr>
            <w:tcW w:w="820" w:type="dxa"/>
            <w:vAlign w:val="bottom"/>
            <w:shd w:val="clear" w:color="auto" w:fill="E6E6E6"/>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60" w:type="dxa"/>
            <w:vAlign w:val="bottom"/>
            <w:gridSpan w:val="2"/>
          </w:tcPr>
          <w:p>
            <w:pPr>
              <w:ind w:left="140"/>
              <w:spacing w:after="0" w:line="202" w:lineRule="exact"/>
              <w:rPr>
                <w:sz w:val="20"/>
                <w:szCs w:val="20"/>
                <w:color w:val="auto"/>
              </w:rPr>
            </w:pPr>
            <w:r>
              <w:rPr>
                <w:rFonts w:ascii="Arial" w:cs="Arial" w:eastAsia="Arial" w:hAnsi="Arial"/>
                <w:sz w:val="18"/>
                <w:szCs w:val="18"/>
                <w:color w:val="auto"/>
              </w:rPr>
              <w:t>Current</w:t>
            </w:r>
          </w:p>
        </w:tc>
        <w:tc>
          <w:tcPr>
            <w:tcW w:w="2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80" w:type="dxa"/>
            <w:vAlign w:val="bottom"/>
          </w:tcPr>
          <w:p>
            <w:pPr>
              <w:jc w:val="right"/>
              <w:ind w:right="95"/>
              <w:spacing w:after="0" w:line="202" w:lineRule="exact"/>
              <w:rPr>
                <w:sz w:val="20"/>
                <w:szCs w:val="20"/>
                <w:color w:val="auto"/>
              </w:rPr>
            </w:pPr>
            <w:r>
              <w:rPr>
                <w:rFonts w:ascii="Arial" w:cs="Arial" w:eastAsia="Arial" w:hAnsi="Arial"/>
                <w:sz w:val="18"/>
                <w:szCs w:val="18"/>
                <w:color w:val="auto"/>
              </w:rPr>
              <w:t>1.8</w:t>
            </w:r>
          </w:p>
        </w:tc>
        <w:tc>
          <w:tcPr>
            <w:tcW w:w="2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100" w:type="dxa"/>
            <w:vAlign w:val="bottom"/>
          </w:tcPr>
          <w:p>
            <w:pPr>
              <w:jc w:val="right"/>
              <w:ind w:right="115"/>
              <w:spacing w:after="0" w:line="202" w:lineRule="exact"/>
              <w:rPr>
                <w:sz w:val="20"/>
                <w:szCs w:val="20"/>
                <w:color w:val="auto"/>
              </w:rPr>
            </w:pPr>
            <w:r>
              <w:rPr>
                <w:rFonts w:ascii="Arial" w:cs="Arial" w:eastAsia="Arial" w:hAnsi="Arial"/>
                <w:sz w:val="18"/>
                <w:szCs w:val="18"/>
                <w:color w:val="auto"/>
              </w:rPr>
              <w:t>1.1</w:t>
            </w:r>
          </w:p>
        </w:tc>
        <w:tc>
          <w:tcPr>
            <w:tcW w:w="500" w:type="dxa"/>
            <w:vAlign w:val="bottom"/>
          </w:tcPr>
          <w:p>
            <w:pPr>
              <w:jc w:val="right"/>
              <w:ind w:right="172"/>
              <w:spacing w:after="0" w:line="202" w:lineRule="exact"/>
              <w:rPr>
                <w:sz w:val="20"/>
                <w:szCs w:val="20"/>
                <w:color w:val="auto"/>
              </w:rPr>
            </w:pPr>
            <w:r>
              <w:rPr>
                <w:rFonts w:ascii="Arial" w:cs="Arial" w:eastAsia="Arial" w:hAnsi="Arial"/>
                <w:sz w:val="18"/>
                <w:szCs w:val="18"/>
                <w:color w:val="auto"/>
              </w:rPr>
              <w:t>$</w:t>
            </w:r>
          </w:p>
        </w:tc>
        <w:tc>
          <w:tcPr>
            <w:tcW w:w="820" w:type="dxa"/>
            <w:vAlign w:val="bottom"/>
          </w:tcPr>
          <w:p>
            <w:pPr>
              <w:jc w:val="right"/>
              <w:ind w:right="35"/>
              <w:spacing w:after="0" w:line="202" w:lineRule="exact"/>
              <w:rPr>
                <w:sz w:val="20"/>
                <w:szCs w:val="20"/>
                <w:color w:val="auto"/>
              </w:rPr>
            </w:pPr>
            <w:r>
              <w:rPr>
                <w:rFonts w:ascii="Arial" w:cs="Arial" w:eastAsia="Arial" w:hAnsi="Arial"/>
                <w:sz w:val="18"/>
                <w:szCs w:val="18"/>
                <w:color w:val="auto"/>
              </w:rPr>
              <w:t>5.8</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60" w:type="dxa"/>
            <w:vAlign w:val="bottom"/>
            <w:gridSpan w:val="2"/>
            <w:shd w:val="clear" w:color="auto" w:fill="E6E6E6"/>
          </w:tcPr>
          <w:p>
            <w:pPr>
              <w:ind w:left="140"/>
              <w:spacing w:after="0" w:line="202" w:lineRule="exact"/>
              <w:rPr>
                <w:sz w:val="20"/>
                <w:szCs w:val="20"/>
                <w:color w:val="auto"/>
              </w:rPr>
            </w:pPr>
            <w:r>
              <w:rPr>
                <w:rFonts w:ascii="Arial" w:cs="Arial" w:eastAsia="Arial" w:hAnsi="Arial"/>
                <w:sz w:val="18"/>
                <w:szCs w:val="18"/>
                <w:color w:val="auto"/>
              </w:rPr>
              <w:t>Deferred</w:t>
            </w:r>
          </w:p>
        </w:tc>
        <w:tc>
          <w:tcPr>
            <w:tcW w:w="260" w:type="dxa"/>
            <w:vAlign w:val="bottom"/>
            <w:shd w:val="clear" w:color="auto" w:fill="E6E6E6"/>
          </w:tcPr>
          <w:p>
            <w:pPr>
              <w:spacing w:after="0"/>
              <w:rPr>
                <w:sz w:val="17"/>
                <w:szCs w:val="17"/>
                <w:color w:val="auto"/>
              </w:rPr>
            </w:pPr>
          </w:p>
        </w:tc>
        <w:tc>
          <w:tcPr>
            <w:tcW w:w="1080" w:type="dxa"/>
            <w:vAlign w:val="bottom"/>
            <w:shd w:val="clear" w:color="auto" w:fill="E6E6E6"/>
          </w:tcPr>
          <w:p>
            <w:pPr>
              <w:jc w:val="right"/>
              <w:ind w:right="95"/>
              <w:spacing w:after="0" w:line="202" w:lineRule="exact"/>
              <w:rPr>
                <w:sz w:val="20"/>
                <w:szCs w:val="20"/>
                <w:color w:val="auto"/>
              </w:rPr>
            </w:pPr>
            <w:r>
              <w:rPr>
                <w:rFonts w:ascii="Arial" w:cs="Arial" w:eastAsia="Arial" w:hAnsi="Arial"/>
                <w:sz w:val="18"/>
                <w:szCs w:val="18"/>
                <w:color w:val="auto"/>
              </w:rPr>
              <w:t>1.1</w:t>
            </w:r>
          </w:p>
        </w:tc>
        <w:tc>
          <w:tcPr>
            <w:tcW w:w="280" w:type="dxa"/>
            <w:vAlign w:val="bottom"/>
            <w:shd w:val="clear" w:color="auto" w:fill="E6E6E6"/>
          </w:tcPr>
          <w:p>
            <w:pPr>
              <w:spacing w:after="0"/>
              <w:rPr>
                <w:sz w:val="17"/>
                <w:szCs w:val="17"/>
                <w:color w:val="auto"/>
              </w:rPr>
            </w:pPr>
          </w:p>
        </w:tc>
        <w:tc>
          <w:tcPr>
            <w:tcW w:w="1100" w:type="dxa"/>
            <w:vAlign w:val="bottom"/>
            <w:shd w:val="clear" w:color="auto" w:fill="E6E6E6"/>
          </w:tcPr>
          <w:p>
            <w:pPr>
              <w:jc w:val="right"/>
              <w:ind w:right="115"/>
              <w:spacing w:after="0" w:line="202" w:lineRule="exact"/>
              <w:rPr>
                <w:sz w:val="20"/>
                <w:szCs w:val="20"/>
                <w:color w:val="auto"/>
              </w:rPr>
            </w:pPr>
            <w:r>
              <w:rPr>
                <w:rFonts w:ascii="Arial" w:cs="Arial" w:eastAsia="Arial" w:hAnsi="Arial"/>
                <w:sz w:val="18"/>
                <w:szCs w:val="18"/>
                <w:color w:val="auto"/>
              </w:rPr>
              <w:t>0.3</w:t>
            </w:r>
          </w:p>
        </w:tc>
        <w:tc>
          <w:tcPr>
            <w:tcW w:w="500" w:type="dxa"/>
            <w:vAlign w:val="bottom"/>
            <w:shd w:val="clear" w:color="auto" w:fill="E6E6E6"/>
          </w:tcPr>
          <w:p>
            <w:pPr>
              <w:spacing w:after="0"/>
              <w:rPr>
                <w:sz w:val="17"/>
                <w:szCs w:val="17"/>
                <w:color w:val="auto"/>
              </w:rPr>
            </w:pPr>
          </w:p>
        </w:tc>
        <w:tc>
          <w:tcPr>
            <w:tcW w:w="820" w:type="dxa"/>
            <w:vAlign w:val="bottom"/>
            <w:shd w:val="clear" w:color="auto" w:fill="E6E6E6"/>
          </w:tcPr>
          <w:p>
            <w:pPr>
              <w:jc w:val="right"/>
              <w:ind w:right="35"/>
              <w:spacing w:after="0" w:line="202" w:lineRule="exact"/>
              <w:rPr>
                <w:sz w:val="20"/>
                <w:szCs w:val="20"/>
                <w:color w:val="auto"/>
              </w:rPr>
            </w:pPr>
            <w:r>
              <w:rPr>
                <w:rFonts w:ascii="Arial" w:cs="Arial" w:eastAsia="Arial" w:hAnsi="Arial"/>
                <w:sz w:val="18"/>
                <w:szCs w:val="18"/>
                <w:color w:val="auto"/>
              </w:rPr>
              <w:t>0.4</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16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7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ind w:right="95"/>
              <w:spacing w:after="0"/>
              <w:rPr>
                <w:sz w:val="20"/>
                <w:szCs w:val="20"/>
                <w:color w:val="auto"/>
              </w:rPr>
            </w:pPr>
            <w:r>
              <w:rPr>
                <w:rFonts w:ascii="Arial" w:cs="Arial" w:eastAsia="Arial" w:hAnsi="Arial"/>
                <w:sz w:val="18"/>
                <w:szCs w:val="18"/>
                <w:b w:val="1"/>
                <w:bCs w:val="1"/>
                <w:color w:val="auto"/>
              </w:rPr>
              <w:t>2.9</w:t>
            </w: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00" w:type="dxa"/>
            <w:vAlign w:val="bottom"/>
          </w:tcPr>
          <w:p>
            <w:pPr>
              <w:jc w:val="right"/>
              <w:ind w:right="115"/>
              <w:spacing w:after="0"/>
              <w:rPr>
                <w:sz w:val="20"/>
                <w:szCs w:val="20"/>
                <w:color w:val="auto"/>
              </w:rPr>
            </w:pPr>
            <w:r>
              <w:rPr>
                <w:rFonts w:ascii="Arial" w:cs="Arial" w:eastAsia="Arial" w:hAnsi="Arial"/>
                <w:sz w:val="18"/>
                <w:szCs w:val="18"/>
                <w:b w:val="1"/>
                <w:bCs w:val="1"/>
                <w:color w:val="auto"/>
              </w:rPr>
              <w:t>1.4</w:t>
            </w:r>
          </w:p>
        </w:tc>
        <w:tc>
          <w:tcPr>
            <w:tcW w:w="500" w:type="dxa"/>
            <w:vAlign w:val="bottom"/>
          </w:tcPr>
          <w:p>
            <w:pPr>
              <w:jc w:val="right"/>
              <w:ind w:right="172"/>
              <w:spacing w:after="0"/>
              <w:rPr>
                <w:sz w:val="20"/>
                <w:szCs w:val="20"/>
                <w:color w:val="auto"/>
              </w:rPr>
            </w:pPr>
            <w:r>
              <w:rPr>
                <w:rFonts w:ascii="Arial" w:cs="Arial" w:eastAsia="Arial" w:hAnsi="Arial"/>
                <w:sz w:val="18"/>
                <w:szCs w:val="18"/>
                <w:b w:val="1"/>
                <w:bCs w:val="1"/>
                <w:color w:val="auto"/>
              </w:rPr>
              <w:t>$</w:t>
            </w:r>
          </w:p>
        </w:tc>
        <w:tc>
          <w:tcPr>
            <w:tcW w:w="820" w:type="dxa"/>
            <w:vAlign w:val="bottom"/>
          </w:tcPr>
          <w:p>
            <w:pPr>
              <w:jc w:val="right"/>
              <w:ind w:right="35"/>
              <w:spacing w:after="0"/>
              <w:rPr>
                <w:sz w:val="20"/>
                <w:szCs w:val="20"/>
                <w:color w:val="auto"/>
              </w:rPr>
            </w:pPr>
            <w:r>
              <w:rPr>
                <w:rFonts w:ascii="Arial" w:cs="Arial" w:eastAsia="Arial" w:hAnsi="Arial"/>
                <w:sz w:val="18"/>
                <w:szCs w:val="18"/>
                <w:b w:val="1"/>
                <w:bCs w:val="1"/>
                <w:color w:val="auto"/>
              </w:rPr>
              <w:t>6.2</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7180" w:type="dxa"/>
            <w:vAlign w:val="bottom"/>
            <w:gridSpan w:val="2"/>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7380" w:type="dxa"/>
            <w:vAlign w:val="bottom"/>
            <w:gridSpan w:val="3"/>
          </w:tcPr>
          <w:p>
            <w:pPr>
              <w:spacing w:after="0"/>
              <w:rPr>
                <w:sz w:val="9"/>
                <w:szCs w:val="9"/>
                <w:color w:val="auto"/>
              </w:rPr>
            </w:pPr>
          </w:p>
        </w:tc>
        <w:tc>
          <w:tcPr>
            <w:tcW w:w="2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60" w:type="dxa"/>
            <w:vAlign w:val="bottom"/>
            <w:gridSpan w:val="2"/>
            <w:shd w:val="clear" w:color="auto" w:fill="E6E6E6"/>
          </w:tcPr>
          <w:p>
            <w:pPr>
              <w:spacing w:after="0" w:line="202" w:lineRule="exact"/>
              <w:rPr>
                <w:sz w:val="20"/>
                <w:szCs w:val="20"/>
                <w:color w:val="auto"/>
              </w:rPr>
            </w:pPr>
            <w:r>
              <w:rPr>
                <w:rFonts w:ascii="Arial" w:cs="Arial" w:eastAsia="Arial" w:hAnsi="Arial"/>
                <w:sz w:val="18"/>
                <w:szCs w:val="18"/>
                <w:color w:val="auto"/>
              </w:rPr>
              <w:t>International</w:t>
            </w:r>
          </w:p>
        </w:tc>
        <w:tc>
          <w:tcPr>
            <w:tcW w:w="260" w:type="dxa"/>
            <w:vAlign w:val="bottom"/>
            <w:shd w:val="clear" w:color="auto" w:fill="E6E6E6"/>
          </w:tcPr>
          <w:p>
            <w:pPr>
              <w:spacing w:after="0"/>
              <w:rPr>
                <w:sz w:val="17"/>
                <w:szCs w:val="17"/>
                <w:color w:val="auto"/>
              </w:rPr>
            </w:pPr>
          </w:p>
        </w:tc>
        <w:tc>
          <w:tcPr>
            <w:tcW w:w="1080" w:type="dxa"/>
            <w:vAlign w:val="bottom"/>
            <w:shd w:val="clear" w:color="auto" w:fill="E6E6E6"/>
          </w:tcPr>
          <w:p>
            <w:pPr>
              <w:spacing w:after="0"/>
              <w:rPr>
                <w:sz w:val="17"/>
                <w:szCs w:val="17"/>
                <w:color w:val="auto"/>
              </w:rPr>
            </w:pPr>
          </w:p>
        </w:tc>
        <w:tc>
          <w:tcPr>
            <w:tcW w:w="280" w:type="dxa"/>
            <w:vAlign w:val="bottom"/>
            <w:shd w:val="clear" w:color="auto" w:fill="E6E6E6"/>
          </w:tcPr>
          <w:p>
            <w:pPr>
              <w:spacing w:after="0"/>
              <w:rPr>
                <w:sz w:val="17"/>
                <w:szCs w:val="17"/>
                <w:color w:val="auto"/>
              </w:rPr>
            </w:pPr>
          </w:p>
        </w:tc>
        <w:tc>
          <w:tcPr>
            <w:tcW w:w="1100" w:type="dxa"/>
            <w:vAlign w:val="bottom"/>
            <w:shd w:val="clear" w:color="auto" w:fill="E6E6E6"/>
          </w:tcPr>
          <w:p>
            <w:pPr>
              <w:spacing w:after="0"/>
              <w:rPr>
                <w:sz w:val="17"/>
                <w:szCs w:val="17"/>
                <w:color w:val="auto"/>
              </w:rPr>
            </w:pPr>
          </w:p>
        </w:tc>
        <w:tc>
          <w:tcPr>
            <w:tcW w:w="500" w:type="dxa"/>
            <w:vAlign w:val="bottom"/>
            <w:shd w:val="clear" w:color="auto" w:fill="E6E6E6"/>
          </w:tcPr>
          <w:p>
            <w:pPr>
              <w:spacing w:after="0"/>
              <w:rPr>
                <w:sz w:val="17"/>
                <w:szCs w:val="17"/>
                <w:color w:val="auto"/>
              </w:rPr>
            </w:pPr>
          </w:p>
        </w:tc>
        <w:tc>
          <w:tcPr>
            <w:tcW w:w="820" w:type="dxa"/>
            <w:vAlign w:val="bottom"/>
            <w:shd w:val="clear" w:color="auto" w:fill="E6E6E6"/>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60" w:type="dxa"/>
            <w:vAlign w:val="bottom"/>
            <w:gridSpan w:val="2"/>
          </w:tcPr>
          <w:p>
            <w:pPr>
              <w:ind w:left="140"/>
              <w:spacing w:after="0" w:line="202" w:lineRule="exact"/>
              <w:rPr>
                <w:sz w:val="20"/>
                <w:szCs w:val="20"/>
                <w:color w:val="auto"/>
              </w:rPr>
            </w:pPr>
            <w:r>
              <w:rPr>
                <w:rFonts w:ascii="Arial" w:cs="Arial" w:eastAsia="Arial" w:hAnsi="Arial"/>
                <w:sz w:val="18"/>
                <w:szCs w:val="18"/>
                <w:color w:val="auto"/>
              </w:rPr>
              <w:t>Current</w:t>
            </w:r>
          </w:p>
        </w:tc>
        <w:tc>
          <w:tcPr>
            <w:tcW w:w="2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80" w:type="dxa"/>
            <w:vAlign w:val="bottom"/>
          </w:tcPr>
          <w:p>
            <w:pPr>
              <w:jc w:val="right"/>
              <w:ind w:right="95"/>
              <w:spacing w:after="0" w:line="202" w:lineRule="exact"/>
              <w:rPr>
                <w:sz w:val="20"/>
                <w:szCs w:val="20"/>
                <w:color w:val="auto"/>
              </w:rPr>
            </w:pPr>
            <w:r>
              <w:rPr>
                <w:rFonts w:ascii="Arial" w:cs="Arial" w:eastAsia="Arial" w:hAnsi="Arial"/>
                <w:sz w:val="18"/>
                <w:szCs w:val="18"/>
                <w:color w:val="auto"/>
              </w:rPr>
              <w:t>8.6</w:t>
            </w:r>
          </w:p>
        </w:tc>
        <w:tc>
          <w:tcPr>
            <w:tcW w:w="2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100" w:type="dxa"/>
            <w:vAlign w:val="bottom"/>
          </w:tcPr>
          <w:p>
            <w:pPr>
              <w:jc w:val="right"/>
              <w:ind w:right="115"/>
              <w:spacing w:after="0" w:line="202" w:lineRule="exact"/>
              <w:rPr>
                <w:sz w:val="20"/>
                <w:szCs w:val="20"/>
                <w:color w:val="auto"/>
              </w:rPr>
            </w:pPr>
            <w:r>
              <w:rPr>
                <w:rFonts w:ascii="Arial" w:cs="Arial" w:eastAsia="Arial" w:hAnsi="Arial"/>
                <w:sz w:val="18"/>
                <w:szCs w:val="18"/>
                <w:color w:val="auto"/>
              </w:rPr>
              <w:t>5.5</w:t>
            </w:r>
          </w:p>
        </w:tc>
        <w:tc>
          <w:tcPr>
            <w:tcW w:w="500" w:type="dxa"/>
            <w:vAlign w:val="bottom"/>
          </w:tcPr>
          <w:p>
            <w:pPr>
              <w:jc w:val="right"/>
              <w:ind w:right="172"/>
              <w:spacing w:after="0" w:line="202" w:lineRule="exact"/>
              <w:rPr>
                <w:sz w:val="20"/>
                <w:szCs w:val="20"/>
                <w:color w:val="auto"/>
              </w:rPr>
            </w:pPr>
            <w:r>
              <w:rPr>
                <w:rFonts w:ascii="Arial" w:cs="Arial" w:eastAsia="Arial" w:hAnsi="Arial"/>
                <w:sz w:val="18"/>
                <w:szCs w:val="18"/>
                <w:color w:val="auto"/>
              </w:rPr>
              <w:t>$</w:t>
            </w:r>
          </w:p>
        </w:tc>
        <w:tc>
          <w:tcPr>
            <w:tcW w:w="820" w:type="dxa"/>
            <w:vAlign w:val="bottom"/>
          </w:tcPr>
          <w:p>
            <w:pPr>
              <w:jc w:val="right"/>
              <w:ind w:right="35"/>
              <w:spacing w:after="0" w:line="202" w:lineRule="exact"/>
              <w:rPr>
                <w:sz w:val="20"/>
                <w:szCs w:val="20"/>
                <w:color w:val="auto"/>
              </w:rPr>
            </w:pPr>
            <w:r>
              <w:rPr>
                <w:rFonts w:ascii="Arial" w:cs="Arial" w:eastAsia="Arial" w:hAnsi="Arial"/>
                <w:sz w:val="18"/>
                <w:szCs w:val="18"/>
                <w:color w:val="auto"/>
              </w:rPr>
              <w:t>9.3</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60" w:type="dxa"/>
            <w:vAlign w:val="bottom"/>
            <w:gridSpan w:val="2"/>
            <w:shd w:val="clear" w:color="auto" w:fill="E6E6E6"/>
          </w:tcPr>
          <w:p>
            <w:pPr>
              <w:ind w:left="140"/>
              <w:spacing w:after="0" w:line="202" w:lineRule="exact"/>
              <w:rPr>
                <w:sz w:val="20"/>
                <w:szCs w:val="20"/>
                <w:color w:val="auto"/>
              </w:rPr>
            </w:pPr>
            <w:r>
              <w:rPr>
                <w:rFonts w:ascii="Arial" w:cs="Arial" w:eastAsia="Arial" w:hAnsi="Arial"/>
                <w:sz w:val="18"/>
                <w:szCs w:val="18"/>
                <w:color w:val="auto"/>
              </w:rPr>
              <w:t>Deferred</w:t>
            </w:r>
          </w:p>
        </w:tc>
        <w:tc>
          <w:tcPr>
            <w:tcW w:w="260" w:type="dxa"/>
            <w:vAlign w:val="bottom"/>
            <w:shd w:val="clear" w:color="auto" w:fill="E6E6E6"/>
          </w:tcPr>
          <w:p>
            <w:pPr>
              <w:spacing w:after="0"/>
              <w:rPr>
                <w:sz w:val="17"/>
                <w:szCs w:val="17"/>
                <w:color w:val="auto"/>
              </w:rPr>
            </w:pPr>
          </w:p>
        </w:tc>
        <w:tc>
          <w:tcPr>
            <w:tcW w:w="1080" w:type="dxa"/>
            <w:vAlign w:val="bottom"/>
            <w:shd w:val="clear" w:color="auto" w:fill="E6E6E6"/>
          </w:tcPr>
          <w:p>
            <w:pPr>
              <w:jc w:val="right"/>
              <w:ind w:right="95"/>
              <w:spacing w:after="0" w:line="202" w:lineRule="exact"/>
              <w:rPr>
                <w:sz w:val="20"/>
                <w:szCs w:val="20"/>
                <w:color w:val="auto"/>
              </w:rPr>
            </w:pPr>
            <w:r>
              <w:rPr>
                <w:rFonts w:ascii="Arial" w:cs="Arial" w:eastAsia="Arial" w:hAnsi="Arial"/>
                <w:sz w:val="18"/>
                <w:szCs w:val="18"/>
                <w:color w:val="auto"/>
              </w:rPr>
              <w:t>1.4</w:t>
            </w:r>
          </w:p>
        </w:tc>
        <w:tc>
          <w:tcPr>
            <w:tcW w:w="280" w:type="dxa"/>
            <w:vAlign w:val="bottom"/>
            <w:shd w:val="clear" w:color="auto" w:fill="E6E6E6"/>
          </w:tcPr>
          <w:p>
            <w:pPr>
              <w:spacing w:after="0"/>
              <w:rPr>
                <w:sz w:val="17"/>
                <w:szCs w:val="17"/>
                <w:color w:val="auto"/>
              </w:rPr>
            </w:pPr>
          </w:p>
        </w:tc>
        <w:tc>
          <w:tcPr>
            <w:tcW w:w="1100" w:type="dxa"/>
            <w:vAlign w:val="bottom"/>
            <w:shd w:val="clear" w:color="auto" w:fill="E6E6E6"/>
          </w:tcPr>
          <w:p>
            <w:pPr>
              <w:jc w:val="right"/>
              <w:ind w:right="115"/>
              <w:spacing w:after="0" w:line="202" w:lineRule="exact"/>
              <w:rPr>
                <w:sz w:val="20"/>
                <w:szCs w:val="20"/>
                <w:color w:val="auto"/>
              </w:rPr>
            </w:pPr>
            <w:r>
              <w:rPr>
                <w:rFonts w:ascii="Arial" w:cs="Arial" w:eastAsia="Arial" w:hAnsi="Arial"/>
                <w:sz w:val="18"/>
                <w:szCs w:val="18"/>
                <w:color w:val="auto"/>
              </w:rPr>
              <w:t>1.2</w:t>
            </w:r>
          </w:p>
        </w:tc>
        <w:tc>
          <w:tcPr>
            <w:tcW w:w="500" w:type="dxa"/>
            <w:vAlign w:val="bottom"/>
            <w:shd w:val="clear" w:color="auto" w:fill="E6E6E6"/>
          </w:tcPr>
          <w:p>
            <w:pPr>
              <w:spacing w:after="0"/>
              <w:rPr>
                <w:sz w:val="17"/>
                <w:szCs w:val="17"/>
                <w:color w:val="auto"/>
              </w:rPr>
            </w:pPr>
          </w:p>
        </w:tc>
        <w:tc>
          <w:tcPr>
            <w:tcW w:w="82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(0.3)</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16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7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ind w:right="95"/>
              <w:spacing w:after="0"/>
              <w:rPr>
                <w:sz w:val="20"/>
                <w:szCs w:val="20"/>
                <w:color w:val="auto"/>
              </w:rPr>
            </w:pPr>
            <w:r>
              <w:rPr>
                <w:rFonts w:ascii="Arial" w:cs="Arial" w:eastAsia="Arial" w:hAnsi="Arial"/>
                <w:sz w:val="18"/>
                <w:szCs w:val="18"/>
                <w:b w:val="1"/>
                <w:bCs w:val="1"/>
                <w:color w:val="auto"/>
              </w:rPr>
              <w:t>10.0</w:t>
            </w: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00" w:type="dxa"/>
            <w:vAlign w:val="bottom"/>
          </w:tcPr>
          <w:p>
            <w:pPr>
              <w:jc w:val="right"/>
              <w:ind w:right="115"/>
              <w:spacing w:after="0"/>
              <w:rPr>
                <w:sz w:val="20"/>
                <w:szCs w:val="20"/>
                <w:color w:val="auto"/>
              </w:rPr>
            </w:pPr>
            <w:r>
              <w:rPr>
                <w:rFonts w:ascii="Arial" w:cs="Arial" w:eastAsia="Arial" w:hAnsi="Arial"/>
                <w:sz w:val="18"/>
                <w:szCs w:val="18"/>
                <w:b w:val="1"/>
                <w:bCs w:val="1"/>
                <w:color w:val="auto"/>
              </w:rPr>
              <w:t>6.7</w:t>
            </w:r>
          </w:p>
        </w:tc>
        <w:tc>
          <w:tcPr>
            <w:tcW w:w="500" w:type="dxa"/>
            <w:vAlign w:val="bottom"/>
          </w:tcPr>
          <w:p>
            <w:pPr>
              <w:jc w:val="right"/>
              <w:ind w:right="172"/>
              <w:spacing w:after="0"/>
              <w:rPr>
                <w:sz w:val="20"/>
                <w:szCs w:val="20"/>
                <w:color w:val="auto"/>
              </w:rPr>
            </w:pPr>
            <w:r>
              <w:rPr>
                <w:rFonts w:ascii="Arial" w:cs="Arial" w:eastAsia="Arial" w:hAnsi="Arial"/>
                <w:sz w:val="18"/>
                <w:szCs w:val="18"/>
                <w:b w:val="1"/>
                <w:bCs w:val="1"/>
                <w:color w:val="auto"/>
              </w:rPr>
              <w:t>$</w:t>
            </w:r>
          </w:p>
        </w:tc>
        <w:tc>
          <w:tcPr>
            <w:tcW w:w="820" w:type="dxa"/>
            <w:vAlign w:val="bottom"/>
          </w:tcPr>
          <w:p>
            <w:pPr>
              <w:jc w:val="right"/>
              <w:ind w:right="35"/>
              <w:spacing w:after="0"/>
              <w:rPr>
                <w:sz w:val="20"/>
                <w:szCs w:val="20"/>
                <w:color w:val="auto"/>
              </w:rPr>
            </w:pPr>
            <w:r>
              <w:rPr>
                <w:rFonts w:ascii="Arial" w:cs="Arial" w:eastAsia="Arial" w:hAnsi="Arial"/>
                <w:sz w:val="18"/>
                <w:szCs w:val="18"/>
                <w:b w:val="1"/>
                <w:bCs w:val="1"/>
                <w:color w:val="auto"/>
              </w:rPr>
              <w:t>9.0</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7380" w:type="dxa"/>
            <w:vAlign w:val="bottom"/>
            <w:tcBorders>
              <w:bottom w:val="single" w:sz="8" w:color="808080"/>
            </w:tcBorders>
            <w:gridSpan w:val="3"/>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360" w:type="dxa"/>
            <w:vAlign w:val="bottom"/>
            <w:gridSpan w:val="2"/>
          </w:tcPr>
          <w:p>
            <w:pPr>
              <w:spacing w:after="0"/>
              <w:rPr>
                <w:sz w:val="9"/>
                <w:szCs w:val="9"/>
                <w:color w:val="auto"/>
              </w:rPr>
            </w:pPr>
          </w:p>
        </w:tc>
        <w:tc>
          <w:tcPr>
            <w:tcW w:w="2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360" w:type="dxa"/>
            <w:vAlign w:val="bottom"/>
            <w:gridSpan w:val="2"/>
            <w:shd w:val="clear" w:color="auto" w:fill="E6E6E6"/>
          </w:tcPr>
          <w:p>
            <w:pPr>
              <w:spacing w:after="0" w:line="202" w:lineRule="exact"/>
              <w:rPr>
                <w:sz w:val="20"/>
                <w:szCs w:val="20"/>
                <w:color w:val="auto"/>
              </w:rPr>
            </w:pPr>
            <w:r>
              <w:rPr>
                <w:rFonts w:ascii="Arial" w:cs="Arial" w:eastAsia="Arial" w:hAnsi="Arial"/>
                <w:sz w:val="18"/>
                <w:szCs w:val="18"/>
                <w:b w:val="1"/>
                <w:bCs w:val="1"/>
                <w:color w:val="auto"/>
              </w:rPr>
              <w:t>Total</w:t>
            </w:r>
          </w:p>
        </w:tc>
        <w:tc>
          <w:tcPr>
            <w:tcW w:w="260" w:type="dxa"/>
            <w:vAlign w:val="bottom"/>
            <w:shd w:val="clear" w:color="auto" w:fill="E6E6E6"/>
          </w:tcPr>
          <w:p>
            <w:pPr>
              <w:spacing w:after="0"/>
              <w:rPr>
                <w:sz w:val="17"/>
                <w:szCs w:val="17"/>
                <w:color w:val="auto"/>
              </w:rPr>
            </w:pPr>
          </w:p>
        </w:tc>
        <w:tc>
          <w:tcPr>
            <w:tcW w:w="1080" w:type="dxa"/>
            <w:vAlign w:val="bottom"/>
            <w:shd w:val="clear" w:color="auto" w:fill="E6E6E6"/>
          </w:tcPr>
          <w:p>
            <w:pPr>
              <w:spacing w:after="0"/>
              <w:rPr>
                <w:sz w:val="17"/>
                <w:szCs w:val="17"/>
                <w:color w:val="auto"/>
              </w:rPr>
            </w:pPr>
          </w:p>
        </w:tc>
        <w:tc>
          <w:tcPr>
            <w:tcW w:w="280" w:type="dxa"/>
            <w:vAlign w:val="bottom"/>
            <w:shd w:val="clear" w:color="auto" w:fill="E6E6E6"/>
          </w:tcPr>
          <w:p>
            <w:pPr>
              <w:spacing w:after="0"/>
              <w:rPr>
                <w:sz w:val="17"/>
                <w:szCs w:val="17"/>
                <w:color w:val="auto"/>
              </w:rPr>
            </w:pPr>
          </w:p>
        </w:tc>
        <w:tc>
          <w:tcPr>
            <w:tcW w:w="1100" w:type="dxa"/>
            <w:vAlign w:val="bottom"/>
            <w:shd w:val="clear" w:color="auto" w:fill="E6E6E6"/>
          </w:tcPr>
          <w:p>
            <w:pPr>
              <w:spacing w:after="0"/>
              <w:rPr>
                <w:sz w:val="17"/>
                <w:szCs w:val="17"/>
                <w:color w:val="auto"/>
              </w:rPr>
            </w:pPr>
          </w:p>
        </w:tc>
        <w:tc>
          <w:tcPr>
            <w:tcW w:w="500" w:type="dxa"/>
            <w:vAlign w:val="bottom"/>
            <w:shd w:val="clear" w:color="auto" w:fill="E6E6E6"/>
          </w:tcPr>
          <w:p>
            <w:pPr>
              <w:spacing w:after="0"/>
              <w:rPr>
                <w:sz w:val="17"/>
                <w:szCs w:val="17"/>
                <w:color w:val="auto"/>
              </w:rPr>
            </w:pPr>
          </w:p>
        </w:tc>
        <w:tc>
          <w:tcPr>
            <w:tcW w:w="820" w:type="dxa"/>
            <w:vAlign w:val="bottom"/>
            <w:shd w:val="clear" w:color="auto" w:fill="E6E6E6"/>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60" w:type="dxa"/>
            <w:vAlign w:val="bottom"/>
            <w:gridSpan w:val="2"/>
          </w:tcPr>
          <w:p>
            <w:pPr>
              <w:ind w:left="140"/>
              <w:spacing w:after="0" w:line="202" w:lineRule="exact"/>
              <w:rPr>
                <w:sz w:val="20"/>
                <w:szCs w:val="20"/>
                <w:color w:val="auto"/>
              </w:rPr>
            </w:pPr>
            <w:r>
              <w:rPr>
                <w:rFonts w:ascii="Arial" w:cs="Arial" w:eastAsia="Arial" w:hAnsi="Arial"/>
                <w:sz w:val="18"/>
                <w:szCs w:val="18"/>
                <w:b w:val="1"/>
                <w:bCs w:val="1"/>
                <w:color w:val="auto"/>
              </w:rPr>
              <w:t>Current</w:t>
            </w:r>
          </w:p>
        </w:tc>
        <w:tc>
          <w:tcPr>
            <w:tcW w:w="2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1080" w:type="dxa"/>
            <w:vAlign w:val="bottom"/>
          </w:tcPr>
          <w:p>
            <w:pPr>
              <w:jc w:val="right"/>
              <w:ind w:right="95"/>
              <w:spacing w:after="0" w:line="202" w:lineRule="exact"/>
              <w:rPr>
                <w:sz w:val="20"/>
                <w:szCs w:val="20"/>
                <w:color w:val="auto"/>
              </w:rPr>
            </w:pPr>
            <w:r>
              <w:rPr>
                <w:rFonts w:ascii="Arial" w:cs="Arial" w:eastAsia="Arial" w:hAnsi="Arial"/>
                <w:sz w:val="18"/>
                <w:szCs w:val="18"/>
                <w:b w:val="1"/>
                <w:bCs w:val="1"/>
                <w:color w:val="auto"/>
              </w:rPr>
              <w:t>20.6</w:t>
            </w:r>
          </w:p>
        </w:tc>
        <w:tc>
          <w:tcPr>
            <w:tcW w:w="2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1100" w:type="dxa"/>
            <w:vAlign w:val="bottom"/>
          </w:tcPr>
          <w:p>
            <w:pPr>
              <w:jc w:val="right"/>
              <w:ind w:right="115"/>
              <w:spacing w:after="0" w:line="202" w:lineRule="exact"/>
              <w:rPr>
                <w:sz w:val="20"/>
                <w:szCs w:val="20"/>
                <w:color w:val="auto"/>
              </w:rPr>
            </w:pPr>
            <w:r>
              <w:rPr>
                <w:rFonts w:ascii="Arial" w:cs="Arial" w:eastAsia="Arial" w:hAnsi="Arial"/>
                <w:sz w:val="18"/>
                <w:szCs w:val="18"/>
                <w:b w:val="1"/>
                <w:bCs w:val="1"/>
                <w:color w:val="auto"/>
              </w:rPr>
              <w:t>17.0</w:t>
            </w:r>
          </w:p>
        </w:tc>
        <w:tc>
          <w:tcPr>
            <w:tcW w:w="500" w:type="dxa"/>
            <w:vAlign w:val="bottom"/>
          </w:tcPr>
          <w:p>
            <w:pPr>
              <w:jc w:val="right"/>
              <w:ind w:right="172"/>
              <w:spacing w:after="0" w:line="202" w:lineRule="exact"/>
              <w:rPr>
                <w:sz w:val="20"/>
                <w:szCs w:val="20"/>
                <w:color w:val="auto"/>
              </w:rPr>
            </w:pPr>
            <w:r>
              <w:rPr>
                <w:rFonts w:ascii="Arial" w:cs="Arial" w:eastAsia="Arial" w:hAnsi="Arial"/>
                <w:sz w:val="18"/>
                <w:szCs w:val="18"/>
                <w:b w:val="1"/>
                <w:bCs w:val="1"/>
                <w:color w:val="auto"/>
              </w:rPr>
              <w:t>$</w:t>
            </w:r>
          </w:p>
        </w:tc>
        <w:tc>
          <w:tcPr>
            <w:tcW w:w="820" w:type="dxa"/>
            <w:vAlign w:val="bottom"/>
          </w:tcPr>
          <w:p>
            <w:pPr>
              <w:jc w:val="right"/>
              <w:ind w:right="35"/>
              <w:spacing w:after="0" w:line="202" w:lineRule="exact"/>
              <w:rPr>
                <w:sz w:val="20"/>
                <w:szCs w:val="20"/>
                <w:color w:val="auto"/>
              </w:rPr>
            </w:pPr>
            <w:r>
              <w:rPr>
                <w:rFonts w:ascii="Arial" w:cs="Arial" w:eastAsia="Arial" w:hAnsi="Arial"/>
                <w:sz w:val="18"/>
                <w:szCs w:val="18"/>
                <w:b w:val="1"/>
                <w:bCs w:val="1"/>
                <w:color w:val="auto"/>
              </w:rPr>
              <w:t>64.5</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60" w:type="dxa"/>
            <w:vAlign w:val="bottom"/>
            <w:gridSpan w:val="2"/>
            <w:shd w:val="clear" w:color="auto" w:fill="E6E6E6"/>
          </w:tcPr>
          <w:p>
            <w:pPr>
              <w:ind w:left="140"/>
              <w:spacing w:after="0" w:line="202" w:lineRule="exact"/>
              <w:rPr>
                <w:sz w:val="20"/>
                <w:szCs w:val="20"/>
                <w:color w:val="auto"/>
              </w:rPr>
            </w:pPr>
            <w:r>
              <w:rPr>
                <w:rFonts w:ascii="Arial" w:cs="Arial" w:eastAsia="Arial" w:hAnsi="Arial"/>
                <w:sz w:val="18"/>
                <w:szCs w:val="18"/>
                <w:b w:val="1"/>
                <w:bCs w:val="1"/>
                <w:color w:val="auto"/>
              </w:rPr>
              <w:t>Deferred</w:t>
            </w:r>
          </w:p>
        </w:tc>
        <w:tc>
          <w:tcPr>
            <w:tcW w:w="260" w:type="dxa"/>
            <w:vAlign w:val="bottom"/>
            <w:shd w:val="clear" w:color="auto" w:fill="E6E6E6"/>
          </w:tcPr>
          <w:p>
            <w:pPr>
              <w:spacing w:after="0"/>
              <w:rPr>
                <w:sz w:val="17"/>
                <w:szCs w:val="17"/>
                <w:color w:val="auto"/>
              </w:rPr>
            </w:pPr>
          </w:p>
        </w:tc>
        <w:tc>
          <w:tcPr>
            <w:tcW w:w="1080" w:type="dxa"/>
            <w:vAlign w:val="bottom"/>
            <w:shd w:val="clear" w:color="auto" w:fill="E6E6E6"/>
          </w:tcPr>
          <w:p>
            <w:pPr>
              <w:jc w:val="right"/>
              <w:ind w:right="95"/>
              <w:spacing w:after="0" w:line="202" w:lineRule="exact"/>
              <w:rPr>
                <w:sz w:val="20"/>
                <w:szCs w:val="20"/>
                <w:color w:val="auto"/>
              </w:rPr>
            </w:pPr>
            <w:r>
              <w:rPr>
                <w:rFonts w:ascii="Arial" w:cs="Arial" w:eastAsia="Arial" w:hAnsi="Arial"/>
                <w:sz w:val="18"/>
                <w:szCs w:val="18"/>
                <w:b w:val="1"/>
                <w:bCs w:val="1"/>
                <w:color w:val="auto"/>
              </w:rPr>
              <w:t>32.3</w:t>
            </w:r>
          </w:p>
        </w:tc>
        <w:tc>
          <w:tcPr>
            <w:tcW w:w="280" w:type="dxa"/>
            <w:vAlign w:val="bottom"/>
            <w:shd w:val="clear" w:color="auto" w:fill="E6E6E6"/>
          </w:tcPr>
          <w:p>
            <w:pPr>
              <w:spacing w:after="0"/>
              <w:rPr>
                <w:sz w:val="17"/>
                <w:szCs w:val="17"/>
                <w:color w:val="auto"/>
              </w:rPr>
            </w:pPr>
          </w:p>
        </w:tc>
        <w:tc>
          <w:tcPr>
            <w:tcW w:w="1100" w:type="dxa"/>
            <w:vAlign w:val="bottom"/>
            <w:shd w:val="clear" w:color="auto" w:fill="E6E6E6"/>
          </w:tcPr>
          <w:p>
            <w:pPr>
              <w:jc w:val="right"/>
              <w:ind w:right="115"/>
              <w:spacing w:after="0" w:line="202" w:lineRule="exact"/>
              <w:rPr>
                <w:sz w:val="20"/>
                <w:szCs w:val="20"/>
                <w:color w:val="auto"/>
              </w:rPr>
            </w:pPr>
            <w:r>
              <w:rPr>
                <w:rFonts w:ascii="Arial" w:cs="Arial" w:eastAsia="Arial" w:hAnsi="Arial"/>
                <w:sz w:val="18"/>
                <w:szCs w:val="18"/>
                <w:b w:val="1"/>
                <w:bCs w:val="1"/>
                <w:color w:val="auto"/>
              </w:rPr>
              <w:t>4.4</w:t>
            </w:r>
          </w:p>
        </w:tc>
        <w:tc>
          <w:tcPr>
            <w:tcW w:w="500" w:type="dxa"/>
            <w:vAlign w:val="bottom"/>
            <w:shd w:val="clear" w:color="auto" w:fill="E6E6E6"/>
          </w:tcPr>
          <w:p>
            <w:pPr>
              <w:spacing w:after="0"/>
              <w:rPr>
                <w:sz w:val="17"/>
                <w:szCs w:val="17"/>
                <w:color w:val="auto"/>
              </w:rPr>
            </w:pPr>
          </w:p>
        </w:tc>
        <w:tc>
          <w:tcPr>
            <w:tcW w:w="820" w:type="dxa"/>
            <w:vAlign w:val="bottom"/>
            <w:shd w:val="clear" w:color="auto" w:fill="E6E6E6"/>
          </w:tcPr>
          <w:p>
            <w:pPr>
              <w:jc w:val="right"/>
              <w:ind w:right="35"/>
              <w:spacing w:after="0" w:line="202" w:lineRule="exact"/>
              <w:rPr>
                <w:sz w:val="20"/>
                <w:szCs w:val="20"/>
                <w:color w:val="auto"/>
              </w:rPr>
            </w:pPr>
            <w:r>
              <w:rPr>
                <w:rFonts w:ascii="Arial" w:cs="Arial" w:eastAsia="Arial" w:hAnsi="Arial"/>
                <w:sz w:val="18"/>
                <w:szCs w:val="18"/>
                <w:b w:val="1"/>
                <w:bCs w:val="1"/>
                <w:color w:val="auto"/>
              </w:rPr>
              <w:t>4.4</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16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7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ind w:right="95"/>
              <w:spacing w:after="0"/>
              <w:rPr>
                <w:sz w:val="20"/>
                <w:szCs w:val="20"/>
                <w:color w:val="auto"/>
              </w:rPr>
            </w:pPr>
            <w:r>
              <w:rPr>
                <w:rFonts w:ascii="Arial" w:cs="Arial" w:eastAsia="Arial" w:hAnsi="Arial"/>
                <w:sz w:val="18"/>
                <w:szCs w:val="18"/>
                <w:b w:val="1"/>
                <w:bCs w:val="1"/>
                <w:color w:val="auto"/>
              </w:rPr>
              <w:t>52.9</w:t>
            </w: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00" w:type="dxa"/>
            <w:vAlign w:val="bottom"/>
          </w:tcPr>
          <w:p>
            <w:pPr>
              <w:jc w:val="right"/>
              <w:ind w:right="115"/>
              <w:spacing w:after="0"/>
              <w:rPr>
                <w:sz w:val="20"/>
                <w:szCs w:val="20"/>
                <w:color w:val="auto"/>
              </w:rPr>
            </w:pPr>
            <w:r>
              <w:rPr>
                <w:rFonts w:ascii="Arial" w:cs="Arial" w:eastAsia="Arial" w:hAnsi="Arial"/>
                <w:sz w:val="18"/>
                <w:szCs w:val="18"/>
                <w:b w:val="1"/>
                <w:bCs w:val="1"/>
                <w:color w:val="auto"/>
              </w:rPr>
              <w:t>21.4</w:t>
            </w:r>
          </w:p>
        </w:tc>
        <w:tc>
          <w:tcPr>
            <w:tcW w:w="500" w:type="dxa"/>
            <w:vAlign w:val="bottom"/>
          </w:tcPr>
          <w:p>
            <w:pPr>
              <w:jc w:val="right"/>
              <w:ind w:right="172"/>
              <w:spacing w:after="0"/>
              <w:rPr>
                <w:sz w:val="20"/>
                <w:szCs w:val="20"/>
                <w:color w:val="auto"/>
              </w:rPr>
            </w:pPr>
            <w:r>
              <w:rPr>
                <w:rFonts w:ascii="Arial" w:cs="Arial" w:eastAsia="Arial" w:hAnsi="Arial"/>
                <w:sz w:val="18"/>
                <w:szCs w:val="18"/>
                <w:b w:val="1"/>
                <w:bCs w:val="1"/>
                <w:color w:val="auto"/>
              </w:rPr>
              <w:t>$</w:t>
            </w:r>
          </w:p>
        </w:tc>
        <w:tc>
          <w:tcPr>
            <w:tcW w:w="820" w:type="dxa"/>
            <w:vAlign w:val="bottom"/>
          </w:tcPr>
          <w:p>
            <w:pPr>
              <w:jc w:val="right"/>
              <w:ind w:right="35"/>
              <w:spacing w:after="0"/>
              <w:rPr>
                <w:sz w:val="20"/>
                <w:szCs w:val="20"/>
                <w:color w:val="auto"/>
              </w:rPr>
            </w:pPr>
            <w:r>
              <w:rPr>
                <w:rFonts w:ascii="Arial" w:cs="Arial" w:eastAsia="Arial" w:hAnsi="Arial"/>
                <w:sz w:val="18"/>
                <w:szCs w:val="18"/>
                <w:b w:val="1"/>
                <w:bCs w:val="1"/>
                <w:color w:val="auto"/>
              </w:rPr>
              <w:t>68.9</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716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-4128770</wp:posOffset>
            </wp:positionV>
            <wp:extent cx="12700" cy="2984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-4128770</wp:posOffset>
            </wp:positionV>
            <wp:extent cx="12700" cy="2984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-4128770</wp:posOffset>
            </wp:positionV>
            <wp:extent cx="12700" cy="2984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-4128770</wp:posOffset>
            </wp:positionV>
            <wp:extent cx="12700" cy="2984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-4128770</wp:posOffset>
            </wp:positionV>
            <wp:extent cx="12700" cy="2984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-4128770</wp:posOffset>
            </wp:positionV>
            <wp:extent cx="12700" cy="2984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-4128770</wp:posOffset>
            </wp:positionV>
            <wp:extent cx="12700" cy="2984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-4128770</wp:posOffset>
            </wp:positionV>
            <wp:extent cx="12700" cy="2984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6503670</wp:posOffset>
            </wp:positionH>
            <wp:positionV relativeFrom="paragraph">
              <wp:posOffset>-4128770</wp:posOffset>
            </wp:positionV>
            <wp:extent cx="12700" cy="2984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-4128770</wp:posOffset>
            </wp:positionV>
            <wp:extent cx="12700" cy="2984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-4128770</wp:posOffset>
            </wp:positionV>
            <wp:extent cx="12700" cy="2984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-4128770</wp:posOffset>
            </wp:positionV>
            <wp:extent cx="12700" cy="2984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-2499360</wp:posOffset>
            </wp:positionV>
            <wp:extent cx="12700" cy="2984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-2499360</wp:posOffset>
            </wp:positionV>
            <wp:extent cx="12700" cy="2984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-2499360</wp:posOffset>
            </wp:positionV>
            <wp:extent cx="12700" cy="2984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-2499360</wp:posOffset>
            </wp:positionV>
            <wp:extent cx="12700" cy="2984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-2499360</wp:posOffset>
            </wp:positionV>
            <wp:extent cx="12700" cy="2984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-2499360</wp:posOffset>
            </wp:positionV>
            <wp:extent cx="12700" cy="2984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-2499360</wp:posOffset>
            </wp:positionV>
            <wp:extent cx="12700" cy="2984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-2499360</wp:posOffset>
            </wp:positionV>
            <wp:extent cx="12700" cy="2984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6503670</wp:posOffset>
            </wp:positionH>
            <wp:positionV relativeFrom="paragraph">
              <wp:posOffset>-2499360</wp:posOffset>
            </wp:positionV>
            <wp:extent cx="12700" cy="2984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-2499360</wp:posOffset>
            </wp:positionV>
            <wp:extent cx="12700" cy="2984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-2499360</wp:posOffset>
            </wp:positionV>
            <wp:extent cx="12700" cy="2984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-2499360</wp:posOffset>
            </wp:positionV>
            <wp:extent cx="12700" cy="2984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-1675765</wp:posOffset>
            </wp:positionV>
            <wp:extent cx="12700" cy="2984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-1675765</wp:posOffset>
            </wp:positionV>
            <wp:extent cx="12700" cy="2984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-1675765</wp:posOffset>
            </wp:positionV>
            <wp:extent cx="12700" cy="2984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-1675765</wp:posOffset>
            </wp:positionV>
            <wp:extent cx="12700" cy="2984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-1675765</wp:posOffset>
            </wp:positionV>
            <wp:extent cx="12700" cy="2984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-1675765</wp:posOffset>
            </wp:positionV>
            <wp:extent cx="12700" cy="2984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-1675765</wp:posOffset>
            </wp:positionV>
            <wp:extent cx="12700" cy="2984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-1675765</wp:posOffset>
            </wp:positionV>
            <wp:extent cx="12700" cy="2984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6503670</wp:posOffset>
            </wp:positionH>
            <wp:positionV relativeFrom="paragraph">
              <wp:posOffset>-1675765</wp:posOffset>
            </wp:positionV>
            <wp:extent cx="12700" cy="2984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-1675765</wp:posOffset>
            </wp:positionV>
            <wp:extent cx="12700" cy="2984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-1675765</wp:posOffset>
            </wp:positionV>
            <wp:extent cx="12700" cy="2984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-1675765</wp:posOffset>
            </wp:positionV>
            <wp:extent cx="12700" cy="2984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-852805</wp:posOffset>
            </wp:positionV>
            <wp:extent cx="12700" cy="2984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-852805</wp:posOffset>
            </wp:positionV>
            <wp:extent cx="12700" cy="2984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-852805</wp:posOffset>
            </wp:positionV>
            <wp:extent cx="12700" cy="2984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-852805</wp:posOffset>
            </wp:positionV>
            <wp:extent cx="12700" cy="2984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-852805</wp:posOffset>
            </wp:positionV>
            <wp:extent cx="12700" cy="2984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-852805</wp:posOffset>
            </wp:positionV>
            <wp:extent cx="12700" cy="2984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-852805</wp:posOffset>
            </wp:positionV>
            <wp:extent cx="12700" cy="2984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-852805</wp:posOffset>
            </wp:positionV>
            <wp:extent cx="12700" cy="2984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6503670</wp:posOffset>
            </wp:positionH>
            <wp:positionV relativeFrom="paragraph">
              <wp:posOffset>-852805</wp:posOffset>
            </wp:positionV>
            <wp:extent cx="12700" cy="2984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-852805</wp:posOffset>
            </wp:positionV>
            <wp:extent cx="12700" cy="2984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-852805</wp:posOffset>
            </wp:positionV>
            <wp:extent cx="12700" cy="2984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-852805</wp:posOffset>
            </wp:positionV>
            <wp:extent cx="12700" cy="2984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-29210</wp:posOffset>
            </wp:positionV>
            <wp:extent cx="12700" cy="2984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-29210</wp:posOffset>
            </wp:positionV>
            <wp:extent cx="12700" cy="2984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-29210</wp:posOffset>
            </wp:positionV>
            <wp:extent cx="12700" cy="2984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-29210</wp:posOffset>
            </wp:positionV>
            <wp:extent cx="12700" cy="2984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-29210</wp:posOffset>
            </wp:positionV>
            <wp:extent cx="12700" cy="2984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-29210</wp:posOffset>
            </wp:positionV>
            <wp:extent cx="12700" cy="2984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-29210</wp:posOffset>
            </wp:positionV>
            <wp:extent cx="12700" cy="2984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6503670</wp:posOffset>
            </wp:positionH>
            <wp:positionV relativeFrom="paragraph">
              <wp:posOffset>-29210</wp:posOffset>
            </wp:positionV>
            <wp:extent cx="12700" cy="2984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-29210</wp:posOffset>
            </wp:positionV>
            <wp:extent cx="12700" cy="2984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-29210</wp:posOffset>
            </wp:positionV>
            <wp:extent cx="12700" cy="2984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833" w:right="199" w:bottom="46" w:gutter="0" w:footer="0" w:header="0"/>
        </w:sectPr>
      </w:pPr>
    </w:p>
    <w:bookmarkStart w:id="63" w:name="page64"/>
    <w:bookmarkEnd w:id="63"/>
    <w:p>
      <w:pPr>
        <w:jc w:val="cente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2816225</wp:posOffset>
            </wp:positionH>
            <wp:positionV relativeFrom="page">
              <wp:posOffset>88900</wp:posOffset>
            </wp:positionV>
            <wp:extent cx="1929765" cy="23177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clrChange>
                        <a:clrFrom>
                          <a:srgbClr val="FFFFFF"/>
                        </a:clrFrom>
                        <a:clrTo>
                          <a:srgbClr val="FFFFFF">
                            <a:alpha val="0"/>
                          </a:srgbClr>
                        </a:clrTo>
                      </a:clrChange>
                      <a:extLst>
                        <a:ext uri="{28A0092B-C50C-407E-A947-70E740481C1C}"/>
                      </a:extLst>
                    </a:blip>
                    <a:srcRect/>
                    <a:stretch>
                      <a:fillRect/>
                    </a:stretch>
                  </pic:blipFill>
                  <pic:spPr bwMode="auto">
                    <a:xfrm>
                      <a:off x="0" y="0"/>
                      <a:ext cx="1929765" cy="231775"/>
                    </a:xfrm>
                    <a:prstGeom prst="rect">
                      <a:avLst/>
                    </a:prstGeom>
                    <a:noFill/>
                  </pic:spPr>
                </pic:pic>
              </a:graphicData>
            </a:graphic>
          </wp:anchor>
        </w:drawing>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164465</wp:posOffset>
            </wp:positionV>
            <wp:extent cx="7267575" cy="3873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9019"/>
          </w:cols>
          <w:pgMar w:left="1440" w:top="706" w:right="1440"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7263765" cy="8890"/>
                    </a:xfrm>
                    <a:prstGeom prst="rect">
                      <a:avLst/>
                    </a:prstGeom>
                    <a:noFill/>
                  </pic:spPr>
                </pic:pic>
              </a:graphicData>
            </a:graphic>
          </wp:anchor>
        </w:drawing>
        <w:t>Effective Tax Rate Reconciliation</w:t>
      </w:r>
    </w:p>
    <w:p>
      <w:pPr>
        <w:spacing w:after="0" w:line="222"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A reconciliation of the significant differences between the effective income tax rate and the federal statutory rate on earnings from continuing operations before income taxes for the fiscal years ended May 31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200660</wp:posOffset>
            </wp:positionV>
            <wp:extent cx="7263765" cy="889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3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860" w:type="dxa"/>
            <w:vAlign w:val="bottom"/>
          </w:tcPr>
          <w:p>
            <w:pPr>
              <w:jc w:val="right"/>
              <w:ind w:right="154"/>
              <w:spacing w:after="0"/>
              <w:rPr>
                <w:sz w:val="20"/>
                <w:szCs w:val="20"/>
                <w:color w:val="auto"/>
              </w:rPr>
            </w:pPr>
            <w:r>
              <w:rPr>
                <w:rFonts w:ascii="Arial" w:cs="Arial" w:eastAsia="Arial" w:hAnsi="Arial"/>
                <w:sz w:val="14"/>
                <w:szCs w:val="14"/>
                <w:b w:val="1"/>
                <w:bCs w:val="1"/>
                <w:color w:val="auto"/>
              </w:rPr>
              <w:t>2010</w:t>
            </w:r>
          </w:p>
        </w:tc>
        <w:tc>
          <w:tcPr>
            <w:tcW w:w="225" w:type="dxa"/>
            <w:vAlign w:val="bottom"/>
          </w:tcPr>
          <w:p>
            <w:pPr>
              <w:spacing w:after="0"/>
              <w:rPr>
                <w:sz w:val="15"/>
                <w:szCs w:val="15"/>
                <w:color w:val="auto"/>
              </w:rPr>
            </w:pPr>
          </w:p>
        </w:tc>
        <w:tc>
          <w:tcPr>
            <w:tcW w:w="1155" w:type="dxa"/>
            <w:vAlign w:val="bottom"/>
          </w:tcPr>
          <w:p>
            <w:pPr>
              <w:jc w:val="right"/>
              <w:ind w:right="174"/>
              <w:spacing w:after="0"/>
              <w:rPr>
                <w:sz w:val="20"/>
                <w:szCs w:val="20"/>
                <w:color w:val="auto"/>
              </w:rPr>
            </w:pPr>
            <w:r>
              <w:rPr>
                <w:rFonts w:ascii="Arial" w:cs="Arial" w:eastAsia="Arial" w:hAnsi="Arial"/>
                <w:sz w:val="14"/>
                <w:szCs w:val="14"/>
                <w:b w:val="1"/>
                <w:bCs w:val="1"/>
                <w:color w:val="auto"/>
              </w:rPr>
              <w:t>2009</w:t>
            </w:r>
          </w:p>
        </w:tc>
        <w:tc>
          <w:tcPr>
            <w:tcW w:w="205" w:type="dxa"/>
            <w:vAlign w:val="bottom"/>
          </w:tcPr>
          <w:p>
            <w:pPr>
              <w:spacing w:after="0"/>
              <w:rPr>
                <w:sz w:val="15"/>
                <w:szCs w:val="15"/>
                <w:color w:val="auto"/>
              </w:rPr>
            </w:pPr>
          </w:p>
        </w:tc>
        <w:tc>
          <w:tcPr>
            <w:tcW w:w="1095" w:type="dxa"/>
            <w:vAlign w:val="bottom"/>
          </w:tcPr>
          <w:p>
            <w:pPr>
              <w:jc w:val="right"/>
              <w:ind w:right="94"/>
              <w:spacing w:after="0"/>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300" w:type="dxa"/>
            <w:vAlign w:val="bottom"/>
            <w:tcBorders>
              <w:bottom w:val="single" w:sz="8" w:color="auto"/>
            </w:tcBorders>
          </w:tcPr>
          <w:p>
            <w:pPr>
              <w:spacing w:after="0"/>
              <w:rPr>
                <w:sz w:val="8"/>
                <w:szCs w:val="8"/>
                <w:color w:val="auto"/>
              </w:rPr>
            </w:pPr>
          </w:p>
        </w:tc>
        <w:tc>
          <w:tcPr>
            <w:tcW w:w="156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225" w:type="dxa"/>
            <w:vAlign w:val="bottom"/>
            <w:tcBorders>
              <w:bottom w:val="single" w:sz="8" w:color="auto"/>
            </w:tcBorders>
          </w:tcPr>
          <w:p>
            <w:pPr>
              <w:spacing w:after="0"/>
              <w:rPr>
                <w:sz w:val="8"/>
                <w:szCs w:val="8"/>
                <w:color w:val="auto"/>
              </w:rPr>
            </w:pPr>
          </w:p>
        </w:tc>
        <w:tc>
          <w:tcPr>
            <w:tcW w:w="1155" w:type="dxa"/>
            <w:vAlign w:val="bottom"/>
            <w:tcBorders>
              <w:bottom w:val="single" w:sz="8" w:color="auto"/>
            </w:tcBorders>
          </w:tcPr>
          <w:p>
            <w:pPr>
              <w:spacing w:after="0"/>
              <w:rPr>
                <w:sz w:val="8"/>
                <w:szCs w:val="8"/>
                <w:color w:val="auto"/>
              </w:rPr>
            </w:pPr>
          </w:p>
        </w:tc>
        <w:tc>
          <w:tcPr>
            <w:tcW w:w="205" w:type="dxa"/>
            <w:vAlign w:val="bottom"/>
            <w:tcBorders>
              <w:bottom w:val="single" w:sz="8" w:color="auto"/>
            </w:tcBorders>
          </w:tcPr>
          <w:p>
            <w:pPr>
              <w:spacing w:after="0"/>
              <w:rPr>
                <w:sz w:val="8"/>
                <w:szCs w:val="8"/>
                <w:color w:val="auto"/>
              </w:rPr>
            </w:pPr>
          </w:p>
        </w:tc>
        <w:tc>
          <w:tcPr>
            <w:tcW w:w="1095"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6320" w:type="dxa"/>
            <w:vAlign w:val="bottom"/>
            <w:gridSpan w:val="2"/>
          </w:tcPr>
          <w:p>
            <w:pPr>
              <w:spacing w:after="0"/>
              <w:rPr>
                <w:sz w:val="8"/>
                <w:szCs w:val="8"/>
                <w:color w:val="auto"/>
              </w:rPr>
            </w:pPr>
          </w:p>
        </w:tc>
        <w:tc>
          <w:tcPr>
            <w:tcW w:w="1560" w:type="dxa"/>
            <w:vAlign w:val="bottom"/>
          </w:tcPr>
          <w:p>
            <w:pPr>
              <w:spacing w:after="0"/>
              <w:rPr>
                <w:sz w:val="8"/>
                <w:szCs w:val="8"/>
                <w:color w:val="auto"/>
              </w:rPr>
            </w:pPr>
          </w:p>
        </w:tc>
        <w:tc>
          <w:tcPr>
            <w:tcW w:w="860" w:type="dxa"/>
            <w:vAlign w:val="bottom"/>
          </w:tcPr>
          <w:p>
            <w:pPr>
              <w:spacing w:after="0"/>
              <w:rPr>
                <w:sz w:val="8"/>
                <w:szCs w:val="8"/>
                <w:color w:val="auto"/>
              </w:rPr>
            </w:pPr>
          </w:p>
        </w:tc>
        <w:tc>
          <w:tcPr>
            <w:tcW w:w="225" w:type="dxa"/>
            <w:vAlign w:val="bottom"/>
          </w:tcPr>
          <w:p>
            <w:pPr>
              <w:spacing w:after="0"/>
              <w:rPr>
                <w:sz w:val="8"/>
                <w:szCs w:val="8"/>
                <w:color w:val="auto"/>
              </w:rPr>
            </w:pPr>
          </w:p>
        </w:tc>
        <w:tc>
          <w:tcPr>
            <w:tcW w:w="1155" w:type="dxa"/>
            <w:vAlign w:val="bottom"/>
          </w:tcPr>
          <w:p>
            <w:pPr>
              <w:spacing w:after="0"/>
              <w:rPr>
                <w:sz w:val="8"/>
                <w:szCs w:val="8"/>
                <w:color w:val="auto"/>
              </w:rPr>
            </w:pPr>
          </w:p>
        </w:tc>
        <w:tc>
          <w:tcPr>
            <w:tcW w:w="205" w:type="dxa"/>
            <w:vAlign w:val="bottom"/>
          </w:tcPr>
          <w:p>
            <w:pPr>
              <w:spacing w:after="0"/>
              <w:rPr>
                <w:sz w:val="8"/>
                <w:szCs w:val="8"/>
                <w:color w:val="auto"/>
              </w:rPr>
            </w:pPr>
          </w:p>
        </w:tc>
        <w:tc>
          <w:tcPr>
            <w:tcW w:w="1095"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0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Computed federal statutory provision</w:t>
            </w:r>
          </w:p>
        </w:tc>
        <w:tc>
          <w:tcPr>
            <w:tcW w:w="1560" w:type="dxa"/>
            <w:vAlign w:val="bottom"/>
            <w:shd w:val="clear" w:color="auto" w:fill="E6E6E6"/>
          </w:tcPr>
          <w:p>
            <w:pPr>
              <w:spacing w:after="0"/>
              <w:rPr>
                <w:sz w:val="17"/>
                <w:szCs w:val="17"/>
                <w:color w:val="auto"/>
              </w:rPr>
            </w:pPr>
          </w:p>
        </w:tc>
        <w:tc>
          <w:tcPr>
            <w:tcW w:w="86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35.0%</w:t>
            </w:r>
          </w:p>
        </w:tc>
        <w:tc>
          <w:tcPr>
            <w:tcW w:w="225" w:type="dxa"/>
            <w:vAlign w:val="bottom"/>
            <w:shd w:val="clear" w:color="auto" w:fill="E6E6E6"/>
          </w:tcPr>
          <w:p>
            <w:pPr>
              <w:spacing w:after="0"/>
              <w:rPr>
                <w:sz w:val="17"/>
                <w:szCs w:val="17"/>
                <w:color w:val="auto"/>
              </w:rPr>
            </w:pPr>
          </w:p>
        </w:tc>
        <w:tc>
          <w:tcPr>
            <w:tcW w:w="1155" w:type="dxa"/>
            <w:vAlign w:val="bottom"/>
            <w:shd w:val="clear" w:color="auto" w:fill="E6E6E6"/>
          </w:tcPr>
          <w:p>
            <w:pPr>
              <w:jc w:val="right"/>
              <w:ind w:right="14"/>
              <w:spacing w:after="0" w:line="202" w:lineRule="exact"/>
              <w:rPr>
                <w:sz w:val="20"/>
                <w:szCs w:val="20"/>
                <w:color w:val="auto"/>
              </w:rPr>
            </w:pPr>
            <w:r>
              <w:rPr>
                <w:rFonts w:ascii="Arial" w:cs="Arial" w:eastAsia="Arial" w:hAnsi="Arial"/>
                <w:sz w:val="18"/>
                <w:szCs w:val="18"/>
                <w:color w:val="auto"/>
              </w:rPr>
              <w:t>35.0%</w:t>
            </w:r>
          </w:p>
        </w:tc>
        <w:tc>
          <w:tcPr>
            <w:tcW w:w="205" w:type="dxa"/>
            <w:vAlign w:val="bottom"/>
            <w:shd w:val="clear" w:color="auto" w:fill="E6E6E6"/>
          </w:tcPr>
          <w:p>
            <w:pPr>
              <w:spacing w:after="0"/>
              <w:rPr>
                <w:sz w:val="17"/>
                <w:szCs w:val="17"/>
                <w:color w:val="auto"/>
              </w:rPr>
            </w:pPr>
          </w:p>
        </w:tc>
        <w:tc>
          <w:tcPr>
            <w:tcW w:w="1095"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35.0%</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20" w:type="dxa"/>
            <w:vAlign w:val="bottom"/>
            <w:gridSpan w:val="2"/>
          </w:tcPr>
          <w:p>
            <w:pPr>
              <w:spacing w:after="0" w:line="202" w:lineRule="exact"/>
              <w:rPr>
                <w:sz w:val="20"/>
                <w:szCs w:val="20"/>
                <w:color w:val="auto"/>
              </w:rPr>
            </w:pPr>
            <w:r>
              <w:rPr>
                <w:rFonts w:ascii="Arial" w:cs="Arial" w:eastAsia="Arial" w:hAnsi="Arial"/>
                <w:sz w:val="18"/>
                <w:szCs w:val="18"/>
                <w:color w:val="auto"/>
              </w:rPr>
              <w:t>State income tax provision, net of federal income tax benefit</w:t>
            </w:r>
          </w:p>
        </w:tc>
        <w:tc>
          <w:tcPr>
            <w:tcW w:w="156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5.2%</w:t>
            </w:r>
          </w:p>
        </w:tc>
        <w:tc>
          <w:tcPr>
            <w:tcW w:w="225" w:type="dxa"/>
            <w:vAlign w:val="bottom"/>
          </w:tcPr>
          <w:p>
            <w:pPr>
              <w:spacing w:after="0"/>
              <w:rPr>
                <w:sz w:val="17"/>
                <w:szCs w:val="17"/>
                <w:color w:val="auto"/>
              </w:rPr>
            </w:pPr>
          </w:p>
        </w:tc>
        <w:tc>
          <w:tcPr>
            <w:tcW w:w="1155" w:type="dxa"/>
            <w:vAlign w:val="bottom"/>
          </w:tcPr>
          <w:p>
            <w:pPr>
              <w:jc w:val="right"/>
              <w:ind w:right="14"/>
              <w:spacing w:after="0" w:line="202" w:lineRule="exact"/>
              <w:rPr>
                <w:sz w:val="20"/>
                <w:szCs w:val="20"/>
                <w:color w:val="auto"/>
              </w:rPr>
            </w:pPr>
            <w:r>
              <w:rPr>
                <w:rFonts w:ascii="Arial" w:cs="Arial" w:eastAsia="Arial" w:hAnsi="Arial"/>
                <w:sz w:val="18"/>
                <w:szCs w:val="18"/>
                <w:color w:val="auto"/>
              </w:rPr>
              <w:t>4.3%</w:t>
            </w:r>
          </w:p>
        </w:tc>
        <w:tc>
          <w:tcPr>
            <w:tcW w:w="205" w:type="dxa"/>
            <w:vAlign w:val="bottom"/>
          </w:tcPr>
          <w:p>
            <w:pPr>
              <w:spacing w:after="0"/>
              <w:rPr>
                <w:sz w:val="17"/>
                <w:szCs w:val="17"/>
                <w:color w:val="auto"/>
              </w:rPr>
            </w:pPr>
          </w:p>
        </w:tc>
        <w:tc>
          <w:tcPr>
            <w:tcW w:w="1095" w:type="dxa"/>
            <w:vAlign w:val="bottom"/>
          </w:tcPr>
          <w:p>
            <w:pPr>
              <w:jc w:val="right"/>
              <w:spacing w:after="0" w:line="202" w:lineRule="exact"/>
              <w:rPr>
                <w:sz w:val="20"/>
                <w:szCs w:val="20"/>
                <w:color w:val="auto"/>
              </w:rPr>
            </w:pPr>
            <w:r>
              <w:rPr>
                <w:rFonts w:ascii="Arial" w:cs="Arial" w:eastAsia="Arial" w:hAnsi="Arial"/>
                <w:sz w:val="18"/>
                <w:szCs w:val="18"/>
                <w:color w:val="auto"/>
              </w:rPr>
              <w:t>3.3%</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0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Difference in effective tax rates on earnings of foreign subsidiaries</w:t>
            </w:r>
          </w:p>
        </w:tc>
        <w:tc>
          <w:tcPr>
            <w:tcW w:w="1560" w:type="dxa"/>
            <w:vAlign w:val="bottom"/>
            <w:shd w:val="clear" w:color="auto" w:fill="E6E6E6"/>
          </w:tcPr>
          <w:p>
            <w:pPr>
              <w:spacing w:after="0"/>
              <w:rPr>
                <w:sz w:val="17"/>
                <w:szCs w:val="17"/>
                <w:color w:val="auto"/>
              </w:rPr>
            </w:pPr>
          </w:p>
        </w:tc>
        <w:tc>
          <w:tcPr>
            <w:tcW w:w="86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-0.4%</w:t>
            </w:r>
          </w:p>
        </w:tc>
        <w:tc>
          <w:tcPr>
            <w:tcW w:w="225" w:type="dxa"/>
            <w:vAlign w:val="bottom"/>
            <w:shd w:val="clear" w:color="auto" w:fill="E6E6E6"/>
          </w:tcPr>
          <w:p>
            <w:pPr>
              <w:spacing w:after="0"/>
              <w:rPr>
                <w:sz w:val="17"/>
                <w:szCs w:val="17"/>
                <w:color w:val="auto"/>
              </w:rPr>
            </w:pPr>
          </w:p>
        </w:tc>
        <w:tc>
          <w:tcPr>
            <w:tcW w:w="1155" w:type="dxa"/>
            <w:vAlign w:val="bottom"/>
            <w:shd w:val="clear" w:color="auto" w:fill="E6E6E6"/>
          </w:tcPr>
          <w:p>
            <w:pPr>
              <w:jc w:val="right"/>
              <w:ind w:right="14"/>
              <w:spacing w:after="0" w:line="202" w:lineRule="exact"/>
              <w:rPr>
                <w:sz w:val="20"/>
                <w:szCs w:val="20"/>
                <w:color w:val="auto"/>
              </w:rPr>
            </w:pPr>
            <w:r>
              <w:rPr>
                <w:rFonts w:ascii="Arial" w:cs="Arial" w:eastAsia="Arial" w:hAnsi="Arial"/>
                <w:sz w:val="18"/>
                <w:szCs w:val="18"/>
                <w:color w:val="auto"/>
              </w:rPr>
              <w:t>-0.9%</w:t>
            </w:r>
          </w:p>
        </w:tc>
        <w:tc>
          <w:tcPr>
            <w:tcW w:w="205" w:type="dxa"/>
            <w:vAlign w:val="bottom"/>
            <w:shd w:val="clear" w:color="auto" w:fill="E6E6E6"/>
          </w:tcPr>
          <w:p>
            <w:pPr>
              <w:spacing w:after="0"/>
              <w:rPr>
                <w:sz w:val="17"/>
                <w:szCs w:val="17"/>
                <w:color w:val="auto"/>
              </w:rPr>
            </w:pPr>
          </w:p>
        </w:tc>
        <w:tc>
          <w:tcPr>
            <w:tcW w:w="1095"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-0.8%</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20" w:type="dxa"/>
            <w:vAlign w:val="bottom"/>
            <w:gridSpan w:val="2"/>
          </w:tcPr>
          <w:p>
            <w:pPr>
              <w:spacing w:after="0" w:line="202" w:lineRule="exact"/>
              <w:rPr>
                <w:sz w:val="20"/>
                <w:szCs w:val="20"/>
                <w:color w:val="auto"/>
              </w:rPr>
            </w:pPr>
            <w:r>
              <w:rPr>
                <w:rFonts w:ascii="Arial" w:cs="Arial" w:eastAsia="Arial" w:hAnsi="Arial"/>
                <w:sz w:val="18"/>
                <w:szCs w:val="18"/>
                <w:color w:val="auto"/>
              </w:rPr>
              <w:t>Charitable contributions</w:t>
            </w:r>
          </w:p>
        </w:tc>
        <w:tc>
          <w:tcPr>
            <w:tcW w:w="156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-1.1%</w:t>
            </w:r>
          </w:p>
        </w:tc>
        <w:tc>
          <w:tcPr>
            <w:tcW w:w="225" w:type="dxa"/>
            <w:vAlign w:val="bottom"/>
          </w:tcPr>
          <w:p>
            <w:pPr>
              <w:spacing w:after="0"/>
              <w:rPr>
                <w:sz w:val="17"/>
                <w:szCs w:val="17"/>
                <w:color w:val="auto"/>
              </w:rPr>
            </w:pPr>
          </w:p>
        </w:tc>
        <w:tc>
          <w:tcPr>
            <w:tcW w:w="1155" w:type="dxa"/>
            <w:vAlign w:val="bottom"/>
          </w:tcPr>
          <w:p>
            <w:pPr>
              <w:jc w:val="right"/>
              <w:ind w:right="14"/>
              <w:spacing w:after="0" w:line="202" w:lineRule="exact"/>
              <w:rPr>
                <w:sz w:val="20"/>
                <w:szCs w:val="20"/>
                <w:color w:val="auto"/>
              </w:rPr>
            </w:pPr>
            <w:r>
              <w:rPr>
                <w:rFonts w:ascii="Arial" w:cs="Arial" w:eastAsia="Arial" w:hAnsi="Arial"/>
                <w:sz w:val="18"/>
                <w:szCs w:val="18"/>
                <w:color w:val="auto"/>
              </w:rPr>
              <w:t>-1.2%</w:t>
            </w:r>
          </w:p>
        </w:tc>
        <w:tc>
          <w:tcPr>
            <w:tcW w:w="205" w:type="dxa"/>
            <w:vAlign w:val="bottom"/>
          </w:tcPr>
          <w:p>
            <w:pPr>
              <w:spacing w:after="0"/>
              <w:rPr>
                <w:sz w:val="17"/>
                <w:szCs w:val="17"/>
                <w:color w:val="auto"/>
              </w:rPr>
            </w:pPr>
          </w:p>
        </w:tc>
        <w:tc>
          <w:tcPr>
            <w:tcW w:w="1095" w:type="dxa"/>
            <w:vAlign w:val="bottom"/>
          </w:tcPr>
          <w:p>
            <w:pPr>
              <w:jc w:val="right"/>
              <w:spacing w:after="0" w:line="202" w:lineRule="exact"/>
              <w:rPr>
                <w:sz w:val="20"/>
                <w:szCs w:val="20"/>
                <w:color w:val="auto"/>
              </w:rPr>
            </w:pPr>
            <w:r>
              <w:rPr>
                <w:rFonts w:ascii="Arial" w:cs="Arial" w:eastAsia="Arial" w:hAnsi="Arial"/>
                <w:sz w:val="18"/>
                <w:szCs w:val="18"/>
                <w:color w:val="auto"/>
              </w:rPr>
              <w:t>0.0%</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0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Tax credits</w:t>
            </w:r>
          </w:p>
        </w:tc>
        <w:tc>
          <w:tcPr>
            <w:tcW w:w="1560" w:type="dxa"/>
            <w:vAlign w:val="bottom"/>
            <w:shd w:val="clear" w:color="auto" w:fill="E6E6E6"/>
          </w:tcPr>
          <w:p>
            <w:pPr>
              <w:spacing w:after="0"/>
              <w:rPr>
                <w:sz w:val="17"/>
                <w:szCs w:val="17"/>
                <w:color w:val="auto"/>
              </w:rPr>
            </w:pPr>
          </w:p>
        </w:tc>
        <w:tc>
          <w:tcPr>
            <w:tcW w:w="86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-0.2%</w:t>
            </w:r>
          </w:p>
        </w:tc>
        <w:tc>
          <w:tcPr>
            <w:tcW w:w="225" w:type="dxa"/>
            <w:vAlign w:val="bottom"/>
            <w:shd w:val="clear" w:color="auto" w:fill="E6E6E6"/>
          </w:tcPr>
          <w:p>
            <w:pPr>
              <w:spacing w:after="0"/>
              <w:rPr>
                <w:sz w:val="17"/>
                <w:szCs w:val="17"/>
                <w:color w:val="auto"/>
              </w:rPr>
            </w:pPr>
          </w:p>
        </w:tc>
        <w:tc>
          <w:tcPr>
            <w:tcW w:w="1155" w:type="dxa"/>
            <w:vAlign w:val="bottom"/>
            <w:shd w:val="clear" w:color="auto" w:fill="E6E6E6"/>
          </w:tcPr>
          <w:p>
            <w:pPr>
              <w:jc w:val="right"/>
              <w:ind w:right="14"/>
              <w:spacing w:after="0" w:line="202" w:lineRule="exact"/>
              <w:rPr>
                <w:sz w:val="20"/>
                <w:szCs w:val="20"/>
                <w:color w:val="auto"/>
              </w:rPr>
            </w:pPr>
            <w:r>
              <w:rPr>
                <w:rFonts w:ascii="Arial" w:cs="Arial" w:eastAsia="Arial" w:hAnsi="Arial"/>
                <w:sz w:val="18"/>
                <w:szCs w:val="18"/>
                <w:color w:val="auto"/>
              </w:rPr>
              <w:t>0.0%</w:t>
            </w:r>
          </w:p>
        </w:tc>
        <w:tc>
          <w:tcPr>
            <w:tcW w:w="205" w:type="dxa"/>
            <w:vAlign w:val="bottom"/>
            <w:shd w:val="clear" w:color="auto" w:fill="E6E6E6"/>
          </w:tcPr>
          <w:p>
            <w:pPr>
              <w:spacing w:after="0"/>
              <w:rPr>
                <w:sz w:val="17"/>
                <w:szCs w:val="17"/>
                <w:color w:val="auto"/>
              </w:rPr>
            </w:pPr>
          </w:p>
        </w:tc>
        <w:tc>
          <w:tcPr>
            <w:tcW w:w="1095"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-1.3%</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20" w:type="dxa"/>
            <w:vAlign w:val="bottom"/>
            <w:gridSpan w:val="2"/>
          </w:tcPr>
          <w:p>
            <w:pPr>
              <w:spacing w:after="0" w:line="202" w:lineRule="exact"/>
              <w:rPr>
                <w:sz w:val="20"/>
                <w:szCs w:val="20"/>
                <w:color w:val="auto"/>
              </w:rPr>
            </w:pPr>
            <w:r>
              <w:rPr>
                <w:rFonts w:ascii="Arial" w:cs="Arial" w:eastAsia="Arial" w:hAnsi="Arial"/>
                <w:sz w:val="18"/>
                <w:szCs w:val="18"/>
                <w:color w:val="auto"/>
              </w:rPr>
              <w:t>Valuation allowances</w:t>
            </w:r>
          </w:p>
        </w:tc>
        <w:tc>
          <w:tcPr>
            <w:tcW w:w="156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5.4%</w:t>
            </w:r>
          </w:p>
        </w:tc>
        <w:tc>
          <w:tcPr>
            <w:tcW w:w="225" w:type="dxa"/>
            <w:vAlign w:val="bottom"/>
          </w:tcPr>
          <w:p>
            <w:pPr>
              <w:spacing w:after="0"/>
              <w:rPr>
                <w:sz w:val="17"/>
                <w:szCs w:val="17"/>
                <w:color w:val="auto"/>
              </w:rPr>
            </w:pPr>
          </w:p>
        </w:tc>
        <w:tc>
          <w:tcPr>
            <w:tcW w:w="1155" w:type="dxa"/>
            <w:vAlign w:val="bottom"/>
          </w:tcPr>
          <w:p>
            <w:pPr>
              <w:jc w:val="right"/>
              <w:ind w:right="14"/>
              <w:spacing w:after="0" w:line="202" w:lineRule="exact"/>
              <w:rPr>
                <w:sz w:val="20"/>
                <w:szCs w:val="20"/>
                <w:color w:val="auto"/>
              </w:rPr>
            </w:pPr>
            <w:r>
              <w:rPr>
                <w:rFonts w:ascii="Arial" w:cs="Arial" w:eastAsia="Arial" w:hAnsi="Arial"/>
                <w:sz w:val="18"/>
                <w:szCs w:val="18"/>
                <w:color w:val="auto"/>
              </w:rPr>
              <w:t>14.7%</w:t>
            </w:r>
          </w:p>
        </w:tc>
        <w:tc>
          <w:tcPr>
            <w:tcW w:w="205" w:type="dxa"/>
            <w:vAlign w:val="bottom"/>
          </w:tcPr>
          <w:p>
            <w:pPr>
              <w:spacing w:after="0"/>
              <w:rPr>
                <w:sz w:val="17"/>
                <w:szCs w:val="17"/>
                <w:color w:val="auto"/>
              </w:rPr>
            </w:pPr>
          </w:p>
        </w:tc>
        <w:tc>
          <w:tcPr>
            <w:tcW w:w="1095" w:type="dxa"/>
            <w:vAlign w:val="bottom"/>
          </w:tcPr>
          <w:p>
            <w:pPr>
              <w:jc w:val="right"/>
              <w:spacing w:after="0" w:line="202" w:lineRule="exact"/>
              <w:rPr>
                <w:sz w:val="20"/>
                <w:szCs w:val="20"/>
                <w:color w:val="auto"/>
              </w:rPr>
            </w:pPr>
            <w:r>
              <w:rPr>
                <w:rFonts w:ascii="Arial" w:cs="Arial" w:eastAsia="Arial" w:hAnsi="Arial"/>
                <w:sz w:val="18"/>
                <w:szCs w:val="18"/>
                <w:color w:val="auto"/>
              </w:rPr>
              <w:t>1.8%</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0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Other – net</w:t>
            </w:r>
          </w:p>
        </w:tc>
        <w:tc>
          <w:tcPr>
            <w:tcW w:w="1560" w:type="dxa"/>
            <w:vAlign w:val="bottom"/>
            <w:shd w:val="clear" w:color="auto" w:fill="E6E6E6"/>
          </w:tcPr>
          <w:p>
            <w:pPr>
              <w:spacing w:after="0"/>
              <w:rPr>
                <w:sz w:val="17"/>
                <w:szCs w:val="17"/>
                <w:color w:val="auto"/>
              </w:rPr>
            </w:pPr>
          </w:p>
        </w:tc>
        <w:tc>
          <w:tcPr>
            <w:tcW w:w="86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3.5%</w:t>
            </w:r>
          </w:p>
        </w:tc>
        <w:tc>
          <w:tcPr>
            <w:tcW w:w="225" w:type="dxa"/>
            <w:vAlign w:val="bottom"/>
            <w:shd w:val="clear" w:color="auto" w:fill="E6E6E6"/>
          </w:tcPr>
          <w:p>
            <w:pPr>
              <w:spacing w:after="0"/>
              <w:rPr>
                <w:sz w:val="17"/>
                <w:szCs w:val="17"/>
                <w:color w:val="auto"/>
              </w:rPr>
            </w:pPr>
          </w:p>
        </w:tc>
        <w:tc>
          <w:tcPr>
            <w:tcW w:w="1155" w:type="dxa"/>
            <w:vAlign w:val="bottom"/>
            <w:shd w:val="clear" w:color="auto" w:fill="E6E6E6"/>
          </w:tcPr>
          <w:p>
            <w:pPr>
              <w:jc w:val="right"/>
              <w:ind w:right="14"/>
              <w:spacing w:after="0" w:line="202" w:lineRule="exact"/>
              <w:rPr>
                <w:sz w:val="20"/>
                <w:szCs w:val="20"/>
                <w:color w:val="auto"/>
              </w:rPr>
            </w:pPr>
            <w:r>
              <w:rPr>
                <w:rFonts w:ascii="Arial" w:cs="Arial" w:eastAsia="Arial" w:hAnsi="Arial"/>
                <w:sz w:val="18"/>
                <w:szCs w:val="18"/>
                <w:color w:val="auto"/>
              </w:rPr>
              <w:t>9.9%</w:t>
            </w:r>
          </w:p>
        </w:tc>
        <w:tc>
          <w:tcPr>
            <w:tcW w:w="205" w:type="dxa"/>
            <w:vAlign w:val="bottom"/>
            <w:shd w:val="clear" w:color="auto" w:fill="E6E6E6"/>
          </w:tcPr>
          <w:p>
            <w:pPr>
              <w:spacing w:after="0"/>
              <w:rPr>
                <w:sz w:val="17"/>
                <w:szCs w:val="17"/>
                <w:color w:val="auto"/>
              </w:rPr>
            </w:pPr>
          </w:p>
        </w:tc>
        <w:tc>
          <w:tcPr>
            <w:tcW w:w="1095"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-1.0%</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300" w:type="dxa"/>
            <w:vAlign w:val="bottom"/>
            <w:tcBorders>
              <w:bottom w:val="single" w:sz="8" w:color="808080"/>
            </w:tcBorders>
          </w:tcPr>
          <w:p>
            <w:pPr>
              <w:spacing w:after="0"/>
              <w:rPr>
                <w:sz w:val="9"/>
                <w:szCs w:val="9"/>
                <w:color w:val="auto"/>
              </w:rPr>
            </w:pPr>
          </w:p>
        </w:tc>
        <w:tc>
          <w:tcPr>
            <w:tcW w:w="156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25" w:type="dxa"/>
            <w:vAlign w:val="bottom"/>
            <w:tcBorders>
              <w:bottom w:val="single" w:sz="8" w:color="808080"/>
            </w:tcBorders>
          </w:tcPr>
          <w:p>
            <w:pPr>
              <w:spacing w:after="0"/>
              <w:rPr>
                <w:sz w:val="9"/>
                <w:szCs w:val="9"/>
                <w:color w:val="auto"/>
              </w:rPr>
            </w:pPr>
          </w:p>
        </w:tc>
        <w:tc>
          <w:tcPr>
            <w:tcW w:w="1155" w:type="dxa"/>
            <w:vAlign w:val="bottom"/>
            <w:tcBorders>
              <w:bottom w:val="single" w:sz="8" w:color="808080"/>
            </w:tcBorders>
          </w:tcPr>
          <w:p>
            <w:pPr>
              <w:spacing w:after="0"/>
              <w:rPr>
                <w:sz w:val="9"/>
                <w:szCs w:val="9"/>
                <w:color w:val="auto"/>
              </w:rPr>
            </w:pPr>
          </w:p>
        </w:tc>
        <w:tc>
          <w:tcPr>
            <w:tcW w:w="205" w:type="dxa"/>
            <w:vAlign w:val="bottom"/>
            <w:tcBorders>
              <w:bottom w:val="single" w:sz="8" w:color="808080"/>
            </w:tcBorders>
          </w:tcPr>
          <w:p>
            <w:pPr>
              <w:spacing w:after="0"/>
              <w:rPr>
                <w:sz w:val="9"/>
                <w:szCs w:val="9"/>
                <w:color w:val="auto"/>
              </w:rPr>
            </w:pPr>
          </w:p>
        </w:tc>
        <w:tc>
          <w:tcPr>
            <w:tcW w:w="1095"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6320" w:type="dxa"/>
            <w:vAlign w:val="bottom"/>
            <w:gridSpan w:val="2"/>
          </w:tcPr>
          <w:p>
            <w:pPr>
              <w:spacing w:after="0"/>
              <w:rPr>
                <w:sz w:val="20"/>
                <w:szCs w:val="20"/>
                <w:color w:val="auto"/>
              </w:rPr>
            </w:pPr>
            <w:r>
              <w:rPr>
                <w:rFonts w:ascii="Arial" w:cs="Arial" w:eastAsia="Arial" w:hAnsi="Arial"/>
                <w:sz w:val="18"/>
                <w:szCs w:val="18"/>
                <w:b w:val="1"/>
                <w:bCs w:val="1"/>
                <w:color w:val="auto"/>
              </w:rPr>
              <w:t>Effective tax rates</w:t>
            </w:r>
          </w:p>
        </w:tc>
        <w:tc>
          <w:tcPr>
            <w:tcW w:w="15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47.4%</w:t>
            </w:r>
          </w:p>
        </w:tc>
        <w:tc>
          <w:tcPr>
            <w:tcW w:w="225" w:type="dxa"/>
            <w:vAlign w:val="bottom"/>
          </w:tcPr>
          <w:p>
            <w:pPr>
              <w:spacing w:after="0"/>
              <w:rPr>
                <w:sz w:val="24"/>
                <w:szCs w:val="24"/>
                <w:color w:val="auto"/>
              </w:rPr>
            </w:pPr>
          </w:p>
        </w:tc>
        <w:tc>
          <w:tcPr>
            <w:tcW w:w="1155" w:type="dxa"/>
            <w:vAlign w:val="bottom"/>
          </w:tcPr>
          <w:p>
            <w:pPr>
              <w:jc w:val="right"/>
              <w:ind w:right="14"/>
              <w:spacing w:after="0"/>
              <w:rPr>
                <w:sz w:val="20"/>
                <w:szCs w:val="20"/>
                <w:color w:val="auto"/>
              </w:rPr>
            </w:pPr>
            <w:r>
              <w:rPr>
                <w:rFonts w:ascii="Arial" w:cs="Arial" w:eastAsia="Arial" w:hAnsi="Arial"/>
                <w:sz w:val="18"/>
                <w:szCs w:val="18"/>
                <w:b w:val="1"/>
                <w:bCs w:val="1"/>
                <w:color w:val="auto"/>
              </w:rPr>
              <w:t>61.8%</w:t>
            </w:r>
          </w:p>
        </w:tc>
        <w:tc>
          <w:tcPr>
            <w:tcW w:w="205" w:type="dxa"/>
            <w:vAlign w:val="bottom"/>
          </w:tcPr>
          <w:p>
            <w:pPr>
              <w:spacing w:after="0"/>
              <w:rPr>
                <w:sz w:val="24"/>
                <w:szCs w:val="24"/>
                <w:color w:val="auto"/>
              </w:rPr>
            </w:pPr>
          </w:p>
        </w:tc>
        <w:tc>
          <w:tcPr>
            <w:tcW w:w="1095" w:type="dxa"/>
            <w:vAlign w:val="bottom"/>
          </w:tcPr>
          <w:p>
            <w:pPr>
              <w:jc w:val="right"/>
              <w:spacing w:after="0"/>
              <w:rPr>
                <w:sz w:val="20"/>
                <w:szCs w:val="20"/>
                <w:color w:val="auto"/>
              </w:rPr>
            </w:pPr>
            <w:r>
              <w:rPr>
                <w:rFonts w:ascii="Arial" w:cs="Arial" w:eastAsia="Arial" w:hAnsi="Arial"/>
                <w:sz w:val="18"/>
                <w:szCs w:val="18"/>
                <w:b w:val="1"/>
                <w:bCs w:val="1"/>
                <w:color w:val="auto"/>
              </w:rPr>
              <w:t>37.0%</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6320" w:type="dxa"/>
            <w:vAlign w:val="bottom"/>
            <w:tcBorders>
              <w:bottom w:val="single" w:sz="8" w:color="808080"/>
            </w:tcBorders>
            <w:gridSpan w:val="2"/>
          </w:tcPr>
          <w:p>
            <w:pPr>
              <w:spacing w:after="0"/>
              <w:rPr>
                <w:sz w:val="10"/>
                <w:szCs w:val="10"/>
                <w:color w:val="auto"/>
              </w:rPr>
            </w:pPr>
          </w:p>
        </w:tc>
        <w:tc>
          <w:tcPr>
            <w:tcW w:w="156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225" w:type="dxa"/>
            <w:vAlign w:val="bottom"/>
            <w:tcBorders>
              <w:bottom w:val="single" w:sz="8" w:color="808080"/>
            </w:tcBorders>
          </w:tcPr>
          <w:p>
            <w:pPr>
              <w:spacing w:after="0"/>
              <w:rPr>
                <w:sz w:val="10"/>
                <w:szCs w:val="10"/>
                <w:color w:val="auto"/>
              </w:rPr>
            </w:pPr>
          </w:p>
        </w:tc>
        <w:tc>
          <w:tcPr>
            <w:tcW w:w="1155" w:type="dxa"/>
            <w:vAlign w:val="bottom"/>
            <w:tcBorders>
              <w:bottom w:val="single" w:sz="8" w:color="808080"/>
            </w:tcBorders>
          </w:tcPr>
          <w:p>
            <w:pPr>
              <w:spacing w:after="0"/>
              <w:rPr>
                <w:sz w:val="10"/>
                <w:szCs w:val="10"/>
                <w:color w:val="auto"/>
              </w:rPr>
            </w:pPr>
          </w:p>
        </w:tc>
        <w:tc>
          <w:tcPr>
            <w:tcW w:w="205" w:type="dxa"/>
            <w:vAlign w:val="bottom"/>
            <w:tcBorders>
              <w:bottom w:val="single" w:sz="8" w:color="808080"/>
            </w:tcBorders>
          </w:tcPr>
          <w:p>
            <w:pPr>
              <w:spacing w:after="0"/>
              <w:rPr>
                <w:sz w:val="10"/>
                <w:szCs w:val="10"/>
                <w:color w:val="auto"/>
              </w:rPr>
            </w:pPr>
          </w:p>
        </w:tc>
        <w:tc>
          <w:tcPr>
            <w:tcW w:w="1095"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300" w:type="dxa"/>
            <w:vAlign w:val="bottom"/>
          </w:tcPr>
          <w:p>
            <w:pPr>
              <w:spacing w:after="0"/>
              <w:rPr>
                <w:sz w:val="9"/>
                <w:szCs w:val="9"/>
                <w:color w:val="auto"/>
              </w:rPr>
            </w:pPr>
          </w:p>
        </w:tc>
        <w:tc>
          <w:tcPr>
            <w:tcW w:w="1560" w:type="dxa"/>
            <w:vAlign w:val="bottom"/>
          </w:tcPr>
          <w:p>
            <w:pPr>
              <w:spacing w:after="0"/>
              <w:rPr>
                <w:sz w:val="9"/>
                <w:szCs w:val="9"/>
                <w:color w:val="auto"/>
              </w:rPr>
            </w:pPr>
          </w:p>
        </w:tc>
        <w:tc>
          <w:tcPr>
            <w:tcW w:w="860" w:type="dxa"/>
            <w:vAlign w:val="bottom"/>
          </w:tcPr>
          <w:p>
            <w:pPr>
              <w:spacing w:after="0"/>
              <w:rPr>
                <w:sz w:val="9"/>
                <w:szCs w:val="9"/>
                <w:color w:val="auto"/>
              </w:rPr>
            </w:pPr>
          </w:p>
        </w:tc>
        <w:tc>
          <w:tcPr>
            <w:tcW w:w="225" w:type="dxa"/>
            <w:vAlign w:val="bottom"/>
          </w:tcPr>
          <w:p>
            <w:pPr>
              <w:spacing w:after="0"/>
              <w:rPr>
                <w:sz w:val="9"/>
                <w:szCs w:val="9"/>
                <w:color w:val="auto"/>
              </w:rPr>
            </w:pPr>
          </w:p>
        </w:tc>
        <w:tc>
          <w:tcPr>
            <w:tcW w:w="1155" w:type="dxa"/>
            <w:vAlign w:val="bottom"/>
          </w:tcPr>
          <w:p>
            <w:pPr>
              <w:spacing w:after="0"/>
              <w:rPr>
                <w:sz w:val="9"/>
                <w:szCs w:val="9"/>
                <w:color w:val="auto"/>
              </w:rPr>
            </w:pPr>
          </w:p>
        </w:tc>
        <w:tc>
          <w:tcPr>
            <w:tcW w:w="205" w:type="dxa"/>
            <w:vAlign w:val="bottom"/>
          </w:tcPr>
          <w:p>
            <w:pPr>
              <w:spacing w:after="0"/>
              <w:rPr>
                <w:sz w:val="9"/>
                <w:szCs w:val="9"/>
                <w:color w:val="auto"/>
              </w:rPr>
            </w:pPr>
          </w:p>
        </w:tc>
        <w:tc>
          <w:tcPr>
            <w:tcW w:w="1095"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300" w:type="dxa"/>
            <w:vAlign w:val="bottom"/>
            <w:shd w:val="clear" w:color="auto" w:fill="E6E6E6"/>
          </w:tcPr>
          <w:p>
            <w:pPr>
              <w:spacing w:after="0" w:line="202" w:lineRule="exact"/>
              <w:rPr>
                <w:sz w:val="20"/>
                <w:szCs w:val="20"/>
                <w:color w:val="auto"/>
              </w:rPr>
            </w:pPr>
            <w:r>
              <w:rPr>
                <w:rFonts w:ascii="Arial" w:cs="Arial" w:eastAsia="Arial" w:hAnsi="Arial"/>
                <w:sz w:val="18"/>
                <w:szCs w:val="18"/>
                <w:b w:val="1"/>
                <w:bCs w:val="1"/>
                <w:color w:val="auto"/>
              </w:rPr>
              <w:t>Total provision for income taxes</w:t>
            </w:r>
          </w:p>
        </w:tc>
        <w:tc>
          <w:tcPr>
            <w:tcW w:w="1560" w:type="dxa"/>
            <w:vAlign w:val="bottom"/>
            <w:shd w:val="clear" w:color="auto" w:fill="E6E6E6"/>
          </w:tcPr>
          <w:p>
            <w:pPr>
              <w:jc w:val="right"/>
              <w:ind w:right="212"/>
              <w:spacing w:after="0" w:line="202" w:lineRule="exact"/>
              <w:rPr>
                <w:sz w:val="20"/>
                <w:szCs w:val="20"/>
                <w:color w:val="auto"/>
              </w:rPr>
            </w:pPr>
            <w:r>
              <w:rPr>
                <w:rFonts w:ascii="Arial" w:cs="Arial" w:eastAsia="Arial" w:hAnsi="Arial"/>
                <w:sz w:val="18"/>
                <w:szCs w:val="18"/>
                <w:b w:val="1"/>
                <w:bCs w:val="1"/>
                <w:color w:val="auto"/>
              </w:rPr>
              <w:t>$</w:t>
            </w:r>
          </w:p>
        </w:tc>
        <w:tc>
          <w:tcPr>
            <w:tcW w:w="860" w:type="dxa"/>
            <w:vAlign w:val="bottom"/>
            <w:shd w:val="clear" w:color="auto" w:fill="E6E6E6"/>
          </w:tcPr>
          <w:p>
            <w:pPr>
              <w:jc w:val="right"/>
              <w:ind w:right="154"/>
              <w:spacing w:after="0" w:line="202" w:lineRule="exact"/>
              <w:rPr>
                <w:sz w:val="20"/>
                <w:szCs w:val="20"/>
                <w:color w:val="auto"/>
              </w:rPr>
            </w:pPr>
            <w:r>
              <w:rPr>
                <w:rFonts w:ascii="Arial" w:cs="Arial" w:eastAsia="Arial" w:hAnsi="Arial"/>
                <w:sz w:val="18"/>
                <w:szCs w:val="18"/>
                <w:b w:val="1"/>
                <w:bCs w:val="1"/>
                <w:color w:val="auto"/>
              </w:rPr>
              <w:t>52.9</w:t>
            </w:r>
          </w:p>
        </w:tc>
        <w:tc>
          <w:tcPr>
            <w:tcW w:w="225"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1155" w:type="dxa"/>
            <w:vAlign w:val="bottom"/>
            <w:shd w:val="clear" w:color="auto" w:fill="E6E6E6"/>
          </w:tcPr>
          <w:p>
            <w:pPr>
              <w:jc w:val="right"/>
              <w:ind w:right="174"/>
              <w:spacing w:after="0" w:line="202" w:lineRule="exact"/>
              <w:rPr>
                <w:sz w:val="20"/>
                <w:szCs w:val="20"/>
                <w:color w:val="auto"/>
              </w:rPr>
            </w:pPr>
            <w:r>
              <w:rPr>
                <w:rFonts w:ascii="Arial" w:cs="Arial" w:eastAsia="Arial" w:hAnsi="Arial"/>
                <w:sz w:val="18"/>
                <w:szCs w:val="18"/>
                <w:b w:val="1"/>
                <w:bCs w:val="1"/>
                <w:color w:val="auto"/>
              </w:rPr>
              <w:t>21.4</w:t>
            </w:r>
          </w:p>
        </w:tc>
        <w:tc>
          <w:tcPr>
            <w:tcW w:w="205"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1095" w:type="dxa"/>
            <w:vAlign w:val="bottom"/>
            <w:shd w:val="clear" w:color="auto" w:fill="E6E6E6"/>
          </w:tcPr>
          <w:p>
            <w:pPr>
              <w:jc w:val="right"/>
              <w:ind w:right="94"/>
              <w:spacing w:after="0" w:line="202" w:lineRule="exact"/>
              <w:rPr>
                <w:sz w:val="20"/>
                <w:szCs w:val="20"/>
                <w:color w:val="auto"/>
              </w:rPr>
            </w:pPr>
            <w:r>
              <w:rPr>
                <w:rFonts w:ascii="Arial" w:cs="Arial" w:eastAsia="Arial" w:hAnsi="Arial"/>
                <w:sz w:val="18"/>
                <w:szCs w:val="18"/>
                <w:b w:val="1"/>
                <w:bCs w:val="1"/>
                <w:color w:val="auto"/>
              </w:rPr>
              <w:t>68.9</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300" w:type="dxa"/>
            <w:vAlign w:val="bottom"/>
            <w:tcBorders>
              <w:bottom w:val="single" w:sz="8" w:color="808080"/>
            </w:tcBorders>
          </w:tcPr>
          <w:p>
            <w:pPr>
              <w:spacing w:after="0"/>
              <w:rPr>
                <w:sz w:val="9"/>
                <w:szCs w:val="9"/>
                <w:color w:val="auto"/>
              </w:rPr>
            </w:pPr>
          </w:p>
        </w:tc>
        <w:tc>
          <w:tcPr>
            <w:tcW w:w="156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25" w:type="dxa"/>
            <w:vAlign w:val="bottom"/>
            <w:tcBorders>
              <w:bottom w:val="single" w:sz="8" w:color="808080"/>
            </w:tcBorders>
          </w:tcPr>
          <w:p>
            <w:pPr>
              <w:spacing w:after="0"/>
              <w:rPr>
                <w:sz w:val="9"/>
                <w:szCs w:val="9"/>
                <w:color w:val="auto"/>
              </w:rPr>
            </w:pPr>
          </w:p>
        </w:tc>
        <w:tc>
          <w:tcPr>
            <w:tcW w:w="1155" w:type="dxa"/>
            <w:vAlign w:val="bottom"/>
            <w:tcBorders>
              <w:bottom w:val="single" w:sz="8" w:color="808080"/>
            </w:tcBorders>
          </w:tcPr>
          <w:p>
            <w:pPr>
              <w:spacing w:after="0"/>
              <w:rPr>
                <w:sz w:val="9"/>
                <w:szCs w:val="9"/>
                <w:color w:val="auto"/>
              </w:rPr>
            </w:pPr>
          </w:p>
        </w:tc>
        <w:tc>
          <w:tcPr>
            <w:tcW w:w="205" w:type="dxa"/>
            <w:vAlign w:val="bottom"/>
            <w:tcBorders>
              <w:bottom w:val="single" w:sz="8" w:color="808080"/>
            </w:tcBorders>
          </w:tcPr>
          <w:p>
            <w:pPr>
              <w:spacing w:after="0"/>
              <w:rPr>
                <w:sz w:val="9"/>
                <w:szCs w:val="9"/>
                <w:color w:val="auto"/>
              </w:rPr>
            </w:pPr>
          </w:p>
        </w:tc>
        <w:tc>
          <w:tcPr>
            <w:tcW w:w="1095"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-301625</wp:posOffset>
            </wp:positionV>
            <wp:extent cx="12700" cy="2984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-301625</wp:posOffset>
            </wp:positionV>
            <wp:extent cx="12700" cy="2984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-301625</wp:posOffset>
            </wp:positionV>
            <wp:extent cx="12700" cy="2984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-301625</wp:posOffset>
            </wp:positionV>
            <wp:extent cx="12700" cy="2984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-301625</wp:posOffset>
            </wp:positionV>
            <wp:extent cx="12700" cy="2984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-301625</wp:posOffset>
            </wp:positionV>
            <wp:extent cx="12700" cy="2984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-301625</wp:posOffset>
            </wp:positionV>
            <wp:extent cx="12700" cy="2984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-301625</wp:posOffset>
            </wp:positionV>
            <wp:extent cx="12700" cy="2984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-301625</wp:posOffset>
            </wp:positionV>
            <wp:extent cx="12700" cy="2984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6546215</wp:posOffset>
            </wp:positionH>
            <wp:positionV relativeFrom="paragraph">
              <wp:posOffset>-301625</wp:posOffset>
            </wp:positionV>
            <wp:extent cx="12700" cy="2984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-301625</wp:posOffset>
            </wp:positionV>
            <wp:extent cx="12700" cy="2984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7138035</wp:posOffset>
            </wp:positionH>
            <wp:positionV relativeFrom="paragraph">
              <wp:posOffset>-301625</wp:posOffset>
            </wp:positionV>
            <wp:extent cx="12700" cy="2984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Unremitted Earnings</w:t>
      </w:r>
    </w:p>
    <w:p>
      <w:pPr>
        <w:spacing w:after="0" w:line="222"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At May 31, 2010, the Company had not provided U.S. income taxes on accumulated but undistributed earnings of its non-U.S. subsidiaries of approximately $63.4, as the Company intends to reinvest those earnings in operations outside of the U.S. However, if any portion were to be distributed, the related U.S. tax liability may be reduced by foreign income taxes paid on those earnings. Determining the unrecognized deferred tax liability related to those investments in these non-U.S. subsidiaries is not practicable.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Taxes</w:t>
      </w:r>
    </w:p>
    <w:p>
      <w:pPr>
        <w:spacing w:after="0" w:line="222"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The significant components for deferred income taxes for the fiscal years ended May 31, including deferred income taxes related to discontinued operations,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200660</wp:posOffset>
            </wp:positionV>
            <wp:extent cx="7263765" cy="889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8580" w:type="dxa"/>
            <w:vAlign w:val="bottom"/>
          </w:tcPr>
          <w:p>
            <w:pPr>
              <w:spacing w:after="0"/>
              <w:rPr>
                <w:sz w:val="15"/>
                <w:szCs w:val="15"/>
                <w:color w:val="auto"/>
              </w:rPr>
            </w:pPr>
          </w:p>
        </w:tc>
        <w:tc>
          <w:tcPr>
            <w:tcW w:w="430" w:type="dxa"/>
            <w:vAlign w:val="bottom"/>
          </w:tcPr>
          <w:p>
            <w:pPr>
              <w:spacing w:after="0"/>
              <w:rPr>
                <w:sz w:val="15"/>
                <w:szCs w:val="15"/>
                <w:color w:val="auto"/>
              </w:rPr>
            </w:pPr>
          </w:p>
        </w:tc>
        <w:tc>
          <w:tcPr>
            <w:tcW w:w="1110" w:type="dxa"/>
            <w:vAlign w:val="bottom"/>
          </w:tcPr>
          <w:p>
            <w:pPr>
              <w:jc w:val="right"/>
              <w:ind w:right="113"/>
              <w:spacing w:after="0"/>
              <w:rPr>
                <w:sz w:val="20"/>
                <w:szCs w:val="20"/>
                <w:color w:val="auto"/>
              </w:rPr>
            </w:pPr>
            <w:r>
              <w:rPr>
                <w:rFonts w:ascii="Arial" w:cs="Arial" w:eastAsia="Arial" w:hAnsi="Arial"/>
                <w:sz w:val="14"/>
                <w:szCs w:val="14"/>
                <w:b w:val="1"/>
                <w:bCs w:val="1"/>
                <w:color w:val="auto"/>
              </w:rPr>
              <w:t>2010</w:t>
            </w:r>
          </w:p>
        </w:tc>
        <w:tc>
          <w:tcPr>
            <w:tcW w:w="480" w:type="dxa"/>
            <w:vAlign w:val="bottom"/>
          </w:tcPr>
          <w:p>
            <w:pPr>
              <w:spacing w:after="0"/>
              <w:rPr>
                <w:sz w:val="15"/>
                <w:szCs w:val="15"/>
                <w:color w:val="auto"/>
              </w:rPr>
            </w:pPr>
          </w:p>
        </w:tc>
        <w:tc>
          <w:tcPr>
            <w:tcW w:w="820" w:type="dxa"/>
            <w:vAlign w:val="bottom"/>
          </w:tcPr>
          <w:p>
            <w:pPr>
              <w:jc w:val="right"/>
              <w:ind w:right="33"/>
              <w:spacing w:after="0"/>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95"/>
        </w:trPr>
        <w:tc>
          <w:tcPr>
            <w:tcW w:w="8580" w:type="dxa"/>
            <w:vAlign w:val="bottom"/>
            <w:tcBorders>
              <w:bottom w:val="single" w:sz="8" w:color="auto"/>
            </w:tcBorders>
          </w:tcPr>
          <w:p>
            <w:pPr>
              <w:spacing w:after="0"/>
              <w:rPr>
                <w:sz w:val="8"/>
                <w:szCs w:val="8"/>
                <w:color w:val="auto"/>
              </w:rPr>
            </w:pPr>
          </w:p>
        </w:tc>
        <w:tc>
          <w:tcPr>
            <w:tcW w:w="430" w:type="dxa"/>
            <w:vAlign w:val="bottom"/>
            <w:tcBorders>
              <w:bottom w:val="single" w:sz="8" w:color="auto"/>
            </w:tcBorders>
          </w:tcPr>
          <w:p>
            <w:pPr>
              <w:spacing w:after="0"/>
              <w:rPr>
                <w:sz w:val="8"/>
                <w:szCs w:val="8"/>
                <w:color w:val="auto"/>
              </w:rPr>
            </w:pPr>
          </w:p>
        </w:tc>
        <w:tc>
          <w:tcPr>
            <w:tcW w:w="111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r>
      <w:tr>
        <w:trPr>
          <w:trHeight w:val="102"/>
        </w:trPr>
        <w:tc>
          <w:tcPr>
            <w:tcW w:w="8580" w:type="dxa"/>
            <w:vAlign w:val="bottom"/>
          </w:tcPr>
          <w:p>
            <w:pPr>
              <w:spacing w:after="0"/>
              <w:rPr>
                <w:sz w:val="8"/>
                <w:szCs w:val="8"/>
                <w:color w:val="auto"/>
              </w:rPr>
            </w:pPr>
          </w:p>
        </w:tc>
        <w:tc>
          <w:tcPr>
            <w:tcW w:w="430" w:type="dxa"/>
            <w:vAlign w:val="bottom"/>
          </w:tcPr>
          <w:p>
            <w:pPr>
              <w:spacing w:after="0"/>
              <w:rPr>
                <w:sz w:val="8"/>
                <w:szCs w:val="8"/>
                <w:color w:val="auto"/>
              </w:rPr>
            </w:pPr>
          </w:p>
        </w:tc>
        <w:tc>
          <w:tcPr>
            <w:tcW w:w="1110" w:type="dxa"/>
            <w:vAlign w:val="bottom"/>
          </w:tcPr>
          <w:p>
            <w:pPr>
              <w:spacing w:after="0"/>
              <w:rPr>
                <w:sz w:val="8"/>
                <w:szCs w:val="8"/>
                <w:color w:val="auto"/>
              </w:rPr>
            </w:pPr>
          </w:p>
        </w:tc>
        <w:tc>
          <w:tcPr>
            <w:tcW w:w="48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203"/>
        </w:trPr>
        <w:tc>
          <w:tcPr>
            <w:tcW w:w="858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Deferred tax assets</w:t>
            </w:r>
          </w:p>
        </w:tc>
        <w:tc>
          <w:tcPr>
            <w:tcW w:w="430" w:type="dxa"/>
            <w:vAlign w:val="bottom"/>
            <w:shd w:val="clear" w:color="auto" w:fill="E6E6E6"/>
          </w:tcPr>
          <w:p>
            <w:pPr>
              <w:spacing w:after="0"/>
              <w:rPr>
                <w:sz w:val="17"/>
                <w:szCs w:val="17"/>
                <w:color w:val="auto"/>
              </w:rPr>
            </w:pPr>
          </w:p>
        </w:tc>
        <w:tc>
          <w:tcPr>
            <w:tcW w:w="1110" w:type="dxa"/>
            <w:vAlign w:val="bottom"/>
            <w:shd w:val="clear" w:color="auto" w:fill="E6E6E6"/>
          </w:tcPr>
          <w:p>
            <w:pPr>
              <w:spacing w:after="0"/>
              <w:rPr>
                <w:sz w:val="17"/>
                <w:szCs w:val="17"/>
                <w:color w:val="auto"/>
              </w:rPr>
            </w:pPr>
          </w:p>
        </w:tc>
        <w:tc>
          <w:tcPr>
            <w:tcW w:w="480" w:type="dxa"/>
            <w:vAlign w:val="bottom"/>
            <w:shd w:val="clear" w:color="auto" w:fill="E6E6E6"/>
          </w:tcPr>
          <w:p>
            <w:pPr>
              <w:spacing w:after="0"/>
              <w:rPr>
                <w:sz w:val="17"/>
                <w:szCs w:val="17"/>
                <w:color w:val="auto"/>
              </w:rPr>
            </w:pPr>
          </w:p>
        </w:tc>
        <w:tc>
          <w:tcPr>
            <w:tcW w:w="820" w:type="dxa"/>
            <w:vAlign w:val="bottom"/>
            <w:shd w:val="clear" w:color="auto" w:fill="E6E6E6"/>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8580" w:type="dxa"/>
            <w:vAlign w:val="bottom"/>
          </w:tcPr>
          <w:p>
            <w:pPr>
              <w:ind w:left="160"/>
              <w:spacing w:after="0" w:line="202" w:lineRule="exact"/>
              <w:rPr>
                <w:sz w:val="20"/>
                <w:szCs w:val="20"/>
                <w:color w:val="auto"/>
              </w:rPr>
            </w:pPr>
            <w:r>
              <w:rPr>
                <w:rFonts w:ascii="Arial" w:cs="Arial" w:eastAsia="Arial" w:hAnsi="Arial"/>
                <w:sz w:val="18"/>
                <w:szCs w:val="18"/>
                <w:color w:val="auto"/>
              </w:rPr>
              <w:t>Tax uniform capitalization</w:t>
            </w:r>
          </w:p>
        </w:tc>
        <w:tc>
          <w:tcPr>
            <w:tcW w:w="43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110" w:type="dxa"/>
            <w:vAlign w:val="bottom"/>
          </w:tcPr>
          <w:p>
            <w:pPr>
              <w:jc w:val="right"/>
              <w:ind w:right="113"/>
              <w:spacing w:after="0" w:line="202" w:lineRule="exact"/>
              <w:rPr>
                <w:sz w:val="20"/>
                <w:szCs w:val="20"/>
                <w:color w:val="auto"/>
              </w:rPr>
            </w:pPr>
            <w:r>
              <w:rPr>
                <w:rFonts w:ascii="Arial" w:cs="Arial" w:eastAsia="Arial" w:hAnsi="Arial"/>
                <w:sz w:val="18"/>
                <w:szCs w:val="18"/>
                <w:color w:val="auto"/>
              </w:rPr>
              <w:t>19.8</w:t>
            </w:r>
          </w:p>
        </w:tc>
        <w:tc>
          <w:tcPr>
            <w:tcW w:w="48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w:t>
            </w:r>
          </w:p>
        </w:tc>
        <w:tc>
          <w:tcPr>
            <w:tcW w:w="820" w:type="dxa"/>
            <w:vAlign w:val="bottom"/>
          </w:tcPr>
          <w:p>
            <w:pPr>
              <w:jc w:val="right"/>
              <w:ind w:right="33"/>
              <w:spacing w:after="0" w:line="202" w:lineRule="exact"/>
              <w:rPr>
                <w:sz w:val="20"/>
                <w:szCs w:val="20"/>
                <w:color w:val="auto"/>
              </w:rPr>
            </w:pPr>
            <w:r>
              <w:rPr>
                <w:rFonts w:ascii="Arial" w:cs="Arial" w:eastAsia="Arial" w:hAnsi="Arial"/>
                <w:sz w:val="18"/>
                <w:szCs w:val="18"/>
                <w:color w:val="auto"/>
              </w:rPr>
              <w:t>22.2</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8580" w:type="dxa"/>
            <w:vAlign w:val="bottom"/>
            <w:shd w:val="clear" w:color="auto" w:fill="E6E6E6"/>
          </w:tcPr>
          <w:p>
            <w:pPr>
              <w:ind w:left="160"/>
              <w:spacing w:after="0" w:line="202" w:lineRule="exact"/>
              <w:rPr>
                <w:sz w:val="20"/>
                <w:szCs w:val="20"/>
                <w:color w:val="auto"/>
              </w:rPr>
            </w:pPr>
            <w:r>
              <w:rPr>
                <w:rFonts w:ascii="Arial" w:cs="Arial" w:eastAsia="Arial" w:hAnsi="Arial"/>
                <w:sz w:val="18"/>
                <w:szCs w:val="18"/>
                <w:color w:val="auto"/>
              </w:rPr>
              <w:t>Inventory reserves</w:t>
            </w:r>
          </w:p>
        </w:tc>
        <w:tc>
          <w:tcPr>
            <w:tcW w:w="430" w:type="dxa"/>
            <w:vAlign w:val="bottom"/>
            <w:shd w:val="clear" w:color="auto" w:fill="E6E6E6"/>
          </w:tcPr>
          <w:p>
            <w:pPr>
              <w:spacing w:after="0"/>
              <w:rPr>
                <w:sz w:val="17"/>
                <w:szCs w:val="17"/>
                <w:color w:val="auto"/>
              </w:rPr>
            </w:pPr>
          </w:p>
        </w:tc>
        <w:tc>
          <w:tcPr>
            <w:tcW w:w="1110" w:type="dxa"/>
            <w:vAlign w:val="bottom"/>
            <w:shd w:val="clear" w:color="auto" w:fill="E6E6E6"/>
          </w:tcPr>
          <w:p>
            <w:pPr>
              <w:jc w:val="right"/>
              <w:ind w:right="113"/>
              <w:spacing w:after="0" w:line="202" w:lineRule="exact"/>
              <w:rPr>
                <w:sz w:val="20"/>
                <w:szCs w:val="20"/>
                <w:color w:val="auto"/>
              </w:rPr>
            </w:pPr>
            <w:r>
              <w:rPr>
                <w:rFonts w:ascii="Arial" w:cs="Arial" w:eastAsia="Arial" w:hAnsi="Arial"/>
                <w:sz w:val="18"/>
                <w:szCs w:val="18"/>
                <w:color w:val="auto"/>
              </w:rPr>
              <w:t>25.0</w:t>
            </w:r>
          </w:p>
        </w:tc>
        <w:tc>
          <w:tcPr>
            <w:tcW w:w="480" w:type="dxa"/>
            <w:vAlign w:val="bottom"/>
            <w:shd w:val="clear" w:color="auto" w:fill="E6E6E6"/>
          </w:tcPr>
          <w:p>
            <w:pPr>
              <w:spacing w:after="0"/>
              <w:rPr>
                <w:sz w:val="17"/>
                <w:szCs w:val="17"/>
                <w:color w:val="auto"/>
              </w:rPr>
            </w:pPr>
          </w:p>
        </w:tc>
        <w:tc>
          <w:tcPr>
            <w:tcW w:w="820" w:type="dxa"/>
            <w:vAlign w:val="bottom"/>
            <w:shd w:val="clear" w:color="auto" w:fill="E6E6E6"/>
          </w:tcPr>
          <w:p>
            <w:pPr>
              <w:jc w:val="right"/>
              <w:ind w:right="33"/>
              <w:spacing w:after="0" w:line="202" w:lineRule="exact"/>
              <w:rPr>
                <w:sz w:val="20"/>
                <w:szCs w:val="20"/>
                <w:color w:val="auto"/>
              </w:rPr>
            </w:pPr>
            <w:r>
              <w:rPr>
                <w:rFonts w:ascii="Arial" w:cs="Arial" w:eastAsia="Arial" w:hAnsi="Arial"/>
                <w:sz w:val="18"/>
                <w:szCs w:val="18"/>
                <w:color w:val="auto"/>
              </w:rPr>
              <w:t>24.8</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8580" w:type="dxa"/>
            <w:vAlign w:val="bottom"/>
          </w:tcPr>
          <w:p>
            <w:pPr>
              <w:ind w:left="160"/>
              <w:spacing w:after="0" w:line="202" w:lineRule="exact"/>
              <w:rPr>
                <w:sz w:val="20"/>
                <w:szCs w:val="20"/>
                <w:color w:val="auto"/>
              </w:rPr>
            </w:pPr>
            <w:r>
              <w:rPr>
                <w:rFonts w:ascii="Arial" w:cs="Arial" w:eastAsia="Arial" w:hAnsi="Arial"/>
                <w:sz w:val="18"/>
                <w:szCs w:val="18"/>
                <w:color w:val="auto"/>
              </w:rPr>
              <w:t>Allowance for doubtful accounts</w:t>
            </w:r>
          </w:p>
        </w:tc>
        <w:tc>
          <w:tcPr>
            <w:tcW w:w="430" w:type="dxa"/>
            <w:vAlign w:val="bottom"/>
          </w:tcPr>
          <w:p>
            <w:pPr>
              <w:spacing w:after="0"/>
              <w:rPr>
                <w:sz w:val="17"/>
                <w:szCs w:val="17"/>
                <w:color w:val="auto"/>
              </w:rPr>
            </w:pPr>
          </w:p>
        </w:tc>
        <w:tc>
          <w:tcPr>
            <w:tcW w:w="1110" w:type="dxa"/>
            <w:vAlign w:val="bottom"/>
          </w:tcPr>
          <w:p>
            <w:pPr>
              <w:jc w:val="right"/>
              <w:ind w:right="113"/>
              <w:spacing w:after="0" w:line="202" w:lineRule="exact"/>
              <w:rPr>
                <w:sz w:val="20"/>
                <w:szCs w:val="20"/>
                <w:color w:val="auto"/>
              </w:rPr>
            </w:pPr>
            <w:r>
              <w:rPr>
                <w:rFonts w:ascii="Arial" w:cs="Arial" w:eastAsia="Arial" w:hAnsi="Arial"/>
                <w:sz w:val="18"/>
                <w:szCs w:val="18"/>
                <w:color w:val="auto"/>
              </w:rPr>
              <w:t>5.3</w:t>
            </w:r>
          </w:p>
        </w:tc>
        <w:tc>
          <w:tcPr>
            <w:tcW w:w="480" w:type="dxa"/>
            <w:vAlign w:val="bottom"/>
          </w:tcPr>
          <w:p>
            <w:pPr>
              <w:spacing w:after="0"/>
              <w:rPr>
                <w:sz w:val="17"/>
                <w:szCs w:val="17"/>
                <w:color w:val="auto"/>
              </w:rPr>
            </w:pPr>
          </w:p>
        </w:tc>
        <w:tc>
          <w:tcPr>
            <w:tcW w:w="820" w:type="dxa"/>
            <w:vAlign w:val="bottom"/>
          </w:tcPr>
          <w:p>
            <w:pPr>
              <w:jc w:val="right"/>
              <w:ind w:right="33"/>
              <w:spacing w:after="0" w:line="202" w:lineRule="exact"/>
              <w:rPr>
                <w:sz w:val="20"/>
                <w:szCs w:val="20"/>
                <w:color w:val="auto"/>
              </w:rPr>
            </w:pPr>
            <w:r>
              <w:rPr>
                <w:rFonts w:ascii="Arial" w:cs="Arial" w:eastAsia="Arial" w:hAnsi="Arial"/>
                <w:sz w:val="18"/>
                <w:szCs w:val="18"/>
                <w:color w:val="auto"/>
              </w:rPr>
              <w:t>5.0</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8580" w:type="dxa"/>
            <w:vAlign w:val="bottom"/>
            <w:shd w:val="clear" w:color="auto" w:fill="E6E6E6"/>
          </w:tcPr>
          <w:p>
            <w:pPr>
              <w:ind w:left="160"/>
              <w:spacing w:after="0" w:line="202" w:lineRule="exact"/>
              <w:rPr>
                <w:sz w:val="20"/>
                <w:szCs w:val="20"/>
                <w:color w:val="auto"/>
              </w:rPr>
            </w:pPr>
            <w:r>
              <w:rPr>
                <w:rFonts w:ascii="Arial" w:cs="Arial" w:eastAsia="Arial" w:hAnsi="Arial"/>
                <w:sz w:val="18"/>
                <w:szCs w:val="18"/>
                <w:color w:val="auto"/>
              </w:rPr>
              <w:t>Other reserves</w:t>
            </w:r>
          </w:p>
        </w:tc>
        <w:tc>
          <w:tcPr>
            <w:tcW w:w="430" w:type="dxa"/>
            <w:vAlign w:val="bottom"/>
            <w:shd w:val="clear" w:color="auto" w:fill="E6E6E6"/>
          </w:tcPr>
          <w:p>
            <w:pPr>
              <w:spacing w:after="0"/>
              <w:rPr>
                <w:sz w:val="17"/>
                <w:szCs w:val="17"/>
                <w:color w:val="auto"/>
              </w:rPr>
            </w:pPr>
          </w:p>
        </w:tc>
        <w:tc>
          <w:tcPr>
            <w:tcW w:w="1110" w:type="dxa"/>
            <w:vAlign w:val="bottom"/>
            <w:shd w:val="clear" w:color="auto" w:fill="E6E6E6"/>
          </w:tcPr>
          <w:p>
            <w:pPr>
              <w:jc w:val="right"/>
              <w:ind w:right="113"/>
              <w:spacing w:after="0" w:line="202" w:lineRule="exact"/>
              <w:rPr>
                <w:sz w:val="20"/>
                <w:szCs w:val="20"/>
                <w:color w:val="auto"/>
              </w:rPr>
            </w:pPr>
            <w:r>
              <w:rPr>
                <w:rFonts w:ascii="Arial" w:cs="Arial" w:eastAsia="Arial" w:hAnsi="Arial"/>
                <w:sz w:val="18"/>
                <w:szCs w:val="18"/>
                <w:color w:val="auto"/>
              </w:rPr>
              <w:t>18.7</w:t>
            </w:r>
          </w:p>
        </w:tc>
        <w:tc>
          <w:tcPr>
            <w:tcW w:w="480" w:type="dxa"/>
            <w:vAlign w:val="bottom"/>
            <w:shd w:val="clear" w:color="auto" w:fill="E6E6E6"/>
          </w:tcPr>
          <w:p>
            <w:pPr>
              <w:spacing w:after="0"/>
              <w:rPr>
                <w:sz w:val="17"/>
                <w:szCs w:val="17"/>
                <w:color w:val="auto"/>
              </w:rPr>
            </w:pPr>
          </w:p>
        </w:tc>
        <w:tc>
          <w:tcPr>
            <w:tcW w:w="820" w:type="dxa"/>
            <w:vAlign w:val="bottom"/>
            <w:shd w:val="clear" w:color="auto" w:fill="E6E6E6"/>
          </w:tcPr>
          <w:p>
            <w:pPr>
              <w:jc w:val="right"/>
              <w:ind w:right="33"/>
              <w:spacing w:after="0" w:line="202" w:lineRule="exact"/>
              <w:rPr>
                <w:sz w:val="20"/>
                <w:szCs w:val="20"/>
                <w:color w:val="auto"/>
              </w:rPr>
            </w:pPr>
            <w:r>
              <w:rPr>
                <w:rFonts w:ascii="Arial" w:cs="Arial" w:eastAsia="Arial" w:hAnsi="Arial"/>
                <w:sz w:val="18"/>
                <w:szCs w:val="18"/>
                <w:color w:val="auto"/>
              </w:rPr>
              <w:t>8.6</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8580" w:type="dxa"/>
            <w:vAlign w:val="bottom"/>
          </w:tcPr>
          <w:p>
            <w:pPr>
              <w:ind w:left="160"/>
              <w:spacing w:after="0" w:line="202" w:lineRule="exact"/>
              <w:rPr>
                <w:sz w:val="20"/>
                <w:szCs w:val="20"/>
                <w:color w:val="auto"/>
              </w:rPr>
            </w:pPr>
            <w:r>
              <w:rPr>
                <w:rFonts w:ascii="Arial" w:cs="Arial" w:eastAsia="Arial" w:hAnsi="Arial"/>
                <w:sz w:val="18"/>
                <w:szCs w:val="18"/>
                <w:color w:val="auto"/>
              </w:rPr>
              <w:t>Post-retirement, post-employment and pension obligations</w:t>
            </w:r>
          </w:p>
        </w:tc>
        <w:tc>
          <w:tcPr>
            <w:tcW w:w="430" w:type="dxa"/>
            <w:vAlign w:val="bottom"/>
          </w:tcPr>
          <w:p>
            <w:pPr>
              <w:spacing w:after="0"/>
              <w:rPr>
                <w:sz w:val="17"/>
                <w:szCs w:val="17"/>
                <w:color w:val="auto"/>
              </w:rPr>
            </w:pPr>
          </w:p>
        </w:tc>
        <w:tc>
          <w:tcPr>
            <w:tcW w:w="1110" w:type="dxa"/>
            <w:vAlign w:val="bottom"/>
          </w:tcPr>
          <w:p>
            <w:pPr>
              <w:jc w:val="right"/>
              <w:ind w:right="113"/>
              <w:spacing w:after="0" w:line="202" w:lineRule="exact"/>
              <w:rPr>
                <w:sz w:val="20"/>
                <w:szCs w:val="20"/>
                <w:color w:val="auto"/>
              </w:rPr>
            </w:pPr>
            <w:r>
              <w:rPr>
                <w:rFonts w:ascii="Arial" w:cs="Arial" w:eastAsia="Arial" w:hAnsi="Arial"/>
                <w:sz w:val="18"/>
                <w:szCs w:val="18"/>
                <w:color w:val="auto"/>
              </w:rPr>
              <w:t>24.0</w:t>
            </w:r>
          </w:p>
        </w:tc>
        <w:tc>
          <w:tcPr>
            <w:tcW w:w="480" w:type="dxa"/>
            <w:vAlign w:val="bottom"/>
          </w:tcPr>
          <w:p>
            <w:pPr>
              <w:spacing w:after="0"/>
              <w:rPr>
                <w:sz w:val="17"/>
                <w:szCs w:val="17"/>
                <w:color w:val="auto"/>
              </w:rPr>
            </w:pPr>
          </w:p>
        </w:tc>
        <w:tc>
          <w:tcPr>
            <w:tcW w:w="820" w:type="dxa"/>
            <w:vAlign w:val="bottom"/>
          </w:tcPr>
          <w:p>
            <w:pPr>
              <w:jc w:val="right"/>
              <w:ind w:right="33"/>
              <w:spacing w:after="0" w:line="202" w:lineRule="exact"/>
              <w:rPr>
                <w:sz w:val="20"/>
                <w:szCs w:val="20"/>
                <w:color w:val="auto"/>
              </w:rPr>
            </w:pPr>
            <w:r>
              <w:rPr>
                <w:rFonts w:ascii="Arial" w:cs="Arial" w:eastAsia="Arial" w:hAnsi="Arial"/>
                <w:sz w:val="18"/>
                <w:szCs w:val="18"/>
                <w:color w:val="auto"/>
              </w:rPr>
              <w:t>21.6</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8580" w:type="dxa"/>
            <w:vAlign w:val="bottom"/>
            <w:shd w:val="clear" w:color="auto" w:fill="E6E6E6"/>
          </w:tcPr>
          <w:p>
            <w:pPr>
              <w:ind w:left="160"/>
              <w:spacing w:after="0" w:line="202" w:lineRule="exact"/>
              <w:rPr>
                <w:sz w:val="20"/>
                <w:szCs w:val="20"/>
                <w:color w:val="auto"/>
              </w:rPr>
            </w:pPr>
            <w:r>
              <w:rPr>
                <w:rFonts w:ascii="Arial" w:cs="Arial" w:eastAsia="Arial" w:hAnsi="Arial"/>
                <w:sz w:val="18"/>
                <w:szCs w:val="18"/>
                <w:color w:val="auto"/>
              </w:rPr>
              <w:t>Tax carryforwards</w:t>
            </w:r>
          </w:p>
        </w:tc>
        <w:tc>
          <w:tcPr>
            <w:tcW w:w="430" w:type="dxa"/>
            <w:vAlign w:val="bottom"/>
            <w:shd w:val="clear" w:color="auto" w:fill="E6E6E6"/>
          </w:tcPr>
          <w:p>
            <w:pPr>
              <w:spacing w:after="0"/>
              <w:rPr>
                <w:sz w:val="17"/>
                <w:szCs w:val="17"/>
                <w:color w:val="auto"/>
              </w:rPr>
            </w:pPr>
          </w:p>
        </w:tc>
        <w:tc>
          <w:tcPr>
            <w:tcW w:w="1110" w:type="dxa"/>
            <w:vAlign w:val="bottom"/>
            <w:shd w:val="clear" w:color="auto" w:fill="E6E6E6"/>
          </w:tcPr>
          <w:p>
            <w:pPr>
              <w:jc w:val="right"/>
              <w:ind w:right="113"/>
              <w:spacing w:after="0" w:line="202" w:lineRule="exact"/>
              <w:rPr>
                <w:sz w:val="20"/>
                <w:szCs w:val="20"/>
                <w:color w:val="auto"/>
              </w:rPr>
            </w:pPr>
            <w:r>
              <w:rPr>
                <w:rFonts w:ascii="Arial" w:cs="Arial" w:eastAsia="Arial" w:hAnsi="Arial"/>
                <w:sz w:val="18"/>
                <w:szCs w:val="18"/>
                <w:color w:val="auto"/>
              </w:rPr>
              <w:t>38.2</w:t>
            </w:r>
          </w:p>
        </w:tc>
        <w:tc>
          <w:tcPr>
            <w:tcW w:w="480" w:type="dxa"/>
            <w:vAlign w:val="bottom"/>
            <w:shd w:val="clear" w:color="auto" w:fill="E6E6E6"/>
          </w:tcPr>
          <w:p>
            <w:pPr>
              <w:spacing w:after="0"/>
              <w:rPr>
                <w:sz w:val="17"/>
                <w:szCs w:val="17"/>
                <w:color w:val="auto"/>
              </w:rPr>
            </w:pPr>
          </w:p>
        </w:tc>
        <w:tc>
          <w:tcPr>
            <w:tcW w:w="820" w:type="dxa"/>
            <w:vAlign w:val="bottom"/>
            <w:shd w:val="clear" w:color="auto" w:fill="E6E6E6"/>
          </w:tcPr>
          <w:p>
            <w:pPr>
              <w:jc w:val="right"/>
              <w:ind w:right="33"/>
              <w:spacing w:after="0" w:line="202" w:lineRule="exact"/>
              <w:rPr>
                <w:sz w:val="20"/>
                <w:szCs w:val="20"/>
                <w:color w:val="auto"/>
              </w:rPr>
            </w:pPr>
            <w:r>
              <w:rPr>
                <w:rFonts w:ascii="Arial" w:cs="Arial" w:eastAsia="Arial" w:hAnsi="Arial"/>
                <w:sz w:val="18"/>
                <w:szCs w:val="18"/>
                <w:color w:val="auto"/>
              </w:rPr>
              <w:t>68.7</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8580" w:type="dxa"/>
            <w:vAlign w:val="bottom"/>
          </w:tcPr>
          <w:p>
            <w:pPr>
              <w:ind w:left="160"/>
              <w:spacing w:after="0" w:line="202" w:lineRule="exact"/>
              <w:rPr>
                <w:sz w:val="20"/>
                <w:szCs w:val="20"/>
                <w:color w:val="auto"/>
              </w:rPr>
            </w:pPr>
            <w:r>
              <w:rPr>
                <w:rFonts w:ascii="Arial" w:cs="Arial" w:eastAsia="Arial" w:hAnsi="Arial"/>
                <w:sz w:val="18"/>
                <w:szCs w:val="18"/>
                <w:color w:val="auto"/>
              </w:rPr>
              <w:t>Lease accounting</w:t>
            </w:r>
          </w:p>
        </w:tc>
        <w:tc>
          <w:tcPr>
            <w:tcW w:w="430" w:type="dxa"/>
            <w:vAlign w:val="bottom"/>
          </w:tcPr>
          <w:p>
            <w:pPr>
              <w:spacing w:after="0"/>
              <w:rPr>
                <w:sz w:val="17"/>
                <w:szCs w:val="17"/>
                <w:color w:val="auto"/>
              </w:rPr>
            </w:pPr>
          </w:p>
        </w:tc>
        <w:tc>
          <w:tcPr>
            <w:tcW w:w="1110" w:type="dxa"/>
            <w:vAlign w:val="bottom"/>
          </w:tcPr>
          <w:p>
            <w:pPr>
              <w:jc w:val="right"/>
              <w:ind w:right="113"/>
              <w:spacing w:after="0" w:line="202" w:lineRule="exact"/>
              <w:rPr>
                <w:sz w:val="20"/>
                <w:szCs w:val="20"/>
                <w:color w:val="auto"/>
              </w:rPr>
            </w:pPr>
            <w:r>
              <w:rPr>
                <w:rFonts w:ascii="Arial" w:cs="Arial" w:eastAsia="Arial" w:hAnsi="Arial"/>
                <w:sz w:val="18"/>
                <w:szCs w:val="18"/>
                <w:color w:val="auto"/>
              </w:rPr>
              <w:t>8.6</w:t>
            </w:r>
          </w:p>
        </w:tc>
        <w:tc>
          <w:tcPr>
            <w:tcW w:w="480" w:type="dxa"/>
            <w:vAlign w:val="bottom"/>
          </w:tcPr>
          <w:p>
            <w:pPr>
              <w:spacing w:after="0"/>
              <w:rPr>
                <w:sz w:val="17"/>
                <w:szCs w:val="17"/>
                <w:color w:val="auto"/>
              </w:rPr>
            </w:pPr>
          </w:p>
        </w:tc>
        <w:tc>
          <w:tcPr>
            <w:tcW w:w="820" w:type="dxa"/>
            <w:vAlign w:val="bottom"/>
          </w:tcPr>
          <w:p>
            <w:pPr>
              <w:jc w:val="right"/>
              <w:ind w:right="33"/>
              <w:spacing w:after="0" w:line="202" w:lineRule="exact"/>
              <w:rPr>
                <w:sz w:val="20"/>
                <w:szCs w:val="20"/>
                <w:color w:val="auto"/>
              </w:rPr>
            </w:pPr>
            <w:r>
              <w:rPr>
                <w:rFonts w:ascii="Arial" w:cs="Arial" w:eastAsia="Arial" w:hAnsi="Arial"/>
                <w:sz w:val="18"/>
                <w:szCs w:val="18"/>
                <w:color w:val="auto"/>
              </w:rPr>
              <w:t>8.0</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8580" w:type="dxa"/>
            <w:vAlign w:val="bottom"/>
            <w:shd w:val="clear" w:color="auto" w:fill="E6E6E6"/>
          </w:tcPr>
          <w:p>
            <w:pPr>
              <w:ind w:left="160"/>
              <w:spacing w:after="0" w:line="202" w:lineRule="exact"/>
              <w:rPr>
                <w:sz w:val="20"/>
                <w:szCs w:val="20"/>
                <w:color w:val="auto"/>
              </w:rPr>
            </w:pPr>
            <w:r>
              <w:rPr>
                <w:rFonts w:ascii="Arial" w:cs="Arial" w:eastAsia="Arial" w:hAnsi="Arial"/>
                <w:sz w:val="18"/>
                <w:szCs w:val="18"/>
                <w:color w:val="auto"/>
              </w:rPr>
              <w:t>Other – net</w:t>
            </w:r>
          </w:p>
        </w:tc>
        <w:tc>
          <w:tcPr>
            <w:tcW w:w="430" w:type="dxa"/>
            <w:vAlign w:val="bottom"/>
            <w:shd w:val="clear" w:color="auto" w:fill="E6E6E6"/>
          </w:tcPr>
          <w:p>
            <w:pPr>
              <w:spacing w:after="0"/>
              <w:rPr>
                <w:sz w:val="17"/>
                <w:szCs w:val="17"/>
                <w:color w:val="auto"/>
              </w:rPr>
            </w:pPr>
          </w:p>
        </w:tc>
        <w:tc>
          <w:tcPr>
            <w:tcW w:w="1110" w:type="dxa"/>
            <w:vAlign w:val="bottom"/>
            <w:shd w:val="clear" w:color="auto" w:fill="E6E6E6"/>
          </w:tcPr>
          <w:p>
            <w:pPr>
              <w:jc w:val="right"/>
              <w:ind w:right="113"/>
              <w:spacing w:after="0" w:line="202" w:lineRule="exact"/>
              <w:rPr>
                <w:sz w:val="20"/>
                <w:szCs w:val="20"/>
                <w:color w:val="auto"/>
              </w:rPr>
            </w:pPr>
            <w:r>
              <w:rPr>
                <w:rFonts w:ascii="Arial" w:cs="Arial" w:eastAsia="Arial" w:hAnsi="Arial"/>
                <w:sz w:val="18"/>
                <w:szCs w:val="18"/>
                <w:color w:val="auto"/>
              </w:rPr>
              <w:t>29.4</w:t>
            </w:r>
          </w:p>
        </w:tc>
        <w:tc>
          <w:tcPr>
            <w:tcW w:w="480" w:type="dxa"/>
            <w:vAlign w:val="bottom"/>
            <w:shd w:val="clear" w:color="auto" w:fill="E6E6E6"/>
          </w:tcPr>
          <w:p>
            <w:pPr>
              <w:spacing w:after="0"/>
              <w:rPr>
                <w:sz w:val="17"/>
                <w:szCs w:val="17"/>
                <w:color w:val="auto"/>
              </w:rPr>
            </w:pPr>
          </w:p>
        </w:tc>
        <w:tc>
          <w:tcPr>
            <w:tcW w:w="820" w:type="dxa"/>
            <w:vAlign w:val="bottom"/>
            <w:shd w:val="clear" w:color="auto" w:fill="E6E6E6"/>
          </w:tcPr>
          <w:p>
            <w:pPr>
              <w:jc w:val="right"/>
              <w:ind w:right="33"/>
              <w:spacing w:after="0" w:line="202" w:lineRule="exact"/>
              <w:rPr>
                <w:sz w:val="20"/>
                <w:szCs w:val="20"/>
                <w:color w:val="auto"/>
              </w:rPr>
            </w:pPr>
            <w:r>
              <w:rPr>
                <w:rFonts w:ascii="Arial" w:cs="Arial" w:eastAsia="Arial" w:hAnsi="Arial"/>
                <w:sz w:val="18"/>
                <w:szCs w:val="18"/>
                <w:color w:val="auto"/>
              </w:rPr>
              <w:t>43.5</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08"/>
        </w:trPr>
        <w:tc>
          <w:tcPr>
            <w:tcW w:w="8580" w:type="dxa"/>
            <w:vAlign w:val="bottom"/>
            <w:tcBorders>
              <w:bottom w:val="single" w:sz="8" w:color="808080"/>
            </w:tcBorders>
          </w:tcPr>
          <w:p>
            <w:pPr>
              <w:spacing w:after="0"/>
              <w:rPr>
                <w:sz w:val="9"/>
                <w:szCs w:val="9"/>
                <w:color w:val="auto"/>
              </w:rPr>
            </w:pPr>
          </w:p>
        </w:tc>
        <w:tc>
          <w:tcPr>
            <w:tcW w:w="430" w:type="dxa"/>
            <w:vAlign w:val="bottom"/>
            <w:tcBorders>
              <w:bottom w:val="single" w:sz="8" w:color="808080"/>
            </w:tcBorders>
          </w:tcPr>
          <w:p>
            <w:pPr>
              <w:spacing w:after="0"/>
              <w:rPr>
                <w:sz w:val="9"/>
                <w:szCs w:val="9"/>
                <w:color w:val="auto"/>
              </w:rPr>
            </w:pPr>
          </w:p>
        </w:tc>
        <w:tc>
          <w:tcPr>
            <w:tcW w:w="111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304"/>
        </w:trPr>
        <w:tc>
          <w:tcPr>
            <w:tcW w:w="8580" w:type="dxa"/>
            <w:vAlign w:val="bottom"/>
          </w:tcPr>
          <w:p>
            <w:pPr>
              <w:spacing w:after="0"/>
              <w:rPr>
                <w:sz w:val="20"/>
                <w:szCs w:val="20"/>
                <w:color w:val="auto"/>
              </w:rPr>
            </w:pPr>
            <w:r>
              <w:rPr>
                <w:rFonts w:ascii="Arial" w:cs="Arial" w:eastAsia="Arial" w:hAnsi="Arial"/>
                <w:sz w:val="18"/>
                <w:szCs w:val="18"/>
                <w:color w:val="auto"/>
              </w:rPr>
              <w:t>Gross Deferred Tax Asset</w:t>
            </w:r>
          </w:p>
        </w:tc>
        <w:tc>
          <w:tcPr>
            <w:tcW w:w="430" w:type="dxa"/>
            <w:vAlign w:val="bottom"/>
          </w:tcPr>
          <w:p>
            <w:pPr>
              <w:spacing w:after="0"/>
              <w:rPr>
                <w:sz w:val="24"/>
                <w:szCs w:val="24"/>
                <w:color w:val="auto"/>
              </w:rPr>
            </w:pPr>
          </w:p>
        </w:tc>
        <w:tc>
          <w:tcPr>
            <w:tcW w:w="1110" w:type="dxa"/>
            <w:vAlign w:val="bottom"/>
          </w:tcPr>
          <w:p>
            <w:pPr>
              <w:jc w:val="right"/>
              <w:ind w:right="113"/>
              <w:spacing w:after="0"/>
              <w:rPr>
                <w:sz w:val="20"/>
                <w:szCs w:val="20"/>
                <w:color w:val="auto"/>
              </w:rPr>
            </w:pPr>
            <w:r>
              <w:rPr>
                <w:rFonts w:ascii="Arial" w:cs="Arial" w:eastAsia="Arial" w:hAnsi="Arial"/>
                <w:sz w:val="18"/>
                <w:szCs w:val="18"/>
                <w:color w:val="auto"/>
              </w:rPr>
              <w:t>169.0</w:t>
            </w:r>
          </w:p>
        </w:tc>
        <w:tc>
          <w:tcPr>
            <w:tcW w:w="480" w:type="dxa"/>
            <w:vAlign w:val="bottom"/>
          </w:tcPr>
          <w:p>
            <w:pPr>
              <w:spacing w:after="0"/>
              <w:rPr>
                <w:sz w:val="24"/>
                <w:szCs w:val="24"/>
                <w:color w:val="auto"/>
              </w:rPr>
            </w:pPr>
          </w:p>
        </w:tc>
        <w:tc>
          <w:tcPr>
            <w:tcW w:w="820" w:type="dxa"/>
            <w:vAlign w:val="bottom"/>
          </w:tcPr>
          <w:p>
            <w:pPr>
              <w:jc w:val="right"/>
              <w:ind w:right="33"/>
              <w:spacing w:after="0"/>
              <w:rPr>
                <w:sz w:val="20"/>
                <w:szCs w:val="20"/>
                <w:color w:val="auto"/>
              </w:rPr>
            </w:pPr>
            <w:r>
              <w:rPr>
                <w:rFonts w:ascii="Arial" w:cs="Arial" w:eastAsia="Arial" w:hAnsi="Arial"/>
                <w:sz w:val="18"/>
                <w:szCs w:val="18"/>
                <w:color w:val="auto"/>
              </w:rPr>
              <w:t>202.4</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3"/>
        </w:trPr>
        <w:tc>
          <w:tcPr>
            <w:tcW w:w="858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Valuation allowance</w:t>
            </w:r>
          </w:p>
        </w:tc>
        <w:tc>
          <w:tcPr>
            <w:tcW w:w="430" w:type="dxa"/>
            <w:vAlign w:val="bottom"/>
            <w:shd w:val="clear" w:color="auto" w:fill="E6E6E6"/>
          </w:tcPr>
          <w:p>
            <w:pPr>
              <w:spacing w:after="0"/>
              <w:rPr>
                <w:sz w:val="17"/>
                <w:szCs w:val="17"/>
                <w:color w:val="auto"/>
              </w:rPr>
            </w:pPr>
          </w:p>
        </w:tc>
        <w:tc>
          <w:tcPr>
            <w:tcW w:w="1110" w:type="dxa"/>
            <w:vAlign w:val="bottom"/>
            <w:shd w:val="clear" w:color="auto" w:fill="E6E6E6"/>
          </w:tcPr>
          <w:p>
            <w:pPr>
              <w:jc w:val="right"/>
              <w:ind w:right="53"/>
              <w:spacing w:after="0" w:line="202" w:lineRule="exact"/>
              <w:rPr>
                <w:sz w:val="20"/>
                <w:szCs w:val="20"/>
                <w:color w:val="auto"/>
              </w:rPr>
            </w:pPr>
            <w:r>
              <w:rPr>
                <w:rFonts w:ascii="Arial" w:cs="Arial" w:eastAsia="Arial" w:hAnsi="Arial"/>
                <w:sz w:val="18"/>
                <w:szCs w:val="18"/>
                <w:color w:val="auto"/>
              </w:rPr>
              <w:t>(36.0)</w:t>
            </w:r>
          </w:p>
        </w:tc>
        <w:tc>
          <w:tcPr>
            <w:tcW w:w="480" w:type="dxa"/>
            <w:vAlign w:val="bottom"/>
            <w:shd w:val="clear" w:color="auto" w:fill="E6E6E6"/>
          </w:tcPr>
          <w:p>
            <w:pPr>
              <w:spacing w:after="0"/>
              <w:rPr>
                <w:sz w:val="17"/>
                <w:szCs w:val="17"/>
                <w:color w:val="auto"/>
              </w:rPr>
            </w:pPr>
          </w:p>
        </w:tc>
        <w:tc>
          <w:tcPr>
            <w:tcW w:w="82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(30.1)</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08"/>
        </w:trPr>
        <w:tc>
          <w:tcPr>
            <w:tcW w:w="8580" w:type="dxa"/>
            <w:vAlign w:val="bottom"/>
            <w:tcBorders>
              <w:bottom w:val="single" w:sz="8" w:color="808080"/>
            </w:tcBorders>
          </w:tcPr>
          <w:p>
            <w:pPr>
              <w:spacing w:after="0"/>
              <w:rPr>
                <w:sz w:val="9"/>
                <w:szCs w:val="9"/>
                <w:color w:val="auto"/>
              </w:rPr>
            </w:pPr>
          </w:p>
        </w:tc>
        <w:tc>
          <w:tcPr>
            <w:tcW w:w="430" w:type="dxa"/>
            <w:vAlign w:val="bottom"/>
            <w:tcBorders>
              <w:bottom w:val="single" w:sz="8" w:color="808080"/>
            </w:tcBorders>
          </w:tcPr>
          <w:p>
            <w:pPr>
              <w:spacing w:after="0"/>
              <w:rPr>
                <w:sz w:val="9"/>
                <w:szCs w:val="9"/>
                <w:color w:val="auto"/>
              </w:rPr>
            </w:pPr>
          </w:p>
        </w:tc>
        <w:tc>
          <w:tcPr>
            <w:tcW w:w="111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316"/>
        </w:trPr>
        <w:tc>
          <w:tcPr>
            <w:tcW w:w="8580" w:type="dxa"/>
            <w:vAlign w:val="bottom"/>
          </w:tcPr>
          <w:p>
            <w:pPr>
              <w:spacing w:after="0"/>
              <w:rPr>
                <w:sz w:val="20"/>
                <w:szCs w:val="20"/>
                <w:color w:val="auto"/>
              </w:rPr>
            </w:pPr>
            <w:r>
              <w:rPr>
                <w:rFonts w:ascii="Arial" w:cs="Arial" w:eastAsia="Arial" w:hAnsi="Arial"/>
                <w:sz w:val="18"/>
                <w:szCs w:val="18"/>
                <w:color w:val="auto"/>
              </w:rPr>
              <w:t>Total deferred tax asset</w:t>
            </w:r>
          </w:p>
        </w:tc>
        <w:tc>
          <w:tcPr>
            <w:tcW w:w="430" w:type="dxa"/>
            <w:vAlign w:val="bottom"/>
          </w:tcPr>
          <w:p>
            <w:pPr>
              <w:spacing w:after="0"/>
              <w:rPr>
                <w:sz w:val="24"/>
                <w:szCs w:val="24"/>
                <w:color w:val="auto"/>
              </w:rPr>
            </w:pPr>
          </w:p>
        </w:tc>
        <w:tc>
          <w:tcPr>
            <w:tcW w:w="1110" w:type="dxa"/>
            <w:vAlign w:val="bottom"/>
          </w:tcPr>
          <w:p>
            <w:pPr>
              <w:jc w:val="right"/>
              <w:ind w:right="113"/>
              <w:spacing w:after="0"/>
              <w:rPr>
                <w:sz w:val="20"/>
                <w:szCs w:val="20"/>
                <w:color w:val="auto"/>
              </w:rPr>
            </w:pPr>
            <w:r>
              <w:rPr>
                <w:rFonts w:ascii="Arial" w:cs="Arial" w:eastAsia="Arial" w:hAnsi="Arial"/>
                <w:sz w:val="18"/>
                <w:szCs w:val="18"/>
                <w:color w:val="auto"/>
              </w:rPr>
              <w:t>133.0</w:t>
            </w:r>
          </w:p>
        </w:tc>
        <w:tc>
          <w:tcPr>
            <w:tcW w:w="480" w:type="dxa"/>
            <w:vAlign w:val="bottom"/>
          </w:tcPr>
          <w:p>
            <w:pPr>
              <w:spacing w:after="0"/>
              <w:rPr>
                <w:sz w:val="24"/>
                <w:szCs w:val="24"/>
                <w:color w:val="auto"/>
              </w:rPr>
            </w:pPr>
          </w:p>
        </w:tc>
        <w:tc>
          <w:tcPr>
            <w:tcW w:w="820" w:type="dxa"/>
            <w:vAlign w:val="bottom"/>
          </w:tcPr>
          <w:p>
            <w:pPr>
              <w:jc w:val="right"/>
              <w:ind w:right="33"/>
              <w:spacing w:after="0"/>
              <w:rPr>
                <w:sz w:val="20"/>
                <w:szCs w:val="20"/>
                <w:color w:val="auto"/>
              </w:rPr>
            </w:pPr>
            <w:r>
              <w:rPr>
                <w:rFonts w:ascii="Arial" w:cs="Arial" w:eastAsia="Arial" w:hAnsi="Arial"/>
                <w:sz w:val="18"/>
                <w:szCs w:val="18"/>
                <w:color w:val="auto"/>
              </w:rPr>
              <w:t>172.3</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97"/>
        </w:trPr>
        <w:tc>
          <w:tcPr>
            <w:tcW w:w="8580" w:type="dxa"/>
            <w:vAlign w:val="bottom"/>
            <w:tcBorders>
              <w:bottom w:val="single" w:sz="8" w:color="808080"/>
            </w:tcBorders>
          </w:tcPr>
          <w:p>
            <w:pPr>
              <w:spacing w:after="0"/>
              <w:rPr>
                <w:sz w:val="8"/>
                <w:szCs w:val="8"/>
                <w:color w:val="auto"/>
              </w:rPr>
            </w:pPr>
          </w:p>
        </w:tc>
        <w:tc>
          <w:tcPr>
            <w:tcW w:w="430" w:type="dxa"/>
            <w:vAlign w:val="bottom"/>
            <w:tcBorders>
              <w:bottom w:val="single" w:sz="8" w:color="808080"/>
            </w:tcBorders>
          </w:tcPr>
          <w:p>
            <w:pPr>
              <w:spacing w:after="0"/>
              <w:rPr>
                <w:sz w:val="8"/>
                <w:szCs w:val="8"/>
                <w:color w:val="auto"/>
              </w:rPr>
            </w:pPr>
          </w:p>
        </w:tc>
        <w:tc>
          <w:tcPr>
            <w:tcW w:w="111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r>
      <w:tr>
        <w:trPr>
          <w:trHeight w:val="102"/>
        </w:trPr>
        <w:tc>
          <w:tcPr>
            <w:tcW w:w="8580" w:type="dxa"/>
            <w:vAlign w:val="bottom"/>
          </w:tcPr>
          <w:p>
            <w:pPr>
              <w:spacing w:after="0"/>
              <w:rPr>
                <w:sz w:val="8"/>
                <w:szCs w:val="8"/>
                <w:color w:val="auto"/>
              </w:rPr>
            </w:pPr>
          </w:p>
        </w:tc>
        <w:tc>
          <w:tcPr>
            <w:tcW w:w="430" w:type="dxa"/>
            <w:vAlign w:val="bottom"/>
          </w:tcPr>
          <w:p>
            <w:pPr>
              <w:spacing w:after="0"/>
              <w:rPr>
                <w:sz w:val="8"/>
                <w:szCs w:val="8"/>
                <w:color w:val="auto"/>
              </w:rPr>
            </w:pPr>
          </w:p>
        </w:tc>
        <w:tc>
          <w:tcPr>
            <w:tcW w:w="1110" w:type="dxa"/>
            <w:vAlign w:val="bottom"/>
          </w:tcPr>
          <w:p>
            <w:pPr>
              <w:spacing w:after="0"/>
              <w:rPr>
                <w:sz w:val="8"/>
                <w:szCs w:val="8"/>
                <w:color w:val="auto"/>
              </w:rPr>
            </w:pPr>
          </w:p>
        </w:tc>
        <w:tc>
          <w:tcPr>
            <w:tcW w:w="48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203"/>
        </w:trPr>
        <w:tc>
          <w:tcPr>
            <w:tcW w:w="858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Deferred Tax Liabilities</w:t>
            </w:r>
          </w:p>
        </w:tc>
        <w:tc>
          <w:tcPr>
            <w:tcW w:w="430" w:type="dxa"/>
            <w:vAlign w:val="bottom"/>
            <w:shd w:val="clear" w:color="auto" w:fill="E6E6E6"/>
          </w:tcPr>
          <w:p>
            <w:pPr>
              <w:spacing w:after="0"/>
              <w:rPr>
                <w:sz w:val="17"/>
                <w:szCs w:val="17"/>
                <w:color w:val="auto"/>
              </w:rPr>
            </w:pPr>
          </w:p>
        </w:tc>
        <w:tc>
          <w:tcPr>
            <w:tcW w:w="1110" w:type="dxa"/>
            <w:vAlign w:val="bottom"/>
            <w:shd w:val="clear" w:color="auto" w:fill="E6E6E6"/>
          </w:tcPr>
          <w:p>
            <w:pPr>
              <w:spacing w:after="0"/>
              <w:rPr>
                <w:sz w:val="17"/>
                <w:szCs w:val="17"/>
                <w:color w:val="auto"/>
              </w:rPr>
            </w:pPr>
          </w:p>
        </w:tc>
        <w:tc>
          <w:tcPr>
            <w:tcW w:w="480" w:type="dxa"/>
            <w:vAlign w:val="bottom"/>
            <w:shd w:val="clear" w:color="auto" w:fill="E6E6E6"/>
          </w:tcPr>
          <w:p>
            <w:pPr>
              <w:spacing w:after="0"/>
              <w:rPr>
                <w:sz w:val="17"/>
                <w:szCs w:val="17"/>
                <w:color w:val="auto"/>
              </w:rPr>
            </w:pPr>
          </w:p>
        </w:tc>
        <w:tc>
          <w:tcPr>
            <w:tcW w:w="820" w:type="dxa"/>
            <w:vAlign w:val="bottom"/>
            <w:shd w:val="clear" w:color="auto" w:fill="E6E6E6"/>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8580" w:type="dxa"/>
            <w:vAlign w:val="bottom"/>
          </w:tcPr>
          <w:p>
            <w:pPr>
              <w:ind w:left="160"/>
              <w:spacing w:after="0" w:line="202" w:lineRule="exact"/>
              <w:rPr>
                <w:sz w:val="20"/>
                <w:szCs w:val="20"/>
                <w:color w:val="auto"/>
              </w:rPr>
            </w:pPr>
            <w:r>
              <w:rPr>
                <w:rFonts w:ascii="Arial" w:cs="Arial" w:eastAsia="Arial" w:hAnsi="Arial"/>
                <w:sz w:val="18"/>
                <w:szCs w:val="18"/>
                <w:color w:val="auto"/>
              </w:rPr>
              <w:t>Prepaid expenses</w:t>
            </w:r>
          </w:p>
        </w:tc>
        <w:tc>
          <w:tcPr>
            <w:tcW w:w="430" w:type="dxa"/>
            <w:vAlign w:val="bottom"/>
          </w:tcPr>
          <w:p>
            <w:pPr>
              <w:spacing w:after="0"/>
              <w:rPr>
                <w:sz w:val="17"/>
                <w:szCs w:val="17"/>
                <w:color w:val="auto"/>
              </w:rPr>
            </w:pPr>
          </w:p>
        </w:tc>
        <w:tc>
          <w:tcPr>
            <w:tcW w:w="1110" w:type="dxa"/>
            <w:vAlign w:val="bottom"/>
          </w:tcPr>
          <w:p>
            <w:pPr>
              <w:jc w:val="right"/>
              <w:ind w:right="53"/>
              <w:spacing w:after="0" w:line="202" w:lineRule="exact"/>
              <w:rPr>
                <w:sz w:val="20"/>
                <w:szCs w:val="20"/>
                <w:color w:val="auto"/>
              </w:rPr>
            </w:pPr>
            <w:r>
              <w:rPr>
                <w:rFonts w:ascii="Arial" w:cs="Arial" w:eastAsia="Arial" w:hAnsi="Arial"/>
                <w:sz w:val="18"/>
                <w:szCs w:val="18"/>
                <w:color w:val="auto"/>
              </w:rPr>
              <w:t>(0.8)</w:t>
            </w:r>
          </w:p>
        </w:tc>
        <w:tc>
          <w:tcPr>
            <w:tcW w:w="480" w:type="dxa"/>
            <w:vAlign w:val="bottom"/>
          </w:tcPr>
          <w:p>
            <w:pPr>
              <w:spacing w:after="0"/>
              <w:rPr>
                <w:sz w:val="17"/>
                <w:szCs w:val="17"/>
                <w:color w:val="auto"/>
              </w:rPr>
            </w:pPr>
          </w:p>
        </w:tc>
        <w:tc>
          <w:tcPr>
            <w:tcW w:w="8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r>
      <w:tr>
        <w:trPr>
          <w:trHeight w:val="203"/>
        </w:trPr>
        <w:tc>
          <w:tcPr>
            <w:tcW w:w="8580" w:type="dxa"/>
            <w:vAlign w:val="bottom"/>
            <w:shd w:val="clear" w:color="auto" w:fill="E6E6E6"/>
          </w:tcPr>
          <w:p>
            <w:pPr>
              <w:ind w:left="160"/>
              <w:spacing w:after="0" w:line="202" w:lineRule="exact"/>
              <w:rPr>
                <w:sz w:val="20"/>
                <w:szCs w:val="20"/>
                <w:color w:val="auto"/>
              </w:rPr>
            </w:pPr>
            <w:r>
              <w:rPr>
                <w:rFonts w:ascii="Arial" w:cs="Arial" w:eastAsia="Arial" w:hAnsi="Arial"/>
                <w:sz w:val="18"/>
                <w:szCs w:val="18"/>
                <w:color w:val="auto"/>
              </w:rPr>
              <w:t>Depreciation and amortization</w:t>
            </w:r>
          </w:p>
        </w:tc>
        <w:tc>
          <w:tcPr>
            <w:tcW w:w="430" w:type="dxa"/>
            <w:vAlign w:val="bottom"/>
            <w:shd w:val="clear" w:color="auto" w:fill="E6E6E6"/>
          </w:tcPr>
          <w:p>
            <w:pPr>
              <w:spacing w:after="0"/>
              <w:rPr>
                <w:sz w:val="17"/>
                <w:szCs w:val="17"/>
                <w:color w:val="auto"/>
              </w:rPr>
            </w:pPr>
          </w:p>
        </w:tc>
        <w:tc>
          <w:tcPr>
            <w:tcW w:w="1110" w:type="dxa"/>
            <w:vAlign w:val="bottom"/>
            <w:shd w:val="clear" w:color="auto" w:fill="E6E6E6"/>
          </w:tcPr>
          <w:p>
            <w:pPr>
              <w:jc w:val="right"/>
              <w:ind w:right="53"/>
              <w:spacing w:after="0" w:line="202" w:lineRule="exact"/>
              <w:rPr>
                <w:sz w:val="20"/>
                <w:szCs w:val="20"/>
                <w:color w:val="auto"/>
              </w:rPr>
            </w:pPr>
            <w:r>
              <w:rPr>
                <w:rFonts w:ascii="Arial" w:cs="Arial" w:eastAsia="Arial" w:hAnsi="Arial"/>
                <w:sz w:val="18"/>
                <w:szCs w:val="18"/>
                <w:color w:val="auto"/>
              </w:rPr>
              <w:t>(39.3)</w:t>
            </w:r>
          </w:p>
        </w:tc>
        <w:tc>
          <w:tcPr>
            <w:tcW w:w="480" w:type="dxa"/>
            <w:vAlign w:val="bottom"/>
            <w:shd w:val="clear" w:color="auto" w:fill="E6E6E6"/>
          </w:tcPr>
          <w:p>
            <w:pPr>
              <w:spacing w:after="0"/>
              <w:rPr>
                <w:sz w:val="17"/>
                <w:szCs w:val="17"/>
                <w:color w:val="auto"/>
              </w:rPr>
            </w:pPr>
          </w:p>
        </w:tc>
        <w:tc>
          <w:tcPr>
            <w:tcW w:w="82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(50.9)</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08"/>
        </w:trPr>
        <w:tc>
          <w:tcPr>
            <w:tcW w:w="8580" w:type="dxa"/>
            <w:vAlign w:val="bottom"/>
            <w:tcBorders>
              <w:bottom w:val="single" w:sz="8" w:color="808080"/>
            </w:tcBorders>
          </w:tcPr>
          <w:p>
            <w:pPr>
              <w:spacing w:after="0"/>
              <w:rPr>
                <w:sz w:val="9"/>
                <w:szCs w:val="9"/>
                <w:color w:val="auto"/>
              </w:rPr>
            </w:pPr>
          </w:p>
        </w:tc>
        <w:tc>
          <w:tcPr>
            <w:tcW w:w="430" w:type="dxa"/>
            <w:vAlign w:val="bottom"/>
            <w:tcBorders>
              <w:bottom w:val="single" w:sz="8" w:color="808080"/>
            </w:tcBorders>
          </w:tcPr>
          <w:p>
            <w:pPr>
              <w:spacing w:after="0"/>
              <w:rPr>
                <w:sz w:val="9"/>
                <w:szCs w:val="9"/>
                <w:color w:val="auto"/>
              </w:rPr>
            </w:pPr>
          </w:p>
        </w:tc>
        <w:tc>
          <w:tcPr>
            <w:tcW w:w="111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304"/>
        </w:trPr>
        <w:tc>
          <w:tcPr>
            <w:tcW w:w="8580" w:type="dxa"/>
            <w:vAlign w:val="bottom"/>
          </w:tcPr>
          <w:p>
            <w:pPr>
              <w:spacing w:after="0"/>
              <w:rPr>
                <w:sz w:val="20"/>
                <w:szCs w:val="20"/>
                <w:color w:val="auto"/>
              </w:rPr>
            </w:pPr>
            <w:r>
              <w:rPr>
                <w:rFonts w:ascii="Arial" w:cs="Arial" w:eastAsia="Arial" w:hAnsi="Arial"/>
                <w:sz w:val="18"/>
                <w:szCs w:val="18"/>
                <w:color w:val="auto"/>
              </w:rPr>
              <w:t>Total deferred tax liability</w:t>
            </w:r>
          </w:p>
        </w:tc>
        <w:tc>
          <w:tcPr>
            <w:tcW w:w="430" w:type="dxa"/>
            <w:vAlign w:val="bottom"/>
          </w:tcPr>
          <w:p>
            <w:pPr>
              <w:spacing w:after="0"/>
              <w:rPr>
                <w:sz w:val="24"/>
                <w:szCs w:val="24"/>
                <w:color w:val="auto"/>
              </w:rPr>
            </w:pPr>
          </w:p>
        </w:tc>
        <w:tc>
          <w:tcPr>
            <w:tcW w:w="1110" w:type="dxa"/>
            <w:vAlign w:val="bottom"/>
          </w:tcPr>
          <w:p>
            <w:pPr>
              <w:jc w:val="right"/>
              <w:ind w:right="53"/>
              <w:spacing w:after="0"/>
              <w:rPr>
                <w:sz w:val="20"/>
                <w:szCs w:val="20"/>
                <w:color w:val="auto"/>
              </w:rPr>
            </w:pPr>
            <w:r>
              <w:rPr>
                <w:rFonts w:ascii="Arial" w:cs="Arial" w:eastAsia="Arial" w:hAnsi="Arial"/>
                <w:sz w:val="18"/>
                <w:szCs w:val="18"/>
                <w:color w:val="auto"/>
              </w:rPr>
              <w:t>(40.1)</w:t>
            </w:r>
          </w:p>
        </w:tc>
        <w:tc>
          <w:tcPr>
            <w:tcW w:w="4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(50.9)</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3"/>
        </w:trPr>
        <w:tc>
          <w:tcPr>
            <w:tcW w:w="8580" w:type="dxa"/>
            <w:vAlign w:val="bottom"/>
            <w:shd w:val="clear" w:color="auto" w:fill="E6E6E6"/>
          </w:tcPr>
          <w:p>
            <w:pPr>
              <w:spacing w:after="0" w:line="202" w:lineRule="exact"/>
              <w:rPr>
                <w:sz w:val="20"/>
                <w:szCs w:val="20"/>
                <w:color w:val="auto"/>
              </w:rPr>
            </w:pPr>
            <w:r>
              <w:rPr>
                <w:rFonts w:ascii="Arial" w:cs="Arial" w:eastAsia="Arial" w:hAnsi="Arial"/>
                <w:sz w:val="18"/>
                <w:szCs w:val="18"/>
                <w:b w:val="1"/>
                <w:bCs w:val="1"/>
                <w:color w:val="auto"/>
              </w:rPr>
              <w:t>Total net deferred tax assets</w:t>
            </w:r>
          </w:p>
        </w:tc>
        <w:tc>
          <w:tcPr>
            <w:tcW w:w="43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1110" w:type="dxa"/>
            <w:vAlign w:val="bottom"/>
            <w:shd w:val="clear" w:color="auto" w:fill="E6E6E6"/>
          </w:tcPr>
          <w:p>
            <w:pPr>
              <w:jc w:val="right"/>
              <w:ind w:right="113"/>
              <w:spacing w:after="0" w:line="202" w:lineRule="exact"/>
              <w:rPr>
                <w:sz w:val="20"/>
                <w:szCs w:val="20"/>
                <w:color w:val="auto"/>
              </w:rPr>
            </w:pPr>
            <w:r>
              <w:rPr>
                <w:rFonts w:ascii="Arial" w:cs="Arial" w:eastAsia="Arial" w:hAnsi="Arial"/>
                <w:sz w:val="18"/>
                <w:szCs w:val="18"/>
                <w:b w:val="1"/>
                <w:bCs w:val="1"/>
                <w:color w:val="auto"/>
              </w:rPr>
              <w:t>92.9</w:t>
            </w:r>
          </w:p>
        </w:tc>
        <w:tc>
          <w:tcPr>
            <w:tcW w:w="480" w:type="dxa"/>
            <w:vAlign w:val="bottom"/>
            <w:shd w:val="clear" w:color="auto" w:fill="E6E6E6"/>
          </w:tcPr>
          <w:p>
            <w:pPr>
              <w:jc w:val="right"/>
              <w:ind w:right="152"/>
              <w:spacing w:after="0" w:line="202" w:lineRule="exact"/>
              <w:rPr>
                <w:sz w:val="20"/>
                <w:szCs w:val="20"/>
                <w:color w:val="auto"/>
              </w:rPr>
            </w:pPr>
            <w:r>
              <w:rPr>
                <w:rFonts w:ascii="Arial" w:cs="Arial" w:eastAsia="Arial" w:hAnsi="Arial"/>
                <w:sz w:val="18"/>
                <w:szCs w:val="18"/>
                <w:b w:val="1"/>
                <w:bCs w:val="1"/>
                <w:color w:val="auto"/>
              </w:rPr>
              <w:t>$</w:t>
            </w:r>
          </w:p>
        </w:tc>
        <w:tc>
          <w:tcPr>
            <w:tcW w:w="820" w:type="dxa"/>
            <w:vAlign w:val="bottom"/>
            <w:shd w:val="clear" w:color="auto" w:fill="E6E6E6"/>
          </w:tcPr>
          <w:p>
            <w:pPr>
              <w:jc w:val="right"/>
              <w:ind w:right="33"/>
              <w:spacing w:after="0" w:line="202" w:lineRule="exact"/>
              <w:rPr>
                <w:sz w:val="20"/>
                <w:szCs w:val="20"/>
                <w:color w:val="auto"/>
              </w:rPr>
            </w:pPr>
            <w:r>
              <w:rPr>
                <w:rFonts w:ascii="Arial" w:cs="Arial" w:eastAsia="Arial" w:hAnsi="Arial"/>
                <w:sz w:val="18"/>
                <w:szCs w:val="18"/>
                <w:b w:val="1"/>
                <w:bCs w:val="1"/>
                <w:color w:val="auto"/>
              </w:rPr>
              <w:t>121.4</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32"/>
        </w:trPr>
        <w:tc>
          <w:tcPr>
            <w:tcW w:w="8580" w:type="dxa"/>
            <w:vAlign w:val="bottom"/>
            <w:tcBorders>
              <w:bottom w:val="single" w:sz="8" w:color="808080"/>
            </w:tcBorders>
          </w:tcPr>
          <w:p>
            <w:pPr>
              <w:spacing w:after="0"/>
              <w:rPr>
                <w:sz w:val="11"/>
                <w:szCs w:val="11"/>
                <w:color w:val="auto"/>
              </w:rPr>
            </w:pPr>
          </w:p>
        </w:tc>
        <w:tc>
          <w:tcPr>
            <w:tcW w:w="430" w:type="dxa"/>
            <w:vAlign w:val="bottom"/>
            <w:tcBorders>
              <w:bottom w:val="single" w:sz="8" w:color="808080"/>
            </w:tcBorders>
          </w:tcPr>
          <w:p>
            <w:pPr>
              <w:spacing w:after="0"/>
              <w:rPr>
                <w:sz w:val="11"/>
                <w:szCs w:val="11"/>
                <w:color w:val="auto"/>
              </w:rPr>
            </w:pPr>
          </w:p>
        </w:tc>
        <w:tc>
          <w:tcPr>
            <w:tcW w:w="1110" w:type="dxa"/>
            <w:vAlign w:val="bottom"/>
            <w:tcBorders>
              <w:bottom w:val="single" w:sz="8" w:color="808080"/>
            </w:tcBorders>
          </w:tcPr>
          <w:p>
            <w:pPr>
              <w:spacing w:after="0"/>
              <w:rPr>
                <w:sz w:val="11"/>
                <w:szCs w:val="11"/>
                <w:color w:val="auto"/>
              </w:rPr>
            </w:pPr>
          </w:p>
        </w:tc>
        <w:tc>
          <w:tcPr>
            <w:tcW w:w="480" w:type="dxa"/>
            <w:vAlign w:val="bottom"/>
            <w:tcBorders>
              <w:bottom w:val="single" w:sz="8" w:color="808080"/>
            </w:tcBorders>
          </w:tcPr>
          <w:p>
            <w:pPr>
              <w:spacing w:after="0"/>
              <w:rPr>
                <w:sz w:val="11"/>
                <w:szCs w:val="11"/>
                <w:color w:val="auto"/>
              </w:rPr>
            </w:pPr>
          </w:p>
        </w:tc>
        <w:tc>
          <w:tcPr>
            <w:tcW w:w="8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-29210</wp:posOffset>
            </wp:positionV>
            <wp:extent cx="12700" cy="2984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-29210</wp:posOffset>
            </wp:positionV>
            <wp:extent cx="12700" cy="2984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-29210</wp:posOffset>
            </wp:positionV>
            <wp:extent cx="12700" cy="2984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-29210</wp:posOffset>
            </wp:positionV>
            <wp:extent cx="12700" cy="2984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-29210</wp:posOffset>
            </wp:positionV>
            <wp:extent cx="12700" cy="2984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-29210</wp:posOffset>
            </wp:positionV>
            <wp:extent cx="12700" cy="2984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-29210</wp:posOffset>
            </wp:positionV>
            <wp:extent cx="12700" cy="2984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93" w:lineRule="exact"/>
        <w:rPr>
          <w:sz w:val="20"/>
          <w:szCs w:val="20"/>
          <w:color w:val="auto"/>
        </w:rPr>
      </w:pPr>
    </w:p>
    <w:p>
      <w:pPr>
        <w:ind w:right="280"/>
        <w:spacing w:after="0" w:line="306" w:lineRule="auto"/>
        <w:rPr>
          <w:sz w:val="20"/>
          <w:szCs w:val="20"/>
          <w:color w:val="auto"/>
        </w:rPr>
      </w:pPr>
      <w:r>
        <w:rPr>
          <w:rFonts w:ascii="Arial" w:cs="Arial" w:eastAsia="Arial" w:hAnsi="Arial"/>
          <w:sz w:val="16"/>
          <w:szCs w:val="16"/>
          <w:color w:val="auto"/>
        </w:rPr>
        <w:t>Total net deferred tax assets of $92.9 at May 31, 2010 and $121.4 at May 31, 2009 include $59.2 and $62.7, respectively, in Other current assets. Total non current deferred tax assets of $33.7 and $58.7 are reflected in Other noncurrent assets at May 31, 2010 and 2009, respectively. The change in deferred tax asset reflects a utilization of net operating losses generated during the fiscal year ended May 31, 2009 of $88.5.</w:t>
      </w:r>
    </w:p>
    <w:p>
      <w:pPr>
        <w:spacing w:after="0" w:line="161" w:lineRule="exact"/>
        <w:rPr>
          <w:sz w:val="20"/>
          <w:szCs w:val="20"/>
          <w:color w:val="auto"/>
        </w:rPr>
      </w:pPr>
    </w:p>
    <w:p>
      <w:pPr>
        <w:ind w:right="380"/>
        <w:spacing w:after="0" w:line="256" w:lineRule="auto"/>
        <w:rPr>
          <w:sz w:val="20"/>
          <w:szCs w:val="20"/>
          <w:color w:val="auto"/>
        </w:rPr>
      </w:pPr>
      <w:r>
        <w:rPr>
          <w:rFonts w:ascii="Arial" w:cs="Arial" w:eastAsia="Arial" w:hAnsi="Arial"/>
          <w:sz w:val="18"/>
          <w:szCs w:val="18"/>
          <w:color w:val="auto"/>
        </w:rPr>
        <w:t>For the years ended May 31, 2010 and 2009, the valuation allowance increased by $5.9 and $15.6, respectively. The valuation allowance is based on the Company’s assessment that it is more likely than not that certain deferred tax assets will not be realized in the foreseeable future. The valuation allowance primarily relates to foreign operating loss carryforwards of $105.7 principally in the UK which do not expire and charitable contributions of $19.0 at May 31, 2010.</w:t>
      </w:r>
    </w:p>
    <w:p>
      <w:pPr>
        <w:spacing w:after="0" w:line="197"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During fiscal 2010, the Patient Protection and Affordable Care Act was signed into law. This legislation eliminated the benefit the Company received as a result of deducting the federal subsidy for Medicare Subpart D. As a result of this lost benefit, the Company will not receive the corresponding deferred tax asset of approximately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2663825</wp:posOffset>
            </wp:positionH>
            <wp:positionV relativeFrom="paragraph">
              <wp:posOffset>128905</wp:posOffset>
            </wp:positionV>
            <wp:extent cx="1929765" cy="23177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1929765" cy="231775"/>
                    </a:xfrm>
                    <a:prstGeom prst="rect">
                      <a:avLst/>
                    </a:prstGeom>
                    <a:noFill/>
                  </pic:spPr>
                </pic:pic>
              </a:graphicData>
            </a:graphic>
          </wp:anchor>
        </w:drawing>
      </w:r>
    </w:p>
    <w:p>
      <w:pPr>
        <w:sectPr>
          <w:pgSz w:w="11900" w:h="16838" w:orient="portrait"/>
          <w:cols w:equalWidth="0" w:num="1">
            <w:col w:w="11460"/>
          </w:cols>
          <w:pgMar w:left="240" w:top="823" w:right="199" w:bottom="360" w:gutter="0" w:footer="0" w:header="0"/>
        </w:sectPr>
      </w:pPr>
    </w:p>
    <w:bookmarkStart w:id="65" w:name="page66"/>
    <w:bookmarkEnd w:id="65"/>
    <w:p>
      <w:pPr>
        <w:jc w:val="center"/>
        <w:spacing w:after="0"/>
        <w:rPr>
          <w:sz w:val="20"/>
          <w:szCs w:val="20"/>
          <w:color w:val="auto"/>
        </w:rPr>
      </w:pPr>
      <w:r>
        <w:rPr>
          <w:rFonts w:ascii="Arial" w:cs="Arial" w:eastAsia="Arial" w:hAnsi="Arial"/>
          <w:sz w:val="16"/>
          <w:szCs w:val="16"/>
          <w:b w:val="1"/>
          <w:bCs w:val="1"/>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164465</wp:posOffset>
            </wp:positionV>
            <wp:extent cx="7267575" cy="3873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66" w:name="page67"/>
    <w:bookmarkEnd w:id="66"/>
    <w:p>
      <w:pPr>
        <w:ind w:right="22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63765" cy="889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7263765" cy="8890"/>
                    </a:xfrm>
                    <a:prstGeom prst="rect">
                      <a:avLst/>
                    </a:prstGeom>
                    <a:noFill/>
                  </pic:spPr>
                </pic:pic>
              </a:graphicData>
            </a:graphic>
          </wp:anchor>
        </w:drawing>
        <w:t>As of June 1, 2007, the Company adopted the provisions of Topic 740. The benefits of uncertain tax positions are recorded in the financial statements only after determining a more likely-than-not probability that the uncertain tax positions will withstand challenge, if any, from taxing authorities. These uncertain tax positions are included in long-term income taxes payable, reduced by the associated federal deduction for state taxes and non-U.S. tax credits, and may also include other long-term tax liabilities that are not uncertain but have not yet been paid. The interest and penalties related to these uncertain tax positions are recorded as part of the Company’s income tax expense and part of the income tax liability on the Company’s Consolidated Balance Sheets.</w:t>
      </w:r>
    </w:p>
    <w:p>
      <w:pPr>
        <w:spacing w:after="0" w:line="170"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color w:val="auto"/>
        </w:rPr>
        <w:t>The total amount of unrecognized tax benefits at May 31, 2010, 2009 and 2008 were $30.6, excluding $5.7 accrued for interest and penalties, $33.6, excluding $8.5 accrued for interest and penalties, and $33.1, excluding $6.7 for interest and penalties, respectively. The total amount of accrued interest and penalties was a net benefit of $2.8 and expense of $1.8 at May 31, 2010 and May 31, 2009, respectively. Of the total amount of unrecognized tax benefits at May 31, 2010, 2009 and 2008, $19.5, $15.1 and $16.2, respectively, would impact the Company’s effective tax rate.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unrecognized tax benefits for the fiscal year ended May 31, 2010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263765" cy="8890"/>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920" w:type="dxa"/>
            <w:vAlign w:val="bottom"/>
            <w:shd w:val="clear" w:color="auto" w:fill="E6E6E6"/>
          </w:tcPr>
          <w:p>
            <w:pPr>
              <w:spacing w:after="0"/>
              <w:rPr>
                <w:sz w:val="20"/>
                <w:szCs w:val="20"/>
                <w:color w:val="auto"/>
              </w:rPr>
            </w:pPr>
            <w:r>
              <w:rPr>
                <w:rFonts w:ascii="Arial" w:cs="Arial" w:eastAsia="Arial" w:hAnsi="Arial"/>
                <w:sz w:val="18"/>
                <w:szCs w:val="18"/>
                <w:color w:val="auto"/>
              </w:rPr>
              <w:t>Gross unrecognized benefits at June 1, 2007</w:t>
            </w:r>
          </w:p>
        </w:tc>
        <w:tc>
          <w:tcPr>
            <w:tcW w:w="3720" w:type="dxa"/>
            <w:vAlign w:val="bottom"/>
            <w:shd w:val="clear" w:color="auto" w:fill="E6E6E6"/>
          </w:tcPr>
          <w:p>
            <w:pPr>
              <w:jc w:val="right"/>
              <w:ind w:right="192"/>
              <w:spacing w:after="0"/>
              <w:rPr>
                <w:sz w:val="20"/>
                <w:szCs w:val="20"/>
                <w:color w:val="auto"/>
              </w:rPr>
            </w:pPr>
            <w:r>
              <w:rPr>
                <w:rFonts w:ascii="Arial" w:cs="Arial" w:eastAsia="Arial" w:hAnsi="Arial"/>
                <w:sz w:val="18"/>
                <w:szCs w:val="18"/>
                <w:color w:val="auto"/>
              </w:rPr>
              <w:t>$</w:t>
            </w:r>
          </w:p>
        </w:tc>
        <w:tc>
          <w:tcPr>
            <w:tcW w:w="780" w:type="dxa"/>
            <w:vAlign w:val="bottom"/>
            <w:shd w:val="clear" w:color="auto" w:fill="E6E6E6"/>
          </w:tcPr>
          <w:p>
            <w:pPr>
              <w:jc w:val="right"/>
              <w:ind w:right="32"/>
              <w:spacing w:after="0"/>
              <w:rPr>
                <w:sz w:val="20"/>
                <w:szCs w:val="20"/>
                <w:color w:val="auto"/>
              </w:rPr>
            </w:pPr>
            <w:r>
              <w:rPr>
                <w:rFonts w:ascii="Arial" w:cs="Arial" w:eastAsia="Arial" w:hAnsi="Arial"/>
                <w:sz w:val="18"/>
                <w:szCs w:val="18"/>
                <w:color w:val="auto"/>
              </w:rPr>
              <w:t>34.0</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6920" w:type="dxa"/>
            <w:vAlign w:val="bottom"/>
          </w:tcPr>
          <w:p>
            <w:pPr>
              <w:spacing w:after="0" w:line="202" w:lineRule="exact"/>
              <w:rPr>
                <w:sz w:val="20"/>
                <w:szCs w:val="20"/>
                <w:color w:val="auto"/>
              </w:rPr>
            </w:pPr>
            <w:r>
              <w:rPr>
                <w:rFonts w:ascii="Arial" w:cs="Arial" w:eastAsia="Arial" w:hAnsi="Arial"/>
                <w:sz w:val="18"/>
                <w:szCs w:val="18"/>
                <w:color w:val="auto"/>
              </w:rPr>
              <w:t>Decreases related to prior year tax positions</w:t>
            </w:r>
          </w:p>
        </w:tc>
        <w:tc>
          <w:tcPr>
            <w:tcW w:w="372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(5.4)</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692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Increases related to current year tax positions</w:t>
            </w:r>
          </w:p>
        </w:tc>
        <w:tc>
          <w:tcPr>
            <w:tcW w:w="3720" w:type="dxa"/>
            <w:vAlign w:val="bottom"/>
            <w:shd w:val="clear" w:color="auto" w:fill="E6E6E6"/>
          </w:tcPr>
          <w:p>
            <w:pPr>
              <w:spacing w:after="0"/>
              <w:rPr>
                <w:sz w:val="17"/>
                <w:szCs w:val="17"/>
                <w:color w:val="auto"/>
              </w:rPr>
            </w:pPr>
          </w:p>
        </w:tc>
        <w:tc>
          <w:tcPr>
            <w:tcW w:w="780" w:type="dxa"/>
            <w:vAlign w:val="bottom"/>
            <w:shd w:val="clear" w:color="auto" w:fill="E6E6E6"/>
          </w:tcPr>
          <w:p>
            <w:pPr>
              <w:jc w:val="right"/>
              <w:ind w:right="32"/>
              <w:spacing w:after="0" w:line="202" w:lineRule="exact"/>
              <w:rPr>
                <w:sz w:val="20"/>
                <w:szCs w:val="20"/>
                <w:color w:val="auto"/>
              </w:rPr>
            </w:pPr>
            <w:r>
              <w:rPr>
                <w:rFonts w:ascii="Arial" w:cs="Arial" w:eastAsia="Arial" w:hAnsi="Arial"/>
                <w:sz w:val="18"/>
                <w:szCs w:val="18"/>
                <w:color w:val="auto"/>
              </w:rPr>
              <w:t>4.7</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4"/>
        </w:trPr>
        <w:tc>
          <w:tcPr>
            <w:tcW w:w="6920" w:type="dxa"/>
            <w:vAlign w:val="bottom"/>
          </w:tcPr>
          <w:p>
            <w:pPr>
              <w:spacing w:after="0"/>
              <w:rPr>
                <w:sz w:val="20"/>
                <w:szCs w:val="20"/>
                <w:color w:val="auto"/>
              </w:rPr>
            </w:pPr>
            <w:r>
              <w:rPr>
                <w:rFonts w:ascii="Arial" w:cs="Arial" w:eastAsia="Arial" w:hAnsi="Arial"/>
                <w:sz w:val="18"/>
                <w:szCs w:val="18"/>
                <w:color w:val="auto"/>
              </w:rPr>
              <w:t>Lapse of statute of limitation</w:t>
            </w:r>
          </w:p>
        </w:tc>
        <w:tc>
          <w:tcPr>
            <w:tcW w:w="37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(0.2)</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97"/>
        </w:trPr>
        <w:tc>
          <w:tcPr>
            <w:tcW w:w="6920" w:type="dxa"/>
            <w:vAlign w:val="bottom"/>
            <w:tcBorders>
              <w:bottom w:val="single" w:sz="8" w:color="808080"/>
            </w:tcBorders>
          </w:tcPr>
          <w:p>
            <w:pPr>
              <w:spacing w:after="0"/>
              <w:rPr>
                <w:sz w:val="8"/>
                <w:szCs w:val="8"/>
                <w:color w:val="auto"/>
              </w:rPr>
            </w:pPr>
          </w:p>
        </w:tc>
        <w:tc>
          <w:tcPr>
            <w:tcW w:w="372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r>
      <w:tr>
        <w:trPr>
          <w:trHeight w:val="102"/>
        </w:trPr>
        <w:tc>
          <w:tcPr>
            <w:tcW w:w="6920" w:type="dxa"/>
            <w:vAlign w:val="bottom"/>
          </w:tcPr>
          <w:p>
            <w:pPr>
              <w:spacing w:after="0"/>
              <w:rPr>
                <w:sz w:val="8"/>
                <w:szCs w:val="8"/>
                <w:color w:val="auto"/>
              </w:rPr>
            </w:pPr>
          </w:p>
        </w:tc>
        <w:tc>
          <w:tcPr>
            <w:tcW w:w="3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203"/>
        </w:trPr>
        <w:tc>
          <w:tcPr>
            <w:tcW w:w="692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Gross unrecognized benefits at May 31, 2008</w:t>
            </w:r>
          </w:p>
        </w:tc>
        <w:tc>
          <w:tcPr>
            <w:tcW w:w="3720" w:type="dxa"/>
            <w:vAlign w:val="bottom"/>
            <w:shd w:val="clear" w:color="auto" w:fill="E6E6E6"/>
          </w:tcPr>
          <w:p>
            <w:pPr>
              <w:spacing w:after="0"/>
              <w:rPr>
                <w:sz w:val="17"/>
                <w:szCs w:val="17"/>
                <w:color w:val="auto"/>
              </w:rPr>
            </w:pPr>
          </w:p>
        </w:tc>
        <w:tc>
          <w:tcPr>
            <w:tcW w:w="780" w:type="dxa"/>
            <w:vAlign w:val="bottom"/>
            <w:shd w:val="clear" w:color="auto" w:fill="E6E6E6"/>
          </w:tcPr>
          <w:p>
            <w:pPr>
              <w:jc w:val="right"/>
              <w:ind w:right="32"/>
              <w:spacing w:after="0" w:line="202" w:lineRule="exact"/>
              <w:rPr>
                <w:sz w:val="20"/>
                <w:szCs w:val="20"/>
                <w:color w:val="auto"/>
              </w:rPr>
            </w:pPr>
            <w:r>
              <w:rPr>
                <w:rFonts w:ascii="Arial" w:cs="Arial" w:eastAsia="Arial" w:hAnsi="Arial"/>
                <w:sz w:val="18"/>
                <w:szCs w:val="18"/>
                <w:color w:val="auto"/>
              </w:rPr>
              <w:t>33.1</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6920" w:type="dxa"/>
            <w:vAlign w:val="bottom"/>
          </w:tcPr>
          <w:p>
            <w:pPr>
              <w:spacing w:after="0" w:line="202" w:lineRule="exact"/>
              <w:rPr>
                <w:sz w:val="20"/>
                <w:szCs w:val="20"/>
                <w:color w:val="auto"/>
              </w:rPr>
            </w:pPr>
            <w:r>
              <w:rPr>
                <w:rFonts w:ascii="Arial" w:cs="Arial" w:eastAsia="Arial" w:hAnsi="Arial"/>
                <w:sz w:val="18"/>
                <w:szCs w:val="18"/>
                <w:color w:val="auto"/>
              </w:rPr>
              <w:t>Decreases related to prior year tax position</w:t>
            </w:r>
          </w:p>
        </w:tc>
        <w:tc>
          <w:tcPr>
            <w:tcW w:w="372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(1.2)</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692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Increases related to current year tax positions</w:t>
            </w:r>
          </w:p>
        </w:tc>
        <w:tc>
          <w:tcPr>
            <w:tcW w:w="3720" w:type="dxa"/>
            <w:vAlign w:val="bottom"/>
            <w:shd w:val="clear" w:color="auto" w:fill="E6E6E6"/>
          </w:tcPr>
          <w:p>
            <w:pPr>
              <w:spacing w:after="0"/>
              <w:rPr>
                <w:sz w:val="17"/>
                <w:szCs w:val="17"/>
                <w:color w:val="auto"/>
              </w:rPr>
            </w:pPr>
          </w:p>
        </w:tc>
        <w:tc>
          <w:tcPr>
            <w:tcW w:w="780" w:type="dxa"/>
            <w:vAlign w:val="bottom"/>
            <w:shd w:val="clear" w:color="auto" w:fill="E6E6E6"/>
          </w:tcPr>
          <w:p>
            <w:pPr>
              <w:jc w:val="right"/>
              <w:ind w:right="32"/>
              <w:spacing w:after="0" w:line="202" w:lineRule="exact"/>
              <w:rPr>
                <w:sz w:val="20"/>
                <w:szCs w:val="20"/>
                <w:color w:val="auto"/>
              </w:rPr>
            </w:pPr>
            <w:r>
              <w:rPr>
                <w:rFonts w:ascii="Arial" w:cs="Arial" w:eastAsia="Arial" w:hAnsi="Arial"/>
                <w:sz w:val="18"/>
                <w:szCs w:val="18"/>
                <w:color w:val="auto"/>
              </w:rPr>
              <w:t>1.7</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08"/>
        </w:trPr>
        <w:tc>
          <w:tcPr>
            <w:tcW w:w="6920" w:type="dxa"/>
            <w:vAlign w:val="bottom"/>
            <w:tcBorders>
              <w:bottom w:val="single" w:sz="8" w:color="808080"/>
            </w:tcBorders>
          </w:tcPr>
          <w:p>
            <w:pPr>
              <w:spacing w:after="0"/>
              <w:rPr>
                <w:sz w:val="9"/>
                <w:szCs w:val="9"/>
                <w:color w:val="auto"/>
              </w:rPr>
            </w:pPr>
          </w:p>
        </w:tc>
        <w:tc>
          <w:tcPr>
            <w:tcW w:w="372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304"/>
        </w:trPr>
        <w:tc>
          <w:tcPr>
            <w:tcW w:w="6920" w:type="dxa"/>
            <w:vAlign w:val="bottom"/>
          </w:tcPr>
          <w:p>
            <w:pPr>
              <w:spacing w:after="0"/>
              <w:rPr>
                <w:sz w:val="20"/>
                <w:szCs w:val="20"/>
                <w:color w:val="auto"/>
              </w:rPr>
            </w:pPr>
            <w:r>
              <w:rPr>
                <w:rFonts w:ascii="Arial" w:cs="Arial" w:eastAsia="Arial" w:hAnsi="Arial"/>
                <w:sz w:val="18"/>
                <w:szCs w:val="18"/>
                <w:color w:val="auto"/>
              </w:rPr>
              <w:t>Gross unrecognized benefits at May 31, 2009</w:t>
            </w:r>
          </w:p>
        </w:tc>
        <w:tc>
          <w:tcPr>
            <w:tcW w:w="3720" w:type="dxa"/>
            <w:vAlign w:val="bottom"/>
          </w:tcPr>
          <w:p>
            <w:pPr>
              <w:spacing w:after="0"/>
              <w:rPr>
                <w:sz w:val="24"/>
                <w:szCs w:val="24"/>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33.6</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3"/>
        </w:trPr>
        <w:tc>
          <w:tcPr>
            <w:tcW w:w="692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Decreases related to prior year tax positions</w:t>
            </w:r>
          </w:p>
        </w:tc>
        <w:tc>
          <w:tcPr>
            <w:tcW w:w="3720" w:type="dxa"/>
            <w:vAlign w:val="bottom"/>
            <w:shd w:val="clear" w:color="auto" w:fill="E6E6E6"/>
          </w:tcPr>
          <w:p>
            <w:pPr>
              <w:spacing w:after="0"/>
              <w:rPr>
                <w:sz w:val="17"/>
                <w:szCs w:val="17"/>
                <w:color w:val="auto"/>
              </w:rPr>
            </w:pPr>
          </w:p>
        </w:tc>
        <w:tc>
          <w:tcPr>
            <w:tcW w:w="78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(17.6)</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6920" w:type="dxa"/>
            <w:vAlign w:val="bottom"/>
          </w:tcPr>
          <w:p>
            <w:pPr>
              <w:spacing w:after="0" w:line="202" w:lineRule="exact"/>
              <w:rPr>
                <w:sz w:val="20"/>
                <w:szCs w:val="20"/>
                <w:color w:val="auto"/>
              </w:rPr>
            </w:pPr>
            <w:r>
              <w:rPr>
                <w:rFonts w:ascii="Arial" w:cs="Arial" w:eastAsia="Arial" w:hAnsi="Arial"/>
                <w:sz w:val="18"/>
                <w:szCs w:val="18"/>
                <w:color w:val="auto"/>
              </w:rPr>
              <w:t>Increases related to prior year tax position</w:t>
            </w:r>
          </w:p>
        </w:tc>
        <w:tc>
          <w:tcPr>
            <w:tcW w:w="3720" w:type="dxa"/>
            <w:vAlign w:val="bottom"/>
          </w:tcPr>
          <w:p>
            <w:pPr>
              <w:spacing w:after="0"/>
              <w:rPr>
                <w:sz w:val="17"/>
                <w:szCs w:val="17"/>
                <w:color w:val="auto"/>
              </w:rPr>
            </w:pPr>
          </w:p>
        </w:tc>
        <w:tc>
          <w:tcPr>
            <w:tcW w:w="780" w:type="dxa"/>
            <w:vAlign w:val="bottom"/>
          </w:tcPr>
          <w:p>
            <w:pPr>
              <w:jc w:val="right"/>
              <w:ind w:right="32"/>
              <w:spacing w:after="0" w:line="202" w:lineRule="exact"/>
              <w:rPr>
                <w:sz w:val="20"/>
                <w:szCs w:val="20"/>
                <w:color w:val="auto"/>
              </w:rPr>
            </w:pPr>
            <w:r>
              <w:rPr>
                <w:rFonts w:ascii="Arial" w:cs="Arial" w:eastAsia="Arial" w:hAnsi="Arial"/>
                <w:sz w:val="18"/>
                <w:szCs w:val="18"/>
                <w:color w:val="auto"/>
              </w:rPr>
              <w:t>15.1</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692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Increases related to current year tax positions</w:t>
            </w:r>
          </w:p>
        </w:tc>
        <w:tc>
          <w:tcPr>
            <w:tcW w:w="3720" w:type="dxa"/>
            <w:vAlign w:val="bottom"/>
            <w:shd w:val="clear" w:color="auto" w:fill="E6E6E6"/>
          </w:tcPr>
          <w:p>
            <w:pPr>
              <w:spacing w:after="0"/>
              <w:rPr>
                <w:sz w:val="17"/>
                <w:szCs w:val="17"/>
                <w:color w:val="auto"/>
              </w:rPr>
            </w:pPr>
          </w:p>
        </w:tc>
        <w:tc>
          <w:tcPr>
            <w:tcW w:w="780" w:type="dxa"/>
            <w:vAlign w:val="bottom"/>
            <w:shd w:val="clear" w:color="auto" w:fill="E6E6E6"/>
          </w:tcPr>
          <w:p>
            <w:pPr>
              <w:jc w:val="right"/>
              <w:ind w:right="32"/>
              <w:spacing w:after="0" w:line="202" w:lineRule="exact"/>
              <w:rPr>
                <w:sz w:val="20"/>
                <w:szCs w:val="20"/>
                <w:color w:val="auto"/>
              </w:rPr>
            </w:pPr>
            <w:r>
              <w:rPr>
                <w:rFonts w:ascii="Arial" w:cs="Arial" w:eastAsia="Arial" w:hAnsi="Arial"/>
                <w:sz w:val="18"/>
                <w:szCs w:val="18"/>
                <w:color w:val="auto"/>
              </w:rPr>
              <w:t>4.0</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6920" w:type="dxa"/>
            <w:vAlign w:val="bottom"/>
          </w:tcPr>
          <w:p>
            <w:pPr>
              <w:spacing w:after="0" w:line="202" w:lineRule="exact"/>
              <w:rPr>
                <w:sz w:val="20"/>
                <w:szCs w:val="20"/>
                <w:color w:val="auto"/>
              </w:rPr>
            </w:pPr>
            <w:r>
              <w:rPr>
                <w:rFonts w:ascii="Arial" w:cs="Arial" w:eastAsia="Arial" w:hAnsi="Arial"/>
                <w:sz w:val="18"/>
                <w:szCs w:val="18"/>
                <w:color w:val="auto"/>
              </w:rPr>
              <w:t>Settlements during the period</w:t>
            </w:r>
          </w:p>
        </w:tc>
        <w:tc>
          <w:tcPr>
            <w:tcW w:w="372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(1.3)</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692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Lapse of statute of limitation</w:t>
            </w:r>
          </w:p>
        </w:tc>
        <w:tc>
          <w:tcPr>
            <w:tcW w:w="3720" w:type="dxa"/>
            <w:vAlign w:val="bottom"/>
            <w:shd w:val="clear" w:color="auto" w:fill="E6E6E6"/>
          </w:tcPr>
          <w:p>
            <w:pPr>
              <w:spacing w:after="0"/>
              <w:rPr>
                <w:sz w:val="17"/>
                <w:szCs w:val="17"/>
                <w:color w:val="auto"/>
              </w:rPr>
            </w:pPr>
          </w:p>
        </w:tc>
        <w:tc>
          <w:tcPr>
            <w:tcW w:w="78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(3.2)</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08"/>
        </w:trPr>
        <w:tc>
          <w:tcPr>
            <w:tcW w:w="6920" w:type="dxa"/>
            <w:vAlign w:val="bottom"/>
            <w:tcBorders>
              <w:bottom w:val="single" w:sz="8" w:color="808080"/>
            </w:tcBorders>
          </w:tcPr>
          <w:p>
            <w:pPr>
              <w:spacing w:after="0"/>
              <w:rPr>
                <w:sz w:val="9"/>
                <w:szCs w:val="9"/>
                <w:color w:val="auto"/>
              </w:rPr>
            </w:pPr>
          </w:p>
        </w:tc>
        <w:tc>
          <w:tcPr>
            <w:tcW w:w="372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316"/>
        </w:trPr>
        <w:tc>
          <w:tcPr>
            <w:tcW w:w="6920" w:type="dxa"/>
            <w:vAlign w:val="bottom"/>
          </w:tcPr>
          <w:p>
            <w:pPr>
              <w:spacing w:after="0"/>
              <w:rPr>
                <w:sz w:val="20"/>
                <w:szCs w:val="20"/>
                <w:color w:val="auto"/>
              </w:rPr>
            </w:pPr>
            <w:r>
              <w:rPr>
                <w:rFonts w:ascii="Arial" w:cs="Arial" w:eastAsia="Arial" w:hAnsi="Arial"/>
                <w:sz w:val="18"/>
                <w:szCs w:val="18"/>
                <w:color w:val="auto"/>
              </w:rPr>
              <w:t>Gross unrecognized benefits at May 31, 2010</w:t>
            </w:r>
          </w:p>
        </w:tc>
        <w:tc>
          <w:tcPr>
            <w:tcW w:w="372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30.6</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20"/>
        </w:trPr>
        <w:tc>
          <w:tcPr>
            <w:tcW w:w="6920" w:type="dxa"/>
            <w:vAlign w:val="bottom"/>
            <w:tcBorders>
              <w:bottom w:val="single" w:sz="8" w:color="808080"/>
            </w:tcBorders>
          </w:tcPr>
          <w:p>
            <w:pPr>
              <w:spacing w:after="0"/>
              <w:rPr>
                <w:sz w:val="10"/>
                <w:szCs w:val="10"/>
                <w:color w:val="auto"/>
              </w:rPr>
            </w:pPr>
          </w:p>
        </w:tc>
        <w:tc>
          <w:tcPr>
            <w:tcW w:w="372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6306185</wp:posOffset>
            </wp:positionH>
            <wp:positionV relativeFrom="paragraph">
              <wp:posOffset>-29210</wp:posOffset>
            </wp:positionV>
            <wp:extent cx="12700" cy="2984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-29210</wp:posOffset>
            </wp:positionV>
            <wp:extent cx="12700" cy="2984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6589395</wp:posOffset>
            </wp:positionH>
            <wp:positionV relativeFrom="paragraph">
              <wp:posOffset>-29210</wp:posOffset>
            </wp:positionV>
            <wp:extent cx="12700" cy="2984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-29210</wp:posOffset>
            </wp:positionV>
            <wp:extent cx="12700" cy="2984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93"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Unrecognized tax benefits for the Company decreased by approximately $3.0 and increased by approximately $0.5 for the years ended May 31, 2010 and 2009, respectively. Although the timing of the resolution and/or closure on audits is highly uncertain, it is reasonably possible that the balance of gross unrecognized tax benefits could significantly change in the next twelve months. However, given the number of years remaining subject to examination and the number of matters being examined, the Company is unable to estimate the full range of possible adjustments to the balance of gross unrecognized tax benefits.</w:t>
      </w:r>
    </w:p>
    <w:p>
      <w:pPr>
        <w:spacing w:after="0" w:line="16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Company, including subsidiaries, files income tax returns in the U.S., various states and various foreign jurisdictions. The Company is routinely audited by various tax authorities. The Company is currently under audit by the Internal Revenue Service for its fiscal years ended May 31, 2004, 2005 and 2006, and is also subject to changes for May 2003. The Company is also currently under audit by both New York State and New York City for its fiscal years ended May 31, 2002, 2003 and 2004. If any of these tax examinations are concluded within the next twelve months, the Company will make any necessary adjustments to its unrecognized tax benefits.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Non-income Taxes</w:t>
      </w:r>
    </w:p>
    <w:p>
      <w:pPr>
        <w:spacing w:after="0" w:line="222" w:lineRule="exact"/>
        <w:rPr>
          <w:sz w:val="20"/>
          <w:szCs w:val="20"/>
          <w:color w:val="auto"/>
        </w:rPr>
      </w:pPr>
    </w:p>
    <w:p>
      <w:pPr>
        <w:jc w:val="both"/>
        <w:ind w:right="160"/>
        <w:spacing w:after="0" w:line="256" w:lineRule="auto"/>
        <w:rPr>
          <w:sz w:val="20"/>
          <w:szCs w:val="20"/>
          <w:color w:val="auto"/>
        </w:rPr>
      </w:pPr>
      <w:r>
        <w:rPr>
          <w:rFonts w:ascii="Arial" w:cs="Arial" w:eastAsia="Arial" w:hAnsi="Arial"/>
          <w:sz w:val="18"/>
          <w:szCs w:val="18"/>
          <w:color w:val="auto"/>
        </w:rPr>
        <w:t>Additionally, the Company is subject to tax examinations for sales-based taxes. A number of these examinations are ongoing and, in certain cases, have resulted in assessments from taxing authorities. Where appropriate, the Company has made accruals for these matters which are reflected in the Company’s Consolidated Financial Statements. Most of these matters are immaterial to the Company’s operations. However, during the current year, the Company settled a sales tax audit for $12.5 million.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CAPITAL STOCK AND STOCK-BASED AWARDS</w:t>
      </w:r>
    </w:p>
    <w:p>
      <w:pPr>
        <w:spacing w:after="0" w:line="231" w:lineRule="exact"/>
        <w:rPr>
          <w:sz w:val="20"/>
          <w:szCs w:val="20"/>
          <w:color w:val="auto"/>
        </w:rPr>
      </w:pPr>
    </w:p>
    <w:p>
      <w:pPr>
        <w:ind w:right="680"/>
        <w:spacing w:after="0" w:line="268" w:lineRule="auto"/>
        <w:rPr>
          <w:sz w:val="20"/>
          <w:szCs w:val="20"/>
          <w:color w:val="auto"/>
        </w:rPr>
      </w:pPr>
      <w:r>
        <w:rPr>
          <w:rFonts w:ascii="Arial" w:cs="Arial" w:eastAsia="Arial" w:hAnsi="Arial"/>
          <w:sz w:val="18"/>
          <w:szCs w:val="18"/>
          <w:color w:val="auto"/>
        </w:rPr>
        <w:t>Scholastic Corporation has authorized capital stock of: 4,000,000 shares of Class A Stock; 70,000,000 shares of Common Stock; and 2,000,000 shares of 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2663825</wp:posOffset>
            </wp:positionH>
            <wp:positionV relativeFrom="paragraph">
              <wp:posOffset>123190</wp:posOffset>
            </wp:positionV>
            <wp:extent cx="1929765" cy="23177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1929765"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3873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60"/>
          </w:cols>
          <w:pgMar w:left="240" w:top="590" w:right="199" w:bottom="1440"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7263765" cy="8890"/>
                    </a:xfrm>
                    <a:prstGeom prst="rect">
                      <a:avLst/>
                    </a:prstGeom>
                    <a:noFill/>
                  </pic:spPr>
                </pic:pic>
              </a:graphicData>
            </a:graphic>
          </wp:anchor>
        </w:drawing>
        <w:t>Class A Stock and Common Stock</w:t>
      </w:r>
    </w:p>
    <w:p>
      <w:pPr>
        <w:spacing w:after="0" w:line="222"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The only voting rights vested in the holders of Common Stock, except as required by law, are the election of such number of directors as shall equal at least one-fifth of the members of the Board. The Class A Stockholders are entitled to elect all other directors and to vote on all other matters. The Class A Stockholders and the holders of Common Stock are entitled to one vote per share on matters on which they are entitled to vote. The Class A Stockholders have the right, at their option, to convert shares of Class A Stock into shares of Common Stock on a share-for-share basis.</w:t>
      </w:r>
    </w:p>
    <w:p>
      <w:pPr>
        <w:spacing w:after="0" w:line="167"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With the exception of voting rights and conversion rights, and as to the rights of holders of Preferred Stock if issued, the Class A Stock and the Common Stock are equal in rank and are entitled to dividends and distributions, when and if declared by the Board.</w:t>
      </w:r>
    </w:p>
    <w:p>
      <w:pPr>
        <w:spacing w:after="0" w:line="186"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At May 31, 2010, there were 1,656,200 shares of Class A Stock and 34,598,258 shares of Common Stock outstanding. At May 31, 2010, there were 1,499,000 shares of Class A Stock authorized for issuance under the Company’s stock-based compensation plans. At May 31, 2010, Scholastic Corporation had reserved for issuance 9,244,047 shares of Common Stock, which includes both shares of Common Stock that were reserved for issuance under the Company’s stock-based compensation plans and the 3,155,200 shares of Common Stock that were reserved for the potential issuance of Common Stock upon conversion of the outstanding shares of Class A Stock and the shares of Class A Stock that were reserved for issuance under the Company’s stock-based compensation plans.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222"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color w:val="auto"/>
        </w:rPr>
        <w:t>The Preferred Stock may be issued in one or more series, with the rights of each series, including voting rights, to be determined by the Board before each issuance. To date, no shares of Preferred Stock have been issued.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awards</w:t>
      </w:r>
    </w:p>
    <w:p>
      <w:pPr>
        <w:spacing w:after="0" w:line="222"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At May 31, 2010, the Company maintained two stockholder-approved employee stock-based compensation plans with regard to the Common Stock: the Scholastic Corporation 1995 Stock Option Plan (the “1995 Plan”), under which no further awards can be made; and the Scholastic Corporation 2001 Stock Incentive Plan (the “2001 Plan”). The 2001 Plan provides for the issuance of: incentive stock options, which qualify for favorable treatment under the Internal Revenue Code; options that are not so qualified, called non-qualified stock options; restricted stock; and other stock-based awards. The Company’s stock-based compensation vests over periods not exceeding four years. Provisions in the Company’s stock-based compensation plans allow for the acceleration of vesting for certain retirement eligible employees.</w:t>
      </w:r>
    </w:p>
    <w:p>
      <w:pPr>
        <w:spacing w:after="0" w:line="192" w:lineRule="exact"/>
        <w:rPr>
          <w:sz w:val="20"/>
          <w:szCs w:val="20"/>
          <w:color w:val="auto"/>
        </w:rPr>
      </w:pPr>
    </w:p>
    <w:p>
      <w:pPr>
        <w:jc w:val="both"/>
        <w:ind w:right="200"/>
        <w:spacing w:after="0" w:line="310" w:lineRule="auto"/>
        <w:rPr>
          <w:sz w:val="20"/>
          <w:szCs w:val="20"/>
          <w:color w:val="auto"/>
        </w:rPr>
      </w:pPr>
      <w:r>
        <w:rPr>
          <w:rFonts w:ascii="Arial" w:cs="Arial" w:eastAsia="Arial" w:hAnsi="Arial"/>
          <w:sz w:val="16"/>
          <w:szCs w:val="16"/>
          <w:b w:val="1"/>
          <w:bCs w:val="1"/>
          <w:color w:val="auto"/>
        </w:rPr>
        <w:t xml:space="preserve">Stock Options </w:t>
      </w:r>
      <w:r>
        <w:rPr>
          <w:rFonts w:ascii="Arial" w:cs="Arial" w:eastAsia="Arial" w:hAnsi="Arial"/>
          <w:sz w:val="16"/>
          <w:szCs w:val="16"/>
          <w:color w:val="auto"/>
        </w:rPr>
        <w:t>– At May 31, 2010, non-qualified stock options to purchase 785,795 shares and 2,939,342 shares of Common Stock were outstanding under the</w:t>
      </w:r>
      <w:r>
        <w:rPr>
          <w:rFonts w:ascii="Arial" w:cs="Arial" w:eastAsia="Arial" w:hAnsi="Arial"/>
          <w:sz w:val="16"/>
          <w:szCs w:val="16"/>
          <w:b w:val="1"/>
          <w:bCs w:val="1"/>
          <w:color w:val="auto"/>
        </w:rPr>
        <w:t xml:space="preserve"> </w:t>
      </w:r>
      <w:r>
        <w:rPr>
          <w:rFonts w:ascii="Arial" w:cs="Arial" w:eastAsia="Arial" w:hAnsi="Arial"/>
          <w:sz w:val="16"/>
          <w:szCs w:val="16"/>
          <w:color w:val="auto"/>
        </w:rPr>
        <w:t>1995 Plan and 2001 Plan, respectively. During fiscal 2010, the Company awarded Mr. Robinson 250,000 options at an exercise price of $19.33 under the 2001 Plan, and an additional 157,000 options were granted under the 2001 Plan to other employees at a weighted average exercise price of $22.35.</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At May 31, 2010, 923,122 shares of Common Stock were available for additional awards under the 2001 Plan.</w:t>
      </w:r>
    </w:p>
    <w:p>
      <w:pPr>
        <w:spacing w:after="0" w:line="225"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The Company also maintains the 1997 Outside Directors’ Stock Option Plan (the “1997 Directors’ Plan”), a stockholder-approved stock option plan for outside directors under which no further awards may be made. The 1997 Directors’ Plan, as amended, provided for the automatic grant to each non-employee director on the date of each annual stockholders’ meeting of non-qualified stock options to purchase 6,000 shares of Common Stock.</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At May 31, 2010, options to purchase 270,000 shares of Common Stock were outstanding under the 1997 Directors’ Plan.</w:t>
      </w:r>
    </w:p>
    <w:p>
      <w:pPr>
        <w:spacing w:after="0" w:line="225"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In September 2007, the Corporation adopted the Scholastic Corporation 2007 Outside Directors’ Stock Option Plan (the “2007 Directors’ Plan”). The 2007 Directors’ Plan provides for the automatic grant to each non-employee director on the date of each annual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2663825</wp:posOffset>
            </wp:positionH>
            <wp:positionV relativeFrom="paragraph">
              <wp:posOffset>123190</wp:posOffset>
            </wp:positionV>
            <wp:extent cx="1929765" cy="23177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1929765"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3873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823" w:right="259" w:bottom="1440" w:gutter="0" w:footer="0" w:header="0"/>
        </w:sectPr>
      </w:pPr>
    </w:p>
    <w:bookmarkStart w:id="68" w:name="page69"/>
    <w:bookmarkEnd w:id="68"/>
    <w:p>
      <w:pPr>
        <w:ind w:right="12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7263765" cy="8890"/>
                    </a:xfrm>
                    <a:prstGeom prst="rect">
                      <a:avLst/>
                    </a:prstGeom>
                    <a:noFill/>
                  </pic:spPr>
                </pic:pic>
              </a:graphicData>
            </a:graphic>
          </wp:anchor>
        </w:drawing>
        <w:t>stockholders’ meeting of non-qualified stock options to purchase 3,000 shares of Common Stock at a purchase price per share equal to the fair market value of a share of Common Stock on the date of grant and 1,200 restricted stock units. In September 2009, 24,000 options at an exercise price of $24.54 per share and 9,600 restricted stock units were granted under the 2007 Directors’ Plan. As of May 31, 2010, 67,800 options and 8,400 restricted stock units were outstanding under the 2007 Directors’ Plan and 404,600 shares remained available for additional awards under the 2007 Directors’ Plan.</w:t>
      </w:r>
    </w:p>
    <w:p>
      <w:pPr>
        <w:spacing w:after="0" w:line="167"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The Scholastic Corporation 2004 Class A Stock Incentive Plan (the “Class A Plan”) provided for the grant to Richard Robinson, the Chief Executive Officer of the Corporation as of the effective date of the Class A Plan, of options to purchase Class A Stock (the “Class A Options”). In fiscal 2010, there were no awards granted under the Class A Plan. At May 31, 2010, there were 1,499,000 Class A Options outstanding, and no shares of Class A Stock remained available for additional awards, under the Class A Plan.</w:t>
      </w:r>
    </w:p>
    <w:p>
      <w:pPr>
        <w:spacing w:after="0" w:line="197"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Generally, options granted under the various plans may not be exercised for a minimum of one year after the date of grant and expire approximately ten years after the date of grant.</w:t>
      </w:r>
    </w:p>
    <w:p>
      <w:pPr>
        <w:spacing w:after="0" w:line="18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total aggregate intrinsic value of stock options exercised during the year ended May 31, 2010 and 2009 was $0.3 and $0.0, respectively. The intrinsic value of these stock options is deductible by the Company for tax purposes. The total compensation cost for share-based payment arrangements recognized in income for fiscal 2010, 2009 and 2008 was $14.0, $11.6 and $7.0, respectively. The total recognized tax benefit related thereto for fiscal 2010, 2009 and 2008 was $2.1, $1.9 and $4.2, respectively.</w:t>
      </w:r>
    </w:p>
    <w:p>
      <w:pPr>
        <w:spacing w:after="0" w:line="197"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As of May 31, 2010, the total pre-tax compensation cost not yet recognized by the Company with regard to outstanding unvested stock options was $9.1. The weighted average period over which this compensation cost is expected to be recognized is 1.9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2663825</wp:posOffset>
            </wp:positionH>
            <wp:positionV relativeFrom="paragraph">
              <wp:posOffset>123190</wp:posOffset>
            </wp:positionV>
            <wp:extent cx="1929765" cy="23177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1929765"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3873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834" w:right="259" w:bottom="1440" w:gutter="0" w:footer="0" w:header="0"/>
        </w:sectPr>
      </w:pPr>
    </w:p>
    <w:bookmarkStart w:id="69" w:name="page70"/>
    <w:bookmarkEnd w:id="6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7263765" cy="8890"/>
                    </a:xfrm>
                    <a:prstGeom prst="rect">
                      <a:avLst/>
                    </a:prstGeom>
                    <a:noFill/>
                  </pic:spPr>
                </pic:pic>
              </a:graphicData>
            </a:graphic>
          </wp:anchor>
        </w:drawing>
        <w:t>The following table sets forth the stock option activity for the Class A Stock and Common Stock plans for the fiscal year ended May 31,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242570</wp:posOffset>
            </wp:positionV>
            <wp:extent cx="7263765" cy="8890"/>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20" w:type="dxa"/>
            <w:vAlign w:val="bottom"/>
          </w:tcPr>
          <w:p>
            <w:pPr>
              <w:jc w:val="right"/>
              <w:ind w:right="146"/>
              <w:spacing w:after="0"/>
              <w:rPr>
                <w:sz w:val="20"/>
                <w:szCs w:val="20"/>
                <w:color w:val="auto"/>
              </w:rPr>
            </w:pPr>
            <w:r>
              <w:rPr>
                <w:rFonts w:ascii="Arial" w:cs="Arial" w:eastAsia="Arial" w:hAnsi="Arial"/>
                <w:sz w:val="14"/>
                <w:szCs w:val="14"/>
                <w:b w:val="1"/>
                <w:bCs w:val="1"/>
                <w:color w:val="auto"/>
              </w:rPr>
              <w:t>Weighted</w:t>
            </w:r>
          </w:p>
        </w:tc>
        <w:tc>
          <w:tcPr>
            <w:tcW w:w="1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20" w:type="dxa"/>
            <w:vAlign w:val="bottom"/>
          </w:tcPr>
          <w:p>
            <w:pPr>
              <w:jc w:val="right"/>
              <w:ind w:right="146"/>
              <w:spacing w:after="0" w:line="149" w:lineRule="exact"/>
              <w:rPr>
                <w:sz w:val="20"/>
                <w:szCs w:val="20"/>
                <w:color w:val="auto"/>
              </w:rPr>
            </w:pPr>
            <w:r>
              <w:rPr>
                <w:rFonts w:ascii="Arial" w:cs="Arial" w:eastAsia="Arial" w:hAnsi="Arial"/>
                <w:sz w:val="14"/>
                <w:szCs w:val="14"/>
                <w:b w:val="1"/>
                <w:bCs w:val="1"/>
                <w:color w:val="auto"/>
              </w:rPr>
              <w:t>Average</w:t>
            </w:r>
          </w:p>
        </w:tc>
        <w:tc>
          <w:tcPr>
            <w:tcW w:w="1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jc w:val="right"/>
              <w:ind w:right="180"/>
              <w:spacing w:after="0" w:line="149" w:lineRule="exact"/>
              <w:rPr>
                <w:sz w:val="20"/>
                <w:szCs w:val="20"/>
                <w:color w:val="auto"/>
              </w:rPr>
            </w:pPr>
            <w:r>
              <w:rPr>
                <w:rFonts w:ascii="Arial" w:cs="Arial" w:eastAsia="Arial" w:hAnsi="Arial"/>
                <w:sz w:val="14"/>
                <w:szCs w:val="14"/>
                <w:b w:val="1"/>
                <w:bCs w:val="1"/>
                <w:color w:val="auto"/>
              </w:rPr>
              <w:t>Weighted</w:t>
            </w:r>
          </w:p>
        </w:tc>
        <w:tc>
          <w:tcPr>
            <w:tcW w:w="1220" w:type="dxa"/>
            <w:vAlign w:val="bottom"/>
          </w:tcPr>
          <w:p>
            <w:pPr>
              <w:jc w:val="right"/>
              <w:ind w:right="146"/>
              <w:spacing w:after="0" w:line="149" w:lineRule="exact"/>
              <w:rPr>
                <w:sz w:val="20"/>
                <w:szCs w:val="20"/>
                <w:color w:val="auto"/>
              </w:rPr>
            </w:pPr>
            <w:r>
              <w:rPr>
                <w:rFonts w:ascii="Arial" w:cs="Arial" w:eastAsia="Arial" w:hAnsi="Arial"/>
                <w:sz w:val="14"/>
                <w:szCs w:val="14"/>
                <w:b w:val="1"/>
                <w:bCs w:val="1"/>
                <w:color w:val="auto"/>
              </w:rPr>
              <w:t>Remaining</w:t>
            </w:r>
          </w:p>
        </w:tc>
        <w:tc>
          <w:tcPr>
            <w:tcW w:w="1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jc w:val="right"/>
              <w:ind w:right="180"/>
              <w:spacing w:after="0" w:line="149" w:lineRule="exact"/>
              <w:rPr>
                <w:sz w:val="20"/>
                <w:szCs w:val="20"/>
                <w:color w:val="auto"/>
              </w:rPr>
            </w:pPr>
            <w:r>
              <w:rPr>
                <w:rFonts w:ascii="Arial" w:cs="Arial" w:eastAsia="Arial" w:hAnsi="Arial"/>
                <w:sz w:val="14"/>
                <w:szCs w:val="14"/>
                <w:b w:val="1"/>
                <w:bCs w:val="1"/>
                <w:color w:val="auto"/>
              </w:rPr>
              <w:t>Average</w:t>
            </w:r>
          </w:p>
        </w:tc>
        <w:tc>
          <w:tcPr>
            <w:tcW w:w="1220" w:type="dxa"/>
            <w:vAlign w:val="bottom"/>
          </w:tcPr>
          <w:p>
            <w:pPr>
              <w:jc w:val="right"/>
              <w:ind w:right="146"/>
              <w:spacing w:after="0" w:line="149" w:lineRule="exact"/>
              <w:rPr>
                <w:sz w:val="20"/>
                <w:szCs w:val="20"/>
                <w:color w:val="auto"/>
              </w:rPr>
            </w:pPr>
            <w:r>
              <w:rPr>
                <w:rFonts w:ascii="Arial" w:cs="Arial" w:eastAsia="Arial" w:hAnsi="Arial"/>
                <w:sz w:val="14"/>
                <w:szCs w:val="14"/>
                <w:b w:val="1"/>
                <w:bCs w:val="1"/>
                <w:color w:val="auto"/>
              </w:rPr>
              <w:t>Contractual</w:t>
            </w:r>
          </w:p>
        </w:tc>
        <w:tc>
          <w:tcPr>
            <w:tcW w:w="1040" w:type="dxa"/>
            <w:vAlign w:val="bottom"/>
            <w:gridSpan w:val="2"/>
          </w:tcPr>
          <w:p>
            <w:pPr>
              <w:jc w:val="right"/>
              <w:ind w:right="140"/>
              <w:spacing w:after="0" w:line="149" w:lineRule="exact"/>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jc w:val="right"/>
              <w:ind w:right="180"/>
              <w:spacing w:after="0" w:line="149" w:lineRule="exact"/>
              <w:rPr>
                <w:sz w:val="20"/>
                <w:szCs w:val="20"/>
                <w:color w:val="auto"/>
              </w:rPr>
            </w:pPr>
            <w:r>
              <w:rPr>
                <w:rFonts w:ascii="Arial" w:cs="Arial" w:eastAsia="Arial" w:hAnsi="Arial"/>
                <w:sz w:val="14"/>
                <w:szCs w:val="14"/>
                <w:b w:val="1"/>
                <w:bCs w:val="1"/>
                <w:color w:val="auto"/>
              </w:rPr>
              <w:t>Exercise</w:t>
            </w:r>
          </w:p>
        </w:tc>
        <w:tc>
          <w:tcPr>
            <w:tcW w:w="1220" w:type="dxa"/>
            <w:vAlign w:val="bottom"/>
          </w:tcPr>
          <w:p>
            <w:pPr>
              <w:jc w:val="right"/>
              <w:ind w:right="146"/>
              <w:spacing w:after="0" w:line="149" w:lineRule="exact"/>
              <w:rPr>
                <w:sz w:val="20"/>
                <w:szCs w:val="20"/>
                <w:color w:val="auto"/>
              </w:rPr>
            </w:pPr>
            <w:r>
              <w:rPr>
                <w:rFonts w:ascii="Arial" w:cs="Arial" w:eastAsia="Arial" w:hAnsi="Arial"/>
                <w:sz w:val="14"/>
                <w:szCs w:val="14"/>
                <w:b w:val="1"/>
                <w:bCs w:val="1"/>
                <w:color w:val="auto"/>
              </w:rPr>
              <w:t>Term</w:t>
            </w:r>
          </w:p>
        </w:tc>
        <w:tc>
          <w:tcPr>
            <w:tcW w:w="1040" w:type="dxa"/>
            <w:vAlign w:val="bottom"/>
            <w:gridSpan w:val="2"/>
          </w:tcPr>
          <w:p>
            <w:pPr>
              <w:jc w:val="right"/>
              <w:ind w:right="140"/>
              <w:spacing w:after="0" w:line="149" w:lineRule="exact"/>
              <w:rPr>
                <w:sz w:val="20"/>
                <w:szCs w:val="20"/>
                <w:color w:val="auto"/>
              </w:rPr>
            </w:pPr>
            <w:r>
              <w:rPr>
                <w:rFonts w:ascii="Arial" w:cs="Arial" w:eastAsia="Arial" w:hAnsi="Arial"/>
                <w:sz w:val="14"/>
                <w:szCs w:val="14"/>
                <w:b w:val="1"/>
                <w:bCs w:val="1"/>
                <w:color w:val="auto"/>
              </w:rPr>
              <w:t>Intrinsic</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5360" w:type="dxa"/>
            <w:vAlign w:val="bottom"/>
          </w:tcPr>
          <w:p>
            <w:pPr>
              <w:spacing w:after="0"/>
              <w:rPr>
                <w:sz w:val="15"/>
                <w:szCs w:val="15"/>
                <w:color w:val="auto"/>
              </w:rPr>
            </w:pPr>
          </w:p>
        </w:tc>
        <w:tc>
          <w:tcPr>
            <w:tcW w:w="2600" w:type="dxa"/>
            <w:vAlign w:val="bottom"/>
          </w:tcPr>
          <w:p>
            <w:pPr>
              <w:jc w:val="right"/>
              <w:ind w:right="55"/>
              <w:spacing w:after="0"/>
              <w:rPr>
                <w:sz w:val="20"/>
                <w:szCs w:val="20"/>
                <w:color w:val="auto"/>
              </w:rPr>
            </w:pPr>
            <w:r>
              <w:rPr>
                <w:rFonts w:ascii="Arial" w:cs="Arial" w:eastAsia="Arial" w:hAnsi="Arial"/>
                <w:sz w:val="14"/>
                <w:szCs w:val="14"/>
                <w:b w:val="1"/>
                <w:bCs w:val="1"/>
                <w:color w:val="auto"/>
              </w:rPr>
              <w:t>Options</w:t>
            </w:r>
          </w:p>
        </w:tc>
        <w:tc>
          <w:tcPr>
            <w:tcW w:w="260" w:type="dxa"/>
            <w:vAlign w:val="bottom"/>
          </w:tcPr>
          <w:p>
            <w:pPr>
              <w:spacing w:after="0"/>
              <w:rPr>
                <w:sz w:val="15"/>
                <w:szCs w:val="15"/>
                <w:color w:val="auto"/>
              </w:rPr>
            </w:pPr>
          </w:p>
        </w:tc>
        <w:tc>
          <w:tcPr>
            <w:tcW w:w="940" w:type="dxa"/>
            <w:vAlign w:val="bottom"/>
          </w:tcPr>
          <w:p>
            <w:pPr>
              <w:jc w:val="right"/>
              <w:ind w:right="180"/>
              <w:spacing w:after="0"/>
              <w:rPr>
                <w:sz w:val="20"/>
                <w:szCs w:val="20"/>
                <w:color w:val="auto"/>
              </w:rPr>
            </w:pPr>
            <w:r>
              <w:rPr>
                <w:rFonts w:ascii="Arial" w:cs="Arial" w:eastAsia="Arial" w:hAnsi="Arial"/>
                <w:sz w:val="14"/>
                <w:szCs w:val="14"/>
                <w:b w:val="1"/>
                <w:bCs w:val="1"/>
                <w:color w:val="auto"/>
              </w:rPr>
              <w:t>Price</w:t>
            </w:r>
          </w:p>
        </w:tc>
        <w:tc>
          <w:tcPr>
            <w:tcW w:w="1220" w:type="dxa"/>
            <w:vAlign w:val="bottom"/>
          </w:tcPr>
          <w:p>
            <w:pPr>
              <w:jc w:val="right"/>
              <w:ind w:right="146"/>
              <w:spacing w:after="0"/>
              <w:rPr>
                <w:sz w:val="20"/>
                <w:szCs w:val="20"/>
                <w:color w:val="auto"/>
              </w:rPr>
            </w:pPr>
            <w:r>
              <w:rPr>
                <w:rFonts w:ascii="Arial" w:cs="Arial" w:eastAsia="Arial" w:hAnsi="Arial"/>
                <w:sz w:val="14"/>
                <w:szCs w:val="14"/>
                <w:b w:val="1"/>
                <w:bCs w:val="1"/>
                <w:color w:val="auto"/>
              </w:rPr>
              <w:t>(in years)</w:t>
            </w:r>
          </w:p>
        </w:tc>
        <w:tc>
          <w:tcPr>
            <w:tcW w:w="104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95"/>
        </w:trPr>
        <w:tc>
          <w:tcPr>
            <w:tcW w:w="5380" w:type="dxa"/>
            <w:vAlign w:val="bottom"/>
            <w:gridSpan w:val="2"/>
          </w:tcPr>
          <w:p>
            <w:pPr>
              <w:spacing w:after="0"/>
              <w:rPr>
                <w:sz w:val="8"/>
                <w:szCs w:val="8"/>
                <w:color w:val="auto"/>
              </w:rPr>
            </w:pPr>
          </w:p>
        </w:tc>
        <w:tc>
          <w:tcPr>
            <w:tcW w:w="2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60" w:type="dxa"/>
            <w:vAlign w:val="bottom"/>
            <w:tcBorders>
              <w:top w:val="single" w:sz="8" w:color="auto"/>
            </w:tcBorders>
          </w:tcPr>
          <w:p>
            <w:pPr>
              <w:spacing w:after="0"/>
              <w:rPr>
                <w:sz w:val="8"/>
                <w:szCs w:val="8"/>
                <w:color w:val="auto"/>
              </w:rPr>
            </w:pPr>
          </w:p>
        </w:tc>
        <w:tc>
          <w:tcPr>
            <w:tcW w:w="2600" w:type="dxa"/>
            <w:vAlign w:val="bottom"/>
            <w:tcBorders>
              <w:top w:val="single" w:sz="8" w:color="auto"/>
            </w:tcBorders>
          </w:tcPr>
          <w:p>
            <w:pPr>
              <w:spacing w:after="0"/>
              <w:rPr>
                <w:sz w:val="8"/>
                <w:szCs w:val="8"/>
                <w:color w:val="auto"/>
              </w:rPr>
            </w:pPr>
          </w:p>
        </w:tc>
        <w:tc>
          <w:tcPr>
            <w:tcW w:w="260" w:type="dxa"/>
            <w:vAlign w:val="bottom"/>
            <w:tcBorders>
              <w:top w:val="single" w:sz="8" w:color="auto"/>
            </w:tcBorders>
          </w:tcPr>
          <w:p>
            <w:pPr>
              <w:spacing w:after="0"/>
              <w:rPr>
                <w:sz w:val="8"/>
                <w:szCs w:val="8"/>
                <w:color w:val="auto"/>
              </w:rPr>
            </w:pPr>
          </w:p>
        </w:tc>
        <w:tc>
          <w:tcPr>
            <w:tcW w:w="940" w:type="dxa"/>
            <w:vAlign w:val="bottom"/>
            <w:tcBorders>
              <w:top w:val="single" w:sz="8" w:color="auto"/>
            </w:tcBorders>
          </w:tcPr>
          <w:p>
            <w:pPr>
              <w:spacing w:after="0"/>
              <w:rPr>
                <w:sz w:val="8"/>
                <w:szCs w:val="8"/>
                <w:color w:val="auto"/>
              </w:rPr>
            </w:pPr>
          </w:p>
        </w:tc>
        <w:tc>
          <w:tcPr>
            <w:tcW w:w="1220" w:type="dxa"/>
            <w:vAlign w:val="bottom"/>
            <w:tcBorders>
              <w:top w:val="single" w:sz="8" w:color="auto"/>
            </w:tcBorders>
          </w:tcPr>
          <w:p>
            <w:pPr>
              <w:spacing w:after="0"/>
              <w:rPr>
                <w:sz w:val="8"/>
                <w:szCs w:val="8"/>
                <w:color w:val="auto"/>
              </w:rPr>
            </w:pPr>
          </w:p>
        </w:tc>
        <w:tc>
          <w:tcPr>
            <w:tcW w:w="102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360" w:type="dxa"/>
            <w:vAlign w:val="bottom"/>
            <w:shd w:val="clear" w:color="auto" w:fill="E6E6E6"/>
          </w:tcPr>
          <w:p>
            <w:pPr>
              <w:spacing w:after="0" w:line="202" w:lineRule="exact"/>
              <w:rPr>
                <w:sz w:val="20"/>
                <w:szCs w:val="20"/>
                <w:color w:val="auto"/>
              </w:rPr>
            </w:pPr>
            <w:r>
              <w:rPr>
                <w:rFonts w:ascii="Arial" w:cs="Arial" w:eastAsia="Arial" w:hAnsi="Arial"/>
                <w:sz w:val="18"/>
                <w:szCs w:val="18"/>
                <w:b w:val="1"/>
                <w:bCs w:val="1"/>
                <w:color w:val="auto"/>
              </w:rPr>
              <w:t>Outstanding at May 31, 2009</w:t>
            </w:r>
          </w:p>
        </w:tc>
        <w:tc>
          <w:tcPr>
            <w:tcW w:w="2600" w:type="dxa"/>
            <w:vAlign w:val="bottom"/>
            <w:shd w:val="clear" w:color="auto" w:fill="E6E6E6"/>
          </w:tcPr>
          <w:p>
            <w:pPr>
              <w:jc w:val="right"/>
              <w:ind w:right="55"/>
              <w:spacing w:after="0" w:line="202" w:lineRule="exact"/>
              <w:rPr>
                <w:sz w:val="20"/>
                <w:szCs w:val="20"/>
                <w:color w:val="auto"/>
              </w:rPr>
            </w:pPr>
            <w:r>
              <w:rPr>
                <w:rFonts w:ascii="Arial" w:cs="Arial" w:eastAsia="Arial" w:hAnsi="Arial"/>
                <w:sz w:val="18"/>
                <w:szCs w:val="18"/>
                <w:color w:val="auto"/>
              </w:rPr>
              <w:t>6,026,232</w:t>
            </w:r>
          </w:p>
        </w:tc>
        <w:tc>
          <w:tcPr>
            <w:tcW w:w="26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shd w:val="clear" w:color="auto" w:fill="E6E6E6"/>
          </w:tcPr>
          <w:p>
            <w:pPr>
              <w:jc w:val="right"/>
              <w:ind w:right="180"/>
              <w:spacing w:after="0" w:line="202" w:lineRule="exact"/>
              <w:rPr>
                <w:sz w:val="20"/>
                <w:szCs w:val="20"/>
                <w:color w:val="auto"/>
              </w:rPr>
            </w:pPr>
            <w:r>
              <w:rPr>
                <w:rFonts w:ascii="Arial" w:cs="Arial" w:eastAsia="Arial" w:hAnsi="Arial"/>
                <w:sz w:val="18"/>
                <w:szCs w:val="18"/>
                <w:color w:val="auto"/>
              </w:rPr>
              <w:t>31.58</w:t>
            </w:r>
          </w:p>
        </w:tc>
        <w:tc>
          <w:tcPr>
            <w:tcW w:w="1220" w:type="dxa"/>
            <w:vAlign w:val="bottom"/>
            <w:shd w:val="clear" w:color="auto" w:fill="E6E6E6"/>
          </w:tcPr>
          <w:p>
            <w:pPr>
              <w:spacing w:after="0"/>
              <w:rPr>
                <w:sz w:val="17"/>
                <w:szCs w:val="17"/>
                <w:color w:val="auto"/>
              </w:rPr>
            </w:pPr>
          </w:p>
        </w:tc>
        <w:tc>
          <w:tcPr>
            <w:tcW w:w="1020" w:type="dxa"/>
            <w:vAlign w:val="bottom"/>
            <w:shd w:val="clear" w:color="auto" w:fill="E6E6E6"/>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60" w:type="dxa"/>
            <w:vAlign w:val="bottom"/>
          </w:tcPr>
          <w:p>
            <w:pPr>
              <w:spacing w:after="0" w:line="202" w:lineRule="exact"/>
              <w:rPr>
                <w:sz w:val="20"/>
                <w:szCs w:val="20"/>
                <w:color w:val="auto"/>
              </w:rPr>
            </w:pPr>
            <w:r>
              <w:rPr>
                <w:rFonts w:ascii="Arial" w:cs="Arial" w:eastAsia="Arial" w:hAnsi="Arial"/>
                <w:sz w:val="18"/>
                <w:szCs w:val="18"/>
                <w:b w:val="1"/>
                <w:bCs w:val="1"/>
                <w:color w:val="auto"/>
              </w:rPr>
              <w:t>Granted</w:t>
            </w:r>
          </w:p>
        </w:tc>
        <w:tc>
          <w:tcPr>
            <w:tcW w:w="2600" w:type="dxa"/>
            <w:vAlign w:val="bottom"/>
          </w:tcPr>
          <w:p>
            <w:pPr>
              <w:jc w:val="right"/>
              <w:ind w:right="55"/>
              <w:spacing w:after="0" w:line="202" w:lineRule="exact"/>
              <w:rPr>
                <w:sz w:val="20"/>
                <w:szCs w:val="20"/>
                <w:color w:val="auto"/>
              </w:rPr>
            </w:pPr>
            <w:r>
              <w:rPr>
                <w:rFonts w:ascii="Arial" w:cs="Arial" w:eastAsia="Arial" w:hAnsi="Arial"/>
                <w:sz w:val="18"/>
                <w:szCs w:val="18"/>
                <w:color w:val="auto"/>
              </w:rPr>
              <w:t>431,000</w:t>
            </w:r>
          </w:p>
        </w:tc>
        <w:tc>
          <w:tcPr>
            <w:tcW w:w="260" w:type="dxa"/>
            <w:vAlign w:val="bottom"/>
          </w:tcPr>
          <w:p>
            <w:pPr>
              <w:spacing w:after="0"/>
              <w:rPr>
                <w:sz w:val="17"/>
                <w:szCs w:val="17"/>
                <w:color w:val="auto"/>
              </w:rPr>
            </w:pPr>
          </w:p>
        </w:tc>
        <w:tc>
          <w:tcPr>
            <w:tcW w:w="940" w:type="dxa"/>
            <w:vAlign w:val="bottom"/>
          </w:tcPr>
          <w:p>
            <w:pPr>
              <w:jc w:val="right"/>
              <w:ind w:right="180"/>
              <w:spacing w:after="0" w:line="202" w:lineRule="exact"/>
              <w:rPr>
                <w:sz w:val="20"/>
                <w:szCs w:val="20"/>
                <w:color w:val="auto"/>
              </w:rPr>
            </w:pPr>
            <w:r>
              <w:rPr>
                <w:rFonts w:ascii="Arial" w:cs="Arial" w:eastAsia="Arial" w:hAnsi="Arial"/>
                <w:sz w:val="18"/>
                <w:szCs w:val="18"/>
                <w:color w:val="auto"/>
              </w:rPr>
              <w:t>22.35</w:t>
            </w:r>
          </w:p>
        </w:tc>
        <w:tc>
          <w:tcPr>
            <w:tcW w:w="1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60" w:type="dxa"/>
            <w:vAlign w:val="bottom"/>
            <w:shd w:val="clear" w:color="auto" w:fill="E6E6E6"/>
          </w:tcPr>
          <w:p>
            <w:pPr>
              <w:spacing w:after="0" w:line="202" w:lineRule="exact"/>
              <w:rPr>
                <w:sz w:val="20"/>
                <w:szCs w:val="20"/>
                <w:color w:val="auto"/>
              </w:rPr>
            </w:pPr>
            <w:r>
              <w:rPr>
                <w:rFonts w:ascii="Arial" w:cs="Arial" w:eastAsia="Arial" w:hAnsi="Arial"/>
                <w:sz w:val="18"/>
                <w:szCs w:val="18"/>
                <w:b w:val="1"/>
                <w:bCs w:val="1"/>
                <w:color w:val="auto"/>
              </w:rPr>
              <w:t>Exercised</w:t>
            </w:r>
          </w:p>
        </w:tc>
        <w:tc>
          <w:tcPr>
            <w:tcW w:w="260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(134,045)</w:t>
            </w:r>
          </w:p>
        </w:tc>
        <w:tc>
          <w:tcPr>
            <w:tcW w:w="260" w:type="dxa"/>
            <w:vAlign w:val="bottom"/>
            <w:shd w:val="clear" w:color="auto" w:fill="E6E6E6"/>
          </w:tcPr>
          <w:p>
            <w:pPr>
              <w:spacing w:after="0"/>
              <w:rPr>
                <w:sz w:val="17"/>
                <w:szCs w:val="17"/>
                <w:color w:val="auto"/>
              </w:rPr>
            </w:pPr>
          </w:p>
        </w:tc>
        <w:tc>
          <w:tcPr>
            <w:tcW w:w="940" w:type="dxa"/>
            <w:vAlign w:val="bottom"/>
            <w:shd w:val="clear" w:color="auto" w:fill="E6E6E6"/>
          </w:tcPr>
          <w:p>
            <w:pPr>
              <w:jc w:val="right"/>
              <w:ind w:right="180"/>
              <w:spacing w:after="0" w:line="202" w:lineRule="exact"/>
              <w:rPr>
                <w:sz w:val="20"/>
                <w:szCs w:val="20"/>
                <w:color w:val="auto"/>
              </w:rPr>
            </w:pPr>
            <w:r>
              <w:rPr>
                <w:rFonts w:ascii="Arial" w:cs="Arial" w:eastAsia="Arial" w:hAnsi="Arial"/>
                <w:sz w:val="18"/>
                <w:szCs w:val="18"/>
                <w:color w:val="auto"/>
              </w:rPr>
              <w:t>27.21</w:t>
            </w:r>
          </w:p>
        </w:tc>
        <w:tc>
          <w:tcPr>
            <w:tcW w:w="1220" w:type="dxa"/>
            <w:vAlign w:val="bottom"/>
            <w:shd w:val="clear" w:color="auto" w:fill="E6E6E6"/>
          </w:tcPr>
          <w:p>
            <w:pPr>
              <w:spacing w:after="0"/>
              <w:rPr>
                <w:sz w:val="17"/>
                <w:szCs w:val="17"/>
                <w:color w:val="auto"/>
              </w:rPr>
            </w:pPr>
          </w:p>
        </w:tc>
        <w:tc>
          <w:tcPr>
            <w:tcW w:w="1020" w:type="dxa"/>
            <w:vAlign w:val="bottom"/>
            <w:shd w:val="clear" w:color="auto" w:fill="E6E6E6"/>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5360" w:type="dxa"/>
            <w:vAlign w:val="bottom"/>
          </w:tcPr>
          <w:p>
            <w:pPr>
              <w:spacing w:after="0"/>
              <w:rPr>
                <w:sz w:val="20"/>
                <w:szCs w:val="20"/>
                <w:color w:val="auto"/>
              </w:rPr>
            </w:pPr>
            <w:r>
              <w:rPr>
                <w:rFonts w:ascii="Arial" w:cs="Arial" w:eastAsia="Arial" w:hAnsi="Arial"/>
                <w:sz w:val="18"/>
                <w:szCs w:val="18"/>
                <w:b w:val="1"/>
                <w:bCs w:val="1"/>
                <w:color w:val="auto"/>
              </w:rPr>
              <w:t>Cancellations and forfeitures</w:t>
            </w:r>
          </w:p>
        </w:tc>
        <w:tc>
          <w:tcPr>
            <w:tcW w:w="2600" w:type="dxa"/>
            <w:vAlign w:val="bottom"/>
          </w:tcPr>
          <w:p>
            <w:pPr>
              <w:jc w:val="right"/>
              <w:spacing w:after="0"/>
              <w:rPr>
                <w:sz w:val="20"/>
                <w:szCs w:val="20"/>
                <w:color w:val="auto"/>
              </w:rPr>
            </w:pPr>
            <w:r>
              <w:rPr>
                <w:rFonts w:ascii="Arial" w:cs="Arial" w:eastAsia="Arial" w:hAnsi="Arial"/>
                <w:sz w:val="18"/>
                <w:szCs w:val="18"/>
                <w:color w:val="auto"/>
              </w:rPr>
              <w:t>(734,031)</w:t>
            </w:r>
          </w:p>
        </w:tc>
        <w:tc>
          <w:tcPr>
            <w:tcW w:w="260" w:type="dxa"/>
            <w:vAlign w:val="bottom"/>
          </w:tcPr>
          <w:p>
            <w:pPr>
              <w:spacing w:after="0"/>
              <w:rPr>
                <w:sz w:val="20"/>
                <w:szCs w:val="20"/>
                <w:color w:val="auto"/>
              </w:rPr>
            </w:pPr>
          </w:p>
        </w:tc>
        <w:tc>
          <w:tcPr>
            <w:tcW w:w="940" w:type="dxa"/>
            <w:vAlign w:val="bottom"/>
          </w:tcPr>
          <w:p>
            <w:pPr>
              <w:jc w:val="right"/>
              <w:ind w:right="180"/>
              <w:spacing w:after="0"/>
              <w:rPr>
                <w:sz w:val="20"/>
                <w:szCs w:val="20"/>
                <w:color w:val="auto"/>
              </w:rPr>
            </w:pPr>
            <w:r>
              <w:rPr>
                <w:rFonts w:ascii="Arial" w:cs="Arial" w:eastAsia="Arial" w:hAnsi="Arial"/>
                <w:sz w:val="18"/>
                <w:szCs w:val="18"/>
                <w:color w:val="auto"/>
              </w:rPr>
              <w:t>29.27</w:t>
            </w:r>
          </w:p>
        </w:tc>
        <w:tc>
          <w:tcPr>
            <w:tcW w:w="1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8"/>
        </w:trPr>
        <w:tc>
          <w:tcPr>
            <w:tcW w:w="5380" w:type="dxa"/>
            <w:vAlign w:val="bottom"/>
            <w:tcBorders>
              <w:bottom w:val="single" w:sz="8" w:color="808080"/>
            </w:tcBorders>
            <w:gridSpan w:val="2"/>
          </w:tcPr>
          <w:p>
            <w:pPr>
              <w:spacing w:after="0"/>
              <w:rPr>
                <w:sz w:val="6"/>
                <w:szCs w:val="6"/>
                <w:color w:val="auto"/>
              </w:rPr>
            </w:pPr>
          </w:p>
        </w:tc>
        <w:tc>
          <w:tcPr>
            <w:tcW w:w="2600" w:type="dxa"/>
            <w:vAlign w:val="bottom"/>
            <w:tcBorders>
              <w:bottom w:val="single" w:sz="8" w:color="808080"/>
            </w:tcBorders>
          </w:tcPr>
          <w:p>
            <w:pPr>
              <w:spacing w:after="0"/>
              <w:rPr>
                <w:sz w:val="6"/>
                <w:szCs w:val="6"/>
                <w:color w:val="auto"/>
              </w:rPr>
            </w:pPr>
          </w:p>
        </w:tc>
        <w:tc>
          <w:tcPr>
            <w:tcW w:w="260" w:type="dxa"/>
            <w:vAlign w:val="bottom"/>
            <w:tcBorders>
              <w:bottom w:val="single" w:sz="8" w:color="808080"/>
            </w:tcBorders>
          </w:tcPr>
          <w:p>
            <w:pPr>
              <w:spacing w:after="0"/>
              <w:rPr>
                <w:sz w:val="6"/>
                <w:szCs w:val="6"/>
                <w:color w:val="auto"/>
              </w:rPr>
            </w:pPr>
          </w:p>
        </w:tc>
        <w:tc>
          <w:tcPr>
            <w:tcW w:w="940" w:type="dxa"/>
            <w:vAlign w:val="bottom"/>
            <w:tcBorders>
              <w:bottom w:val="single" w:sz="8" w:color="808080"/>
            </w:tcBorders>
          </w:tcPr>
          <w:p>
            <w:pPr>
              <w:spacing w:after="0"/>
              <w:rPr>
                <w:sz w:val="6"/>
                <w:szCs w:val="6"/>
                <w:color w:val="auto"/>
              </w:rPr>
            </w:pPr>
          </w:p>
        </w:tc>
        <w:tc>
          <w:tcPr>
            <w:tcW w:w="1220" w:type="dxa"/>
            <w:vAlign w:val="bottom"/>
            <w:tcBorders>
              <w:bottom w:val="single" w:sz="8" w:color="808080"/>
            </w:tcBorders>
          </w:tcPr>
          <w:p>
            <w:pPr>
              <w:spacing w:after="0"/>
              <w:rPr>
                <w:sz w:val="6"/>
                <w:szCs w:val="6"/>
                <w:color w:val="auto"/>
              </w:rPr>
            </w:pPr>
          </w:p>
        </w:tc>
        <w:tc>
          <w:tcPr>
            <w:tcW w:w="1020" w:type="dxa"/>
            <w:vAlign w:val="bottom"/>
            <w:tcBorders>
              <w:bottom w:val="single" w:sz="8" w:color="808080"/>
            </w:tcBorders>
          </w:tcPr>
          <w:p>
            <w:pPr>
              <w:spacing w:after="0"/>
              <w:rPr>
                <w:sz w:val="6"/>
                <w:szCs w:val="6"/>
                <w:color w:val="auto"/>
              </w:rPr>
            </w:pPr>
          </w:p>
        </w:tc>
        <w:tc>
          <w:tcPr>
            <w:tcW w:w="20" w:type="dxa"/>
            <w:vAlign w:val="bottom"/>
            <w:tcBorders>
              <w:bottom w:val="single" w:sz="8" w:color="808080"/>
            </w:tcBorders>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60" w:type="dxa"/>
            <w:vAlign w:val="bottom"/>
          </w:tcPr>
          <w:p>
            <w:pPr>
              <w:spacing w:after="0"/>
              <w:rPr>
                <w:sz w:val="8"/>
                <w:szCs w:val="8"/>
                <w:color w:val="auto"/>
              </w:rPr>
            </w:pPr>
          </w:p>
        </w:tc>
        <w:tc>
          <w:tcPr>
            <w:tcW w:w="2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360" w:type="dxa"/>
            <w:vAlign w:val="bottom"/>
            <w:shd w:val="clear" w:color="auto" w:fill="E6E6E6"/>
          </w:tcPr>
          <w:p>
            <w:pPr>
              <w:spacing w:after="0" w:line="202" w:lineRule="exact"/>
              <w:rPr>
                <w:sz w:val="20"/>
                <w:szCs w:val="20"/>
                <w:color w:val="auto"/>
              </w:rPr>
            </w:pPr>
            <w:r>
              <w:rPr>
                <w:rFonts w:ascii="Arial" w:cs="Arial" w:eastAsia="Arial" w:hAnsi="Arial"/>
                <w:sz w:val="18"/>
                <w:szCs w:val="18"/>
                <w:b w:val="1"/>
                <w:bCs w:val="1"/>
                <w:color w:val="auto"/>
              </w:rPr>
              <w:t>Outstanding at May 31, 2010</w:t>
            </w:r>
          </w:p>
        </w:tc>
        <w:tc>
          <w:tcPr>
            <w:tcW w:w="2600" w:type="dxa"/>
            <w:vAlign w:val="bottom"/>
            <w:shd w:val="clear" w:color="auto" w:fill="E6E6E6"/>
          </w:tcPr>
          <w:p>
            <w:pPr>
              <w:jc w:val="right"/>
              <w:ind w:right="55"/>
              <w:spacing w:after="0" w:line="202" w:lineRule="exact"/>
              <w:rPr>
                <w:sz w:val="20"/>
                <w:szCs w:val="20"/>
                <w:color w:val="auto"/>
              </w:rPr>
            </w:pPr>
            <w:r>
              <w:rPr>
                <w:rFonts w:ascii="Arial" w:cs="Arial" w:eastAsia="Arial" w:hAnsi="Arial"/>
                <w:sz w:val="18"/>
                <w:szCs w:val="18"/>
                <w:color w:val="auto"/>
              </w:rPr>
              <w:t>5,589,156</w:t>
            </w:r>
          </w:p>
        </w:tc>
        <w:tc>
          <w:tcPr>
            <w:tcW w:w="26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shd w:val="clear" w:color="auto" w:fill="E6E6E6"/>
          </w:tcPr>
          <w:p>
            <w:pPr>
              <w:jc w:val="right"/>
              <w:ind w:right="180"/>
              <w:spacing w:after="0" w:line="202" w:lineRule="exact"/>
              <w:rPr>
                <w:sz w:val="20"/>
                <w:szCs w:val="20"/>
                <w:color w:val="auto"/>
              </w:rPr>
            </w:pPr>
            <w:r>
              <w:rPr>
                <w:rFonts w:ascii="Arial" w:cs="Arial" w:eastAsia="Arial" w:hAnsi="Arial"/>
                <w:sz w:val="18"/>
                <w:szCs w:val="18"/>
                <w:color w:val="auto"/>
              </w:rPr>
              <w:t>31.26</w:t>
            </w:r>
          </w:p>
        </w:tc>
        <w:tc>
          <w:tcPr>
            <w:tcW w:w="1220" w:type="dxa"/>
            <w:vAlign w:val="bottom"/>
            <w:shd w:val="clear" w:color="auto" w:fill="E6E6E6"/>
          </w:tcPr>
          <w:p>
            <w:pPr>
              <w:jc w:val="right"/>
              <w:ind w:right="146"/>
              <w:spacing w:after="0" w:line="202" w:lineRule="exact"/>
              <w:rPr>
                <w:sz w:val="20"/>
                <w:szCs w:val="20"/>
                <w:color w:val="auto"/>
              </w:rPr>
            </w:pPr>
            <w:r>
              <w:rPr>
                <w:rFonts w:ascii="Arial" w:cs="Arial" w:eastAsia="Arial" w:hAnsi="Arial"/>
                <w:sz w:val="18"/>
                <w:szCs w:val="18"/>
                <w:color w:val="auto"/>
              </w:rPr>
              <w:t>5.3</w:t>
            </w:r>
          </w:p>
        </w:tc>
        <w:tc>
          <w:tcPr>
            <w:tcW w:w="1020" w:type="dxa"/>
            <w:vAlign w:val="bottom"/>
            <w:shd w:val="clear" w:color="auto" w:fill="E6E6E6"/>
          </w:tcPr>
          <w:p>
            <w:pPr>
              <w:jc w:val="right"/>
              <w:ind w:right="42"/>
              <w:spacing w:after="0" w:line="202" w:lineRule="exact"/>
              <w:rPr>
                <w:sz w:val="20"/>
                <w:szCs w:val="20"/>
                <w:color w:val="auto"/>
              </w:rPr>
            </w:pPr>
            <w:r>
              <w:rPr>
                <w:rFonts w:ascii="Arial" w:cs="Arial" w:eastAsia="Arial" w:hAnsi="Arial"/>
                <w:sz w:val="18"/>
                <w:szCs w:val="18"/>
                <w:color w:val="auto"/>
              </w:rPr>
              <w:t>3.2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60" w:type="dxa"/>
            <w:vAlign w:val="bottom"/>
          </w:tcPr>
          <w:p>
            <w:pPr>
              <w:spacing w:after="0" w:line="202" w:lineRule="exact"/>
              <w:rPr>
                <w:sz w:val="20"/>
                <w:szCs w:val="20"/>
                <w:color w:val="auto"/>
              </w:rPr>
            </w:pPr>
            <w:r>
              <w:rPr>
                <w:rFonts w:ascii="Arial" w:cs="Arial" w:eastAsia="Arial" w:hAnsi="Arial"/>
                <w:sz w:val="18"/>
                <w:szCs w:val="18"/>
                <w:b w:val="1"/>
                <w:bCs w:val="1"/>
                <w:color w:val="auto"/>
              </w:rPr>
              <w:t>Vested and expected to vest at May 31, 2010</w:t>
            </w:r>
          </w:p>
        </w:tc>
        <w:tc>
          <w:tcPr>
            <w:tcW w:w="2600" w:type="dxa"/>
            <w:vAlign w:val="bottom"/>
          </w:tcPr>
          <w:p>
            <w:pPr>
              <w:jc w:val="right"/>
              <w:ind w:right="55"/>
              <w:spacing w:after="0" w:line="202" w:lineRule="exact"/>
              <w:rPr>
                <w:sz w:val="20"/>
                <w:szCs w:val="20"/>
                <w:color w:val="auto"/>
              </w:rPr>
            </w:pPr>
            <w:r>
              <w:rPr>
                <w:rFonts w:ascii="Arial" w:cs="Arial" w:eastAsia="Arial" w:hAnsi="Arial"/>
                <w:sz w:val="18"/>
                <w:szCs w:val="18"/>
                <w:color w:val="auto"/>
              </w:rPr>
              <w:t>5,116,917</w:t>
            </w:r>
          </w:p>
        </w:tc>
        <w:tc>
          <w:tcPr>
            <w:tcW w:w="260" w:type="dxa"/>
            <w:vAlign w:val="bottom"/>
          </w:tcPr>
          <w:p>
            <w:pPr>
              <w:spacing w:after="0"/>
              <w:rPr>
                <w:sz w:val="17"/>
                <w:szCs w:val="17"/>
                <w:color w:val="auto"/>
              </w:rPr>
            </w:pPr>
          </w:p>
        </w:tc>
        <w:tc>
          <w:tcPr>
            <w:tcW w:w="940" w:type="dxa"/>
            <w:vAlign w:val="bottom"/>
          </w:tcPr>
          <w:p>
            <w:pPr>
              <w:jc w:val="right"/>
              <w:ind w:right="180"/>
              <w:spacing w:after="0" w:line="202" w:lineRule="exact"/>
              <w:rPr>
                <w:sz w:val="20"/>
                <w:szCs w:val="20"/>
                <w:color w:val="auto"/>
              </w:rPr>
            </w:pPr>
            <w:r>
              <w:rPr>
                <w:rFonts w:ascii="Arial" w:cs="Arial" w:eastAsia="Arial" w:hAnsi="Arial"/>
                <w:sz w:val="18"/>
                <w:szCs w:val="18"/>
                <w:color w:val="auto"/>
              </w:rPr>
              <w:t>29.28</w:t>
            </w:r>
          </w:p>
        </w:tc>
        <w:tc>
          <w:tcPr>
            <w:tcW w:w="1220" w:type="dxa"/>
            <w:vAlign w:val="bottom"/>
          </w:tcPr>
          <w:p>
            <w:pPr>
              <w:jc w:val="right"/>
              <w:ind w:right="146"/>
              <w:spacing w:after="0" w:line="202" w:lineRule="exact"/>
              <w:rPr>
                <w:sz w:val="20"/>
                <w:szCs w:val="20"/>
                <w:color w:val="auto"/>
              </w:rPr>
            </w:pPr>
            <w:r>
              <w:rPr>
                <w:rFonts w:ascii="Arial" w:cs="Arial" w:eastAsia="Arial" w:hAnsi="Arial"/>
                <w:sz w:val="18"/>
                <w:szCs w:val="18"/>
                <w:color w:val="auto"/>
              </w:rPr>
              <w:t>7.8</w:t>
            </w:r>
          </w:p>
        </w:tc>
        <w:tc>
          <w:tcPr>
            <w:tcW w:w="1020" w:type="dxa"/>
            <w:vAlign w:val="bottom"/>
          </w:tcPr>
          <w:p>
            <w:pPr>
              <w:jc w:val="right"/>
              <w:ind w:right="42"/>
              <w:spacing w:after="0" w:line="202" w:lineRule="exact"/>
              <w:rPr>
                <w:sz w:val="20"/>
                <w:szCs w:val="20"/>
                <w:color w:val="auto"/>
              </w:rPr>
            </w:pPr>
            <w:r>
              <w:rPr>
                <w:rFonts w:ascii="Arial" w:cs="Arial" w:eastAsia="Arial" w:hAnsi="Arial"/>
                <w:sz w:val="18"/>
                <w:szCs w:val="18"/>
                <w:color w:val="auto"/>
              </w:rPr>
              <w:t>0.9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60" w:type="dxa"/>
            <w:vAlign w:val="bottom"/>
            <w:shd w:val="clear" w:color="auto" w:fill="E6E6E6"/>
          </w:tcPr>
          <w:p>
            <w:pPr>
              <w:spacing w:after="0" w:line="202" w:lineRule="exact"/>
              <w:rPr>
                <w:sz w:val="20"/>
                <w:szCs w:val="20"/>
                <w:color w:val="auto"/>
              </w:rPr>
            </w:pPr>
            <w:r>
              <w:rPr>
                <w:rFonts w:ascii="Arial" w:cs="Arial" w:eastAsia="Arial" w:hAnsi="Arial"/>
                <w:sz w:val="18"/>
                <w:szCs w:val="18"/>
                <w:b w:val="1"/>
                <w:bCs w:val="1"/>
                <w:color w:val="auto"/>
              </w:rPr>
              <w:t>Exercisable at May 31, 2010</w:t>
            </w:r>
          </w:p>
        </w:tc>
        <w:tc>
          <w:tcPr>
            <w:tcW w:w="2600" w:type="dxa"/>
            <w:vAlign w:val="bottom"/>
            <w:shd w:val="clear" w:color="auto" w:fill="E6E6E6"/>
          </w:tcPr>
          <w:p>
            <w:pPr>
              <w:jc w:val="right"/>
              <w:ind w:right="55"/>
              <w:spacing w:after="0" w:line="202" w:lineRule="exact"/>
              <w:rPr>
                <w:sz w:val="20"/>
                <w:szCs w:val="20"/>
                <w:color w:val="auto"/>
              </w:rPr>
            </w:pPr>
            <w:r>
              <w:rPr>
                <w:rFonts w:ascii="Arial" w:cs="Arial" w:eastAsia="Arial" w:hAnsi="Arial"/>
                <w:sz w:val="18"/>
                <w:szCs w:val="18"/>
                <w:color w:val="auto"/>
              </w:rPr>
              <w:t>4,017,455</w:t>
            </w:r>
          </w:p>
        </w:tc>
        <w:tc>
          <w:tcPr>
            <w:tcW w:w="260" w:type="dxa"/>
            <w:vAlign w:val="bottom"/>
            <w:shd w:val="clear" w:color="auto" w:fill="E6E6E6"/>
          </w:tcPr>
          <w:p>
            <w:pPr>
              <w:spacing w:after="0"/>
              <w:rPr>
                <w:sz w:val="17"/>
                <w:szCs w:val="17"/>
                <w:color w:val="auto"/>
              </w:rPr>
            </w:pPr>
          </w:p>
        </w:tc>
        <w:tc>
          <w:tcPr>
            <w:tcW w:w="940" w:type="dxa"/>
            <w:vAlign w:val="bottom"/>
            <w:shd w:val="clear" w:color="auto" w:fill="E6E6E6"/>
          </w:tcPr>
          <w:p>
            <w:pPr>
              <w:jc w:val="right"/>
              <w:ind w:right="180"/>
              <w:spacing w:after="0" w:line="202" w:lineRule="exact"/>
              <w:rPr>
                <w:sz w:val="20"/>
                <w:szCs w:val="20"/>
                <w:color w:val="auto"/>
              </w:rPr>
            </w:pPr>
            <w:r>
              <w:rPr>
                <w:rFonts w:ascii="Arial" w:cs="Arial" w:eastAsia="Arial" w:hAnsi="Arial"/>
                <w:sz w:val="18"/>
                <w:szCs w:val="18"/>
                <w:color w:val="auto"/>
              </w:rPr>
              <w:t>32.80</w:t>
            </w:r>
          </w:p>
        </w:tc>
        <w:tc>
          <w:tcPr>
            <w:tcW w:w="1220" w:type="dxa"/>
            <w:vAlign w:val="bottom"/>
            <w:shd w:val="clear" w:color="auto" w:fill="E6E6E6"/>
          </w:tcPr>
          <w:p>
            <w:pPr>
              <w:jc w:val="right"/>
              <w:ind w:right="146"/>
              <w:spacing w:after="0" w:line="202" w:lineRule="exact"/>
              <w:rPr>
                <w:sz w:val="20"/>
                <w:szCs w:val="20"/>
                <w:color w:val="auto"/>
              </w:rPr>
            </w:pPr>
            <w:r>
              <w:rPr>
                <w:rFonts w:ascii="Arial" w:cs="Arial" w:eastAsia="Arial" w:hAnsi="Arial"/>
                <w:sz w:val="18"/>
                <w:szCs w:val="18"/>
                <w:color w:val="auto"/>
              </w:rPr>
              <w:t>4.1</w:t>
            </w:r>
          </w:p>
        </w:tc>
        <w:tc>
          <w:tcPr>
            <w:tcW w:w="1020" w:type="dxa"/>
            <w:vAlign w:val="bottom"/>
            <w:shd w:val="clear" w:color="auto" w:fill="E6E6E6"/>
          </w:tcPr>
          <w:p>
            <w:pPr>
              <w:jc w:val="right"/>
              <w:ind w:right="42"/>
              <w:spacing w:after="0" w:line="202" w:lineRule="exact"/>
              <w:rPr>
                <w:sz w:val="20"/>
                <w:szCs w:val="20"/>
                <w:color w:val="auto"/>
              </w:rPr>
            </w:pPr>
            <w:r>
              <w:rPr>
                <w:rFonts w:ascii="Arial" w:cs="Arial" w:eastAsia="Arial" w:hAnsi="Arial"/>
                <w:sz w:val="18"/>
                <w:szCs w:val="18"/>
                <w:color w:val="auto"/>
              </w:rPr>
              <w:t>0.4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360" w:type="dxa"/>
            <w:vAlign w:val="bottom"/>
            <w:tcBorders>
              <w:bottom w:val="single" w:sz="8" w:color="808080"/>
            </w:tcBorders>
          </w:tcPr>
          <w:p>
            <w:pPr>
              <w:spacing w:after="0"/>
              <w:rPr>
                <w:sz w:val="9"/>
                <w:szCs w:val="9"/>
                <w:color w:val="auto"/>
              </w:rPr>
            </w:pPr>
          </w:p>
        </w:tc>
        <w:tc>
          <w:tcPr>
            <w:tcW w:w="260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b w:val="1"/>
          <w:bCs w:val="1"/>
          <w:color w:val="auto"/>
        </w:rPr>
        <w:t xml:space="preserve">Restricted Stock Units </w:t>
      </w:r>
      <w:r>
        <w:rPr>
          <w:rFonts w:ascii="Arial" w:cs="Arial" w:eastAsia="Arial" w:hAnsi="Arial"/>
          <w:sz w:val="16"/>
          <w:szCs w:val="16"/>
          <w:color w:val="auto"/>
        </w:rPr>
        <w:t>– In addition to stock options, the Company has issued restricted stock units to certain officers and key executives under the 2001 Plan</w:t>
      </w:r>
      <w:r>
        <w:rPr>
          <w:rFonts w:ascii="Arial" w:cs="Arial" w:eastAsia="Arial" w:hAnsi="Arial"/>
          <w:sz w:val="16"/>
          <w:szCs w:val="16"/>
          <w:b w:val="1"/>
          <w:bCs w:val="1"/>
          <w:color w:val="auto"/>
        </w:rPr>
        <w:t xml:space="preserve"> </w:t>
      </w:r>
      <w:r>
        <w:rPr>
          <w:rFonts w:ascii="Arial" w:cs="Arial" w:eastAsia="Arial" w:hAnsi="Arial"/>
          <w:sz w:val="16"/>
          <w:szCs w:val="16"/>
          <w:color w:val="auto"/>
        </w:rPr>
        <w:t>(“Stock Units”). During fiscal 2010 and 2009, the Company granted 401,541 and 144,322 Stock Units, respectively, with weighted average grant date prices of $20.11 and $26.62 per share, respectively. The Stock Units automatically convert to shares of Common Stock on a one-for-one basis as the award vests, which is typically over a four-year period beginning thirteen months from the grant date and thereafter annually on the anniversary of the grant date. There were 62,895 shares of Common Stock issued upon conversion of Stock Units during fiscal 2010. The Company measures the value of Stock Units at fair value based on the number of Stock Units granted at the price of the underlying Common Stock on the date of grant. The Company amortizes the fair value of outstanding stock units as stock-based compensation expense over the vesting term on a straight-line basis.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Stock Purchase Plan</w:t>
      </w:r>
    </w:p>
    <w:p>
      <w:pPr>
        <w:spacing w:after="0" w:line="222"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The Company maintains a Management Stock Purchase Plan (“MSPP”), which allows certain members of senior management to defer up to 100% of their annual cash bonus payment in the form of restricted stock units (“RSUs”). The RSUs are purchased by the employee at a 25% discount from the lowest closing price of the Common Stock on NASDAQ on any day during the fiscal quarter in which such bonuses are payable and are converted into shares of Common Stock on a one-for-one basis at the end of the applicable deferral period. During fiscal 2010 and 2009, the Company allocated 17,191 RSUs and 57,543 RSUs, respectively, to participants under the MSPP at a price of $13.90 and $18.77 per RSU, respectively. At May 31, 2010, there were 204,171 shares of Common Stock authorized for issuance under the MSPP. The Company measures the value of RSUs at fair value based on the number of RSUs granted and the price of the underlying Common Stock at the date of grant, giving effect to the 25% discount. The Company amortizes this discount as stock-based compensation expense over the vesting term on a straight-line basis.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Stock Unit and RSU activity for the year ended May 31,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263765" cy="8890"/>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Weighted</w:t>
            </w:r>
          </w:p>
        </w:tc>
      </w:tr>
      <w:tr>
        <w:trPr>
          <w:trHeight w:val="149"/>
        </w:trPr>
        <w:tc>
          <w:tcPr>
            <w:tcW w:w="572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80" w:type="dxa"/>
            <w:vAlign w:val="bottom"/>
            <w:gridSpan w:val="2"/>
          </w:tcPr>
          <w:p>
            <w:pPr>
              <w:jc w:val="right"/>
              <w:ind w:right="140"/>
              <w:spacing w:after="0" w:line="149" w:lineRule="exact"/>
              <w:rPr>
                <w:sz w:val="20"/>
                <w:szCs w:val="20"/>
                <w:color w:val="auto"/>
              </w:rPr>
            </w:pPr>
            <w:r>
              <w:rPr>
                <w:rFonts w:ascii="Arial" w:cs="Arial" w:eastAsia="Arial" w:hAnsi="Arial"/>
                <w:sz w:val="14"/>
                <w:szCs w:val="14"/>
                <w:b w:val="1"/>
                <w:bCs w:val="1"/>
                <w:color w:val="auto"/>
              </w:rPr>
              <w:t>Average</w:t>
            </w:r>
          </w:p>
        </w:tc>
      </w:tr>
      <w:tr>
        <w:trPr>
          <w:trHeight w:val="149"/>
        </w:trPr>
        <w:tc>
          <w:tcPr>
            <w:tcW w:w="5720" w:type="dxa"/>
            <w:vAlign w:val="bottom"/>
          </w:tcPr>
          <w:p>
            <w:pPr>
              <w:spacing w:after="0"/>
              <w:rPr>
                <w:sz w:val="12"/>
                <w:szCs w:val="12"/>
                <w:color w:val="auto"/>
              </w:rPr>
            </w:pPr>
          </w:p>
        </w:tc>
        <w:tc>
          <w:tcPr>
            <w:tcW w:w="4160" w:type="dxa"/>
            <w:vAlign w:val="bottom"/>
          </w:tcPr>
          <w:p>
            <w:pPr>
              <w:jc w:val="right"/>
              <w:ind w:right="98"/>
              <w:spacing w:after="0" w:line="149" w:lineRule="exact"/>
              <w:rPr>
                <w:sz w:val="20"/>
                <w:szCs w:val="20"/>
                <w:color w:val="auto"/>
              </w:rPr>
            </w:pPr>
            <w:r>
              <w:rPr>
                <w:rFonts w:ascii="Arial" w:cs="Arial" w:eastAsia="Arial" w:hAnsi="Arial"/>
                <w:sz w:val="14"/>
                <w:szCs w:val="14"/>
                <w:b w:val="1"/>
                <w:bCs w:val="1"/>
                <w:color w:val="auto"/>
              </w:rPr>
              <w:t>Stock</w:t>
            </w:r>
          </w:p>
        </w:tc>
        <w:tc>
          <w:tcPr>
            <w:tcW w:w="480" w:type="dxa"/>
            <w:vAlign w:val="bottom"/>
          </w:tcPr>
          <w:p>
            <w:pPr>
              <w:spacing w:after="0"/>
              <w:rPr>
                <w:sz w:val="12"/>
                <w:szCs w:val="12"/>
                <w:color w:val="auto"/>
              </w:rPr>
            </w:pPr>
          </w:p>
        </w:tc>
        <w:tc>
          <w:tcPr>
            <w:tcW w:w="1080" w:type="dxa"/>
            <w:vAlign w:val="bottom"/>
            <w:gridSpan w:val="2"/>
          </w:tcPr>
          <w:p>
            <w:pPr>
              <w:jc w:val="right"/>
              <w:ind w:right="140"/>
              <w:spacing w:after="0" w:line="149" w:lineRule="exact"/>
              <w:rPr>
                <w:sz w:val="20"/>
                <w:szCs w:val="20"/>
                <w:color w:val="auto"/>
              </w:rPr>
            </w:pPr>
            <w:r>
              <w:rPr>
                <w:rFonts w:ascii="Arial" w:cs="Arial" w:eastAsia="Arial" w:hAnsi="Arial"/>
                <w:sz w:val="14"/>
                <w:szCs w:val="14"/>
                <w:b w:val="1"/>
                <w:bCs w:val="1"/>
                <w:color w:val="auto"/>
              </w:rPr>
              <w:t>Grant Date</w:t>
            </w:r>
          </w:p>
        </w:tc>
      </w:tr>
      <w:tr>
        <w:trPr>
          <w:trHeight w:val="178"/>
        </w:trPr>
        <w:tc>
          <w:tcPr>
            <w:tcW w:w="5720" w:type="dxa"/>
            <w:vAlign w:val="bottom"/>
          </w:tcPr>
          <w:p>
            <w:pPr>
              <w:spacing w:after="0"/>
              <w:rPr>
                <w:sz w:val="15"/>
                <w:szCs w:val="15"/>
                <w:color w:val="auto"/>
              </w:rPr>
            </w:pPr>
          </w:p>
        </w:tc>
        <w:tc>
          <w:tcPr>
            <w:tcW w:w="4160" w:type="dxa"/>
            <w:vAlign w:val="bottom"/>
          </w:tcPr>
          <w:p>
            <w:pPr>
              <w:jc w:val="right"/>
              <w:ind w:right="98"/>
              <w:spacing w:after="0"/>
              <w:rPr>
                <w:sz w:val="20"/>
                <w:szCs w:val="20"/>
                <w:color w:val="auto"/>
              </w:rPr>
            </w:pPr>
            <w:r>
              <w:rPr>
                <w:rFonts w:ascii="Arial" w:cs="Arial" w:eastAsia="Arial" w:hAnsi="Arial"/>
                <w:sz w:val="14"/>
                <w:szCs w:val="14"/>
                <w:b w:val="1"/>
                <w:bCs w:val="1"/>
                <w:color w:val="auto"/>
              </w:rPr>
              <w:t>Units</w:t>
            </w:r>
          </w:p>
        </w:tc>
        <w:tc>
          <w:tcPr>
            <w:tcW w:w="480" w:type="dxa"/>
            <w:vAlign w:val="bottom"/>
          </w:tcPr>
          <w:p>
            <w:pPr>
              <w:spacing w:after="0"/>
              <w:rPr>
                <w:sz w:val="15"/>
                <w:szCs w:val="15"/>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Fair Value</w:t>
            </w:r>
          </w:p>
        </w:tc>
      </w:tr>
      <w:tr>
        <w:trPr>
          <w:trHeight w:val="95"/>
        </w:trPr>
        <w:tc>
          <w:tcPr>
            <w:tcW w:w="5720" w:type="dxa"/>
            <w:vAlign w:val="bottom"/>
            <w:tcBorders>
              <w:bottom w:val="single" w:sz="8" w:color="auto"/>
            </w:tcBorders>
          </w:tcPr>
          <w:p>
            <w:pPr>
              <w:spacing w:after="0"/>
              <w:rPr>
                <w:sz w:val="8"/>
                <w:szCs w:val="8"/>
                <w:color w:val="auto"/>
              </w:rPr>
            </w:pPr>
          </w:p>
        </w:tc>
        <w:tc>
          <w:tcPr>
            <w:tcW w:w="416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r>
      <w:tr>
        <w:trPr>
          <w:trHeight w:val="102"/>
        </w:trPr>
        <w:tc>
          <w:tcPr>
            <w:tcW w:w="5720" w:type="dxa"/>
            <w:vAlign w:val="bottom"/>
          </w:tcPr>
          <w:p>
            <w:pPr>
              <w:spacing w:after="0"/>
              <w:rPr>
                <w:sz w:val="8"/>
                <w:szCs w:val="8"/>
                <w:color w:val="auto"/>
              </w:rPr>
            </w:pPr>
          </w:p>
        </w:tc>
        <w:tc>
          <w:tcPr>
            <w:tcW w:w="41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203"/>
        </w:trPr>
        <w:tc>
          <w:tcPr>
            <w:tcW w:w="572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Nonvested as of May 31, 2009</w:t>
            </w:r>
          </w:p>
        </w:tc>
        <w:tc>
          <w:tcPr>
            <w:tcW w:w="4160" w:type="dxa"/>
            <w:vAlign w:val="bottom"/>
            <w:shd w:val="clear" w:color="auto" w:fill="E6E6E6"/>
          </w:tcPr>
          <w:p>
            <w:pPr>
              <w:jc w:val="right"/>
              <w:ind w:right="98"/>
              <w:spacing w:after="0" w:line="202" w:lineRule="exact"/>
              <w:rPr>
                <w:sz w:val="20"/>
                <w:szCs w:val="20"/>
                <w:color w:val="auto"/>
              </w:rPr>
            </w:pPr>
            <w:r>
              <w:rPr>
                <w:rFonts w:ascii="Arial" w:cs="Arial" w:eastAsia="Arial" w:hAnsi="Arial"/>
                <w:sz w:val="18"/>
                <w:szCs w:val="18"/>
                <w:color w:val="auto"/>
              </w:rPr>
              <w:t>359,102</w:t>
            </w:r>
          </w:p>
        </w:tc>
        <w:tc>
          <w:tcPr>
            <w:tcW w:w="480" w:type="dxa"/>
            <w:vAlign w:val="bottom"/>
            <w:shd w:val="clear" w:color="auto" w:fill="E6E6E6"/>
          </w:tcPr>
          <w:p>
            <w:pPr>
              <w:jc w:val="right"/>
              <w:ind w:right="152"/>
              <w:spacing w:after="0" w:line="202" w:lineRule="exact"/>
              <w:rPr>
                <w:sz w:val="20"/>
                <w:szCs w:val="20"/>
                <w:color w:val="auto"/>
              </w:rPr>
            </w:pPr>
            <w:r>
              <w:rPr>
                <w:rFonts w:ascii="Arial" w:cs="Arial" w:eastAsia="Arial" w:hAnsi="Arial"/>
                <w:sz w:val="18"/>
                <w:szCs w:val="18"/>
                <w:color w:val="auto"/>
              </w:rPr>
              <w:t>$</w:t>
            </w:r>
          </w:p>
        </w:tc>
        <w:tc>
          <w:tcPr>
            <w:tcW w:w="1060" w:type="dxa"/>
            <w:vAlign w:val="bottom"/>
            <w:shd w:val="clear" w:color="auto" w:fill="E6E6E6"/>
          </w:tcPr>
          <w:p>
            <w:pPr>
              <w:jc w:val="right"/>
              <w:ind w:right="42"/>
              <w:spacing w:after="0" w:line="202" w:lineRule="exact"/>
              <w:rPr>
                <w:sz w:val="20"/>
                <w:szCs w:val="20"/>
                <w:color w:val="auto"/>
              </w:rPr>
            </w:pPr>
            <w:r>
              <w:rPr>
                <w:rFonts w:ascii="Arial" w:cs="Arial" w:eastAsia="Arial" w:hAnsi="Arial"/>
                <w:sz w:val="18"/>
                <w:szCs w:val="18"/>
                <w:color w:val="auto"/>
              </w:rPr>
              <w:t>24.44</w:t>
            </w:r>
          </w:p>
        </w:tc>
        <w:tc>
          <w:tcPr>
            <w:tcW w:w="20" w:type="dxa"/>
            <w:vAlign w:val="bottom"/>
          </w:tcPr>
          <w:p>
            <w:pPr>
              <w:spacing w:after="0"/>
              <w:rPr>
                <w:sz w:val="17"/>
                <w:szCs w:val="17"/>
                <w:color w:val="auto"/>
              </w:rPr>
            </w:pPr>
          </w:p>
        </w:tc>
      </w:tr>
      <w:tr>
        <w:trPr>
          <w:trHeight w:val="203"/>
        </w:trPr>
        <w:tc>
          <w:tcPr>
            <w:tcW w:w="5720" w:type="dxa"/>
            <w:vAlign w:val="bottom"/>
          </w:tcPr>
          <w:p>
            <w:pPr>
              <w:spacing w:after="0" w:line="202" w:lineRule="exact"/>
              <w:rPr>
                <w:sz w:val="20"/>
                <w:szCs w:val="20"/>
                <w:color w:val="auto"/>
              </w:rPr>
            </w:pPr>
            <w:r>
              <w:rPr>
                <w:rFonts w:ascii="Arial" w:cs="Arial" w:eastAsia="Arial" w:hAnsi="Arial"/>
                <w:sz w:val="18"/>
                <w:szCs w:val="18"/>
                <w:color w:val="auto"/>
              </w:rPr>
              <w:t>Granted</w:t>
            </w:r>
          </w:p>
        </w:tc>
        <w:tc>
          <w:tcPr>
            <w:tcW w:w="4160" w:type="dxa"/>
            <w:vAlign w:val="bottom"/>
          </w:tcPr>
          <w:p>
            <w:pPr>
              <w:jc w:val="right"/>
              <w:ind w:right="98"/>
              <w:spacing w:after="0" w:line="202" w:lineRule="exact"/>
              <w:rPr>
                <w:sz w:val="20"/>
                <w:szCs w:val="20"/>
                <w:color w:val="auto"/>
              </w:rPr>
            </w:pPr>
            <w:r>
              <w:rPr>
                <w:rFonts w:ascii="Arial" w:cs="Arial" w:eastAsia="Arial" w:hAnsi="Arial"/>
                <w:sz w:val="18"/>
                <w:szCs w:val="18"/>
                <w:color w:val="auto"/>
              </w:rPr>
              <w:t>401,541</w:t>
            </w:r>
          </w:p>
        </w:tc>
        <w:tc>
          <w:tcPr>
            <w:tcW w:w="480" w:type="dxa"/>
            <w:vAlign w:val="bottom"/>
          </w:tcPr>
          <w:p>
            <w:pPr>
              <w:spacing w:after="0"/>
              <w:rPr>
                <w:sz w:val="17"/>
                <w:szCs w:val="17"/>
                <w:color w:val="auto"/>
              </w:rPr>
            </w:pPr>
          </w:p>
        </w:tc>
        <w:tc>
          <w:tcPr>
            <w:tcW w:w="1060" w:type="dxa"/>
            <w:vAlign w:val="bottom"/>
          </w:tcPr>
          <w:p>
            <w:pPr>
              <w:jc w:val="right"/>
              <w:ind w:right="42"/>
              <w:spacing w:after="0" w:line="202" w:lineRule="exact"/>
              <w:rPr>
                <w:sz w:val="20"/>
                <w:szCs w:val="20"/>
                <w:color w:val="auto"/>
              </w:rPr>
            </w:pPr>
            <w:r>
              <w:rPr>
                <w:rFonts w:ascii="Arial" w:cs="Arial" w:eastAsia="Arial" w:hAnsi="Arial"/>
                <w:sz w:val="18"/>
                <w:szCs w:val="18"/>
                <w:color w:val="auto"/>
              </w:rPr>
              <w:t>20.11</w:t>
            </w:r>
          </w:p>
        </w:tc>
        <w:tc>
          <w:tcPr>
            <w:tcW w:w="20" w:type="dxa"/>
            <w:vAlign w:val="bottom"/>
          </w:tcPr>
          <w:p>
            <w:pPr>
              <w:spacing w:after="0"/>
              <w:rPr>
                <w:sz w:val="17"/>
                <w:szCs w:val="17"/>
                <w:color w:val="auto"/>
              </w:rPr>
            </w:pPr>
          </w:p>
        </w:tc>
      </w:tr>
      <w:tr>
        <w:trPr>
          <w:trHeight w:val="203"/>
        </w:trPr>
        <w:tc>
          <w:tcPr>
            <w:tcW w:w="572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Vested</w:t>
            </w:r>
          </w:p>
        </w:tc>
        <w:tc>
          <w:tcPr>
            <w:tcW w:w="4160" w:type="dxa"/>
            <w:vAlign w:val="bottom"/>
            <w:shd w:val="clear" w:color="auto" w:fill="E6E6E6"/>
          </w:tcPr>
          <w:p>
            <w:pPr>
              <w:jc w:val="right"/>
              <w:ind w:right="58"/>
              <w:spacing w:after="0" w:line="202" w:lineRule="exact"/>
              <w:rPr>
                <w:sz w:val="20"/>
                <w:szCs w:val="20"/>
                <w:color w:val="auto"/>
              </w:rPr>
            </w:pPr>
            <w:r>
              <w:rPr>
                <w:rFonts w:ascii="Arial" w:cs="Arial" w:eastAsia="Arial" w:hAnsi="Arial"/>
                <w:sz w:val="18"/>
                <w:szCs w:val="18"/>
                <w:color w:val="auto"/>
              </w:rPr>
              <w:t>(89,758)</w:t>
            </w:r>
          </w:p>
        </w:tc>
        <w:tc>
          <w:tcPr>
            <w:tcW w:w="480" w:type="dxa"/>
            <w:vAlign w:val="bottom"/>
            <w:shd w:val="clear" w:color="auto" w:fill="E6E6E6"/>
          </w:tcPr>
          <w:p>
            <w:pPr>
              <w:spacing w:after="0"/>
              <w:rPr>
                <w:sz w:val="17"/>
                <w:szCs w:val="17"/>
                <w:color w:val="auto"/>
              </w:rPr>
            </w:pPr>
          </w:p>
        </w:tc>
        <w:tc>
          <w:tcPr>
            <w:tcW w:w="1060" w:type="dxa"/>
            <w:vAlign w:val="bottom"/>
            <w:shd w:val="clear" w:color="auto" w:fill="E6E6E6"/>
          </w:tcPr>
          <w:p>
            <w:pPr>
              <w:jc w:val="right"/>
              <w:ind w:right="42"/>
              <w:spacing w:after="0" w:line="202" w:lineRule="exact"/>
              <w:rPr>
                <w:sz w:val="20"/>
                <w:szCs w:val="20"/>
                <w:color w:val="auto"/>
              </w:rPr>
            </w:pPr>
            <w:r>
              <w:rPr>
                <w:rFonts w:ascii="Arial" w:cs="Arial" w:eastAsia="Arial" w:hAnsi="Arial"/>
                <w:sz w:val="18"/>
                <w:szCs w:val="18"/>
                <w:color w:val="auto"/>
              </w:rPr>
              <w:t>28.92</w:t>
            </w:r>
          </w:p>
        </w:tc>
        <w:tc>
          <w:tcPr>
            <w:tcW w:w="20" w:type="dxa"/>
            <w:vAlign w:val="bottom"/>
          </w:tcPr>
          <w:p>
            <w:pPr>
              <w:spacing w:after="0"/>
              <w:rPr>
                <w:sz w:val="17"/>
                <w:szCs w:val="17"/>
                <w:color w:val="auto"/>
              </w:rPr>
            </w:pPr>
          </w:p>
        </w:tc>
      </w:tr>
      <w:tr>
        <w:trPr>
          <w:trHeight w:val="214"/>
        </w:trPr>
        <w:tc>
          <w:tcPr>
            <w:tcW w:w="5720" w:type="dxa"/>
            <w:vAlign w:val="bottom"/>
          </w:tcPr>
          <w:p>
            <w:pPr>
              <w:spacing w:after="0"/>
              <w:rPr>
                <w:sz w:val="20"/>
                <w:szCs w:val="20"/>
                <w:color w:val="auto"/>
              </w:rPr>
            </w:pPr>
            <w:r>
              <w:rPr>
                <w:rFonts w:ascii="Arial" w:cs="Arial" w:eastAsia="Arial" w:hAnsi="Arial"/>
                <w:sz w:val="18"/>
                <w:szCs w:val="18"/>
                <w:color w:val="auto"/>
              </w:rPr>
              <w:t>Forfeited</w:t>
            </w:r>
          </w:p>
        </w:tc>
        <w:tc>
          <w:tcPr>
            <w:tcW w:w="4160" w:type="dxa"/>
            <w:vAlign w:val="bottom"/>
          </w:tcPr>
          <w:p>
            <w:pPr>
              <w:jc w:val="right"/>
              <w:ind w:right="58"/>
              <w:spacing w:after="0"/>
              <w:rPr>
                <w:sz w:val="20"/>
                <w:szCs w:val="20"/>
                <w:color w:val="auto"/>
              </w:rPr>
            </w:pPr>
            <w:r>
              <w:rPr>
                <w:rFonts w:ascii="Arial" w:cs="Arial" w:eastAsia="Arial" w:hAnsi="Arial"/>
                <w:sz w:val="18"/>
                <w:szCs w:val="18"/>
                <w:color w:val="auto"/>
              </w:rPr>
              <w:t>(7,455)</w:t>
            </w:r>
          </w:p>
        </w:tc>
        <w:tc>
          <w:tcPr>
            <w:tcW w:w="480" w:type="dxa"/>
            <w:vAlign w:val="bottom"/>
          </w:tcPr>
          <w:p>
            <w:pPr>
              <w:spacing w:after="0"/>
              <w:rPr>
                <w:sz w:val="18"/>
                <w:szCs w:val="18"/>
                <w:color w:val="auto"/>
              </w:rPr>
            </w:pPr>
          </w:p>
        </w:tc>
        <w:tc>
          <w:tcPr>
            <w:tcW w:w="1060" w:type="dxa"/>
            <w:vAlign w:val="bottom"/>
          </w:tcPr>
          <w:p>
            <w:pPr>
              <w:jc w:val="right"/>
              <w:ind w:right="42"/>
              <w:spacing w:after="0"/>
              <w:rPr>
                <w:sz w:val="20"/>
                <w:szCs w:val="20"/>
                <w:color w:val="auto"/>
              </w:rPr>
            </w:pPr>
            <w:r>
              <w:rPr>
                <w:rFonts w:ascii="Arial" w:cs="Arial" w:eastAsia="Arial" w:hAnsi="Arial"/>
                <w:sz w:val="18"/>
                <w:szCs w:val="18"/>
                <w:color w:val="auto"/>
              </w:rPr>
              <w:t>6.50</w:t>
            </w:r>
          </w:p>
        </w:tc>
        <w:tc>
          <w:tcPr>
            <w:tcW w:w="20" w:type="dxa"/>
            <w:vAlign w:val="bottom"/>
          </w:tcPr>
          <w:p>
            <w:pPr>
              <w:spacing w:after="0"/>
              <w:rPr>
                <w:sz w:val="18"/>
                <w:szCs w:val="18"/>
                <w:color w:val="auto"/>
              </w:rPr>
            </w:pPr>
          </w:p>
        </w:tc>
      </w:tr>
      <w:tr>
        <w:trPr>
          <w:trHeight w:val="97"/>
        </w:trPr>
        <w:tc>
          <w:tcPr>
            <w:tcW w:w="5720" w:type="dxa"/>
            <w:vAlign w:val="bottom"/>
            <w:tcBorders>
              <w:bottom w:val="single" w:sz="8" w:color="808080"/>
            </w:tcBorders>
          </w:tcPr>
          <w:p>
            <w:pPr>
              <w:spacing w:after="0"/>
              <w:rPr>
                <w:sz w:val="8"/>
                <w:szCs w:val="8"/>
                <w:color w:val="auto"/>
              </w:rPr>
            </w:pPr>
          </w:p>
        </w:tc>
        <w:tc>
          <w:tcPr>
            <w:tcW w:w="416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r>
      <w:tr>
        <w:trPr>
          <w:trHeight w:val="102"/>
        </w:trPr>
        <w:tc>
          <w:tcPr>
            <w:tcW w:w="5720" w:type="dxa"/>
            <w:vAlign w:val="bottom"/>
          </w:tcPr>
          <w:p>
            <w:pPr>
              <w:spacing w:after="0"/>
              <w:rPr>
                <w:sz w:val="8"/>
                <w:szCs w:val="8"/>
                <w:color w:val="auto"/>
              </w:rPr>
            </w:pPr>
          </w:p>
        </w:tc>
        <w:tc>
          <w:tcPr>
            <w:tcW w:w="41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203"/>
        </w:trPr>
        <w:tc>
          <w:tcPr>
            <w:tcW w:w="572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Nonvested as of May 31, 2010</w:t>
            </w:r>
          </w:p>
        </w:tc>
        <w:tc>
          <w:tcPr>
            <w:tcW w:w="4160" w:type="dxa"/>
            <w:vAlign w:val="bottom"/>
            <w:shd w:val="clear" w:color="auto" w:fill="E6E6E6"/>
          </w:tcPr>
          <w:p>
            <w:pPr>
              <w:jc w:val="right"/>
              <w:ind w:right="98"/>
              <w:spacing w:after="0" w:line="202" w:lineRule="exact"/>
              <w:rPr>
                <w:sz w:val="20"/>
                <w:szCs w:val="20"/>
                <w:color w:val="auto"/>
              </w:rPr>
            </w:pPr>
            <w:r>
              <w:rPr>
                <w:rFonts w:ascii="Arial" w:cs="Arial" w:eastAsia="Arial" w:hAnsi="Arial"/>
                <w:sz w:val="18"/>
                <w:szCs w:val="18"/>
                <w:color w:val="auto"/>
              </w:rPr>
              <w:t>663,430</w:t>
            </w:r>
          </w:p>
        </w:tc>
        <w:tc>
          <w:tcPr>
            <w:tcW w:w="480" w:type="dxa"/>
            <w:vAlign w:val="bottom"/>
            <w:shd w:val="clear" w:color="auto" w:fill="E6E6E6"/>
          </w:tcPr>
          <w:p>
            <w:pPr>
              <w:spacing w:after="0"/>
              <w:rPr>
                <w:sz w:val="17"/>
                <w:szCs w:val="17"/>
                <w:color w:val="auto"/>
              </w:rPr>
            </w:pPr>
          </w:p>
        </w:tc>
        <w:tc>
          <w:tcPr>
            <w:tcW w:w="1060" w:type="dxa"/>
            <w:vAlign w:val="bottom"/>
            <w:shd w:val="clear" w:color="auto" w:fill="E6E6E6"/>
          </w:tcPr>
          <w:p>
            <w:pPr>
              <w:spacing w:after="0"/>
              <w:rPr>
                <w:sz w:val="17"/>
                <w:szCs w:val="17"/>
                <w:color w:val="auto"/>
              </w:rPr>
            </w:pPr>
          </w:p>
        </w:tc>
        <w:tc>
          <w:tcPr>
            <w:tcW w:w="20" w:type="dxa"/>
            <w:vAlign w:val="bottom"/>
          </w:tcPr>
          <w:p>
            <w:pPr>
              <w:spacing w:after="0"/>
              <w:rPr>
                <w:sz w:val="17"/>
                <w:szCs w:val="17"/>
                <w:color w:val="auto"/>
              </w:rPr>
            </w:pPr>
          </w:p>
        </w:tc>
      </w:tr>
      <w:tr>
        <w:trPr>
          <w:trHeight w:val="108"/>
        </w:trPr>
        <w:tc>
          <w:tcPr>
            <w:tcW w:w="5720" w:type="dxa"/>
            <w:vAlign w:val="bottom"/>
            <w:tcBorders>
              <w:bottom w:val="single" w:sz="8" w:color="808080"/>
            </w:tcBorders>
          </w:tcPr>
          <w:p>
            <w:pPr>
              <w:spacing w:after="0"/>
              <w:rPr>
                <w:sz w:val="9"/>
                <w:szCs w:val="9"/>
                <w:color w:val="auto"/>
              </w:rPr>
            </w:pPr>
          </w:p>
        </w:tc>
        <w:tc>
          <w:tcPr>
            <w:tcW w:w="416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r>
    </w:tbl>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Stock Purchase Plan</w:t>
      </w:r>
    </w:p>
    <w:p>
      <w:pPr>
        <w:spacing w:after="0" w:line="222"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The Company maintains an Employee Stock Purchase Plan (the “ESPP”), which is offered to eligible United States employees. The ESPP permits participating employees to purchase Common Stock, with after-tax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2663825</wp:posOffset>
            </wp:positionH>
            <wp:positionV relativeFrom="paragraph">
              <wp:posOffset>123190</wp:posOffset>
            </wp:positionV>
            <wp:extent cx="1929765" cy="23177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1929765"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3873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40"/>
          </w:cols>
          <w:pgMar w:left="240" w:top="766" w:right="219" w:bottom="1440" w:gutter="0" w:footer="0" w:header="0"/>
        </w:sectPr>
      </w:pPr>
    </w:p>
    <w:bookmarkStart w:id="70" w:name="page71"/>
    <w:bookmarkEnd w:id="70"/>
    <w:p>
      <w:pPr>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7263765" cy="8890"/>
                    </a:xfrm>
                    <a:prstGeom prst="rect">
                      <a:avLst/>
                    </a:prstGeom>
                    <a:noFill/>
                  </pic:spPr>
                </pic:pic>
              </a:graphicData>
            </a:graphic>
          </wp:anchor>
        </w:drawing>
        <w:t>payroll deductions, on a quarterly basis at a 15% discount from the closing price of the Common Stock on NASDAQ on the last business day of the fiscal quarter. Upon adoption of ASC 718, the Company began recognizing the fair value of the Common Stock issued under the ESPP as stock-based compensation expense in the quarter in which the employees participated in the plan. During fiscal 2010 and 2009, the Company issued 73,021 shares and 111,887 shares of Common Stock under the ESPP at a weighted average price of $20.82 and $12.78 per share, respectively. At May 31, 2010, there were 431,310 shares of Common Stock remaining authorized for issuance under the ESPP. In fiscal 2009, the Board adopted, and the Class A Stockholders approved, an amendment to the ESPP that increased the total number of shares of Common Stock authorized for issuance under the ESPP by 500,000.</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TREASURY STOCK</w:t>
      </w:r>
    </w:p>
    <w:p>
      <w:pPr>
        <w:spacing w:after="0" w:line="231"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On June 1, 2007, the Corporation entered into an agreement with a financial institution to repurchase $200.0 of its outstanding Common Stock under an Accelerated Share Repurchase Agreement (the “ASR”). The entire $200.0 repurchase was executed under a “collared” transaction whereby a price range for the shares was established. Under the ASR, the Corporation initially received 5.1 million shares on June 28, 2007 (the “Initial Execution Date”), representing the minimum number of shares to be received based on a calculation using the “cap” or high-end of the price range collar. On October 29, 2007 (the “Settlement Date”), the Corporation received an additional 0.7 million shares at no additional cost, bringing the total number of shares repurchased under the ASR to 5.8 million shares, which is reflected in the Treasury Stock component of Stockholders’ Equity. The total number of shares received under the ASR was determined based on the adjusted volume weighted average price of the Common Stock, as defined in the ASR, during the four month period from the Initial Execution Date through the Settlement Date, which was $34.64 per share.</w:t>
      </w:r>
    </w:p>
    <w:p>
      <w:pPr>
        <w:spacing w:after="0" w:line="172"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On December 20, 2007, the Corporation announced that its Board of Directors had authorized a program to repurchase up to $20.0 of Common Stock, from time to time as conditions allow, on the open market or through negotiated private transactions. During the five months ended May 31, 2008, the Corporation purchased approximately 0.7 million shares on the open market for approximately $20.0 at an average cost of $30.09 per share. On May 28, 2008, the Company announced that its Board of Directors had authorized a new program to repurchase up to $20.0 of Common Stock as conditions allow, on the open market or through negotiated private transactions. On November 20, 2008 the Board of Directors authorized a further program to repurchase up to an additional $10.0 of its Common Stock and on February 4, 2009, the Board of Directors authorized an additional program to repurchase up to another $5.0 of its Common Stock, which will be funded with available cash, pursuant to which the Company may purchase shares, from time to time as conditions allow, on the open market. On December 16, 2009, the Company announced that its Board of Directors had authorized a further program to repurchase up to $20.0 of its Common Stock, from time to time as conditions allow, on the open market or in negotiated private transactions. The repurchase program may be suspended at any time without prior notice.</w:t>
      </w:r>
    </w:p>
    <w:p>
      <w:pPr>
        <w:spacing w:after="0" w:line="17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During the twelve months ended May 31, 2010, the Company repurchased approximately 0.4 million shares on the open market for approximately $10.8 at an average cost of $26.26 per share. See Part II, Item 5, “Market for the Registrant’s Common Equity, Related Stockholder Matters and Issuer Purchases of Equity Securities.”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EMPLOYEE BENEFIT PLANS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Plans</w:t>
      </w:r>
    </w:p>
    <w:p>
      <w:pPr>
        <w:spacing w:after="0" w:line="222" w:lineRule="exact"/>
        <w:rPr>
          <w:sz w:val="20"/>
          <w:szCs w:val="20"/>
          <w:color w:val="auto"/>
        </w:rPr>
      </w:pPr>
    </w:p>
    <w:p>
      <w:pPr>
        <w:ind w:right="580"/>
        <w:spacing w:after="0" w:line="268" w:lineRule="auto"/>
        <w:rPr>
          <w:sz w:val="20"/>
          <w:szCs w:val="20"/>
          <w:color w:val="auto"/>
        </w:rPr>
      </w:pPr>
      <w:r>
        <w:rPr>
          <w:rFonts w:ascii="Arial" w:cs="Arial" w:eastAsia="Arial" w:hAnsi="Arial"/>
          <w:sz w:val="18"/>
          <w:szCs w:val="18"/>
          <w:color w:val="auto"/>
        </w:rPr>
        <w:t>The Company has a cash balance retirement plan (the “Pension Plan”), which covers the majority of United States employees who meet certain eligibility requirements. The Company funds all of the contributions for the Pension Plan. Benefits generally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2663825</wp:posOffset>
            </wp:positionH>
            <wp:positionV relativeFrom="paragraph">
              <wp:posOffset>123190</wp:posOffset>
            </wp:positionV>
            <wp:extent cx="1929765" cy="23177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1929765"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3873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80"/>
          </w:cols>
          <w:pgMar w:left="240" w:top="833" w:right="279" w:bottom="1440" w:gutter="0" w:footer="0" w:header="0"/>
        </w:sectPr>
      </w:pPr>
    </w:p>
    <w:bookmarkStart w:id="71" w:name="page72"/>
    <w:bookmarkEnd w:id="71"/>
    <w:p>
      <w:pPr>
        <w:ind w:right="620"/>
        <w:spacing w:after="0" w:line="370"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7263765" cy="8890"/>
                    </a:xfrm>
                    <a:prstGeom prst="rect">
                      <a:avLst/>
                    </a:prstGeom>
                    <a:noFill/>
                  </pic:spPr>
                </pic:pic>
              </a:graphicData>
            </a:graphic>
          </wp:anchor>
        </w:drawing>
        <w:t>are based on the Company’s contributions and interest credits allocated to participants’ accounts based on years of benefit service and annual pensionable earnings. It is the Company’s policy to fund the minimum amount required by the Employee Retirement Income Security Act of 1974, as amended.</w:t>
      </w:r>
    </w:p>
    <w:p>
      <w:pPr>
        <w:spacing w:after="0" w:line="116"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Effective June 1, 2009, no further benefits will accrue to employees under the Pension Plan. Accordingly, the Company recognized a curtailment loss of $0.5 associated with this action in fiscal 2009.</w:t>
      </w:r>
    </w:p>
    <w:p>
      <w:pPr>
        <w:spacing w:after="0" w:line="186"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Scholastic Ltd., an indirect subsidiary of Scholastic Corporation located in the United Kingdom, has a defined benefit pension plan (the “UK Pension Plan”) that covers its employees who meet various eligibility requirements. Benefits are based on years of service and on a percentage of compensation near retirement. The UK Pension Plan is funded by contributions from Scholastic Ltd. and its employees.</w:t>
      </w:r>
    </w:p>
    <w:p>
      <w:pPr>
        <w:spacing w:after="0" w:line="19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Grolier Ltd., an indirect subsidiary of Scholastic Corporation located in Canada, provides a defined benefit pension plan (the “Grolier Canada Pension Plan”) that covers its employees who meet certain eligibility requirements. All full-time employees are eligible to participate in the plan after two years of employment. Employees are not required to contribute to the fund.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The Company’s pension plans have a measurement date of May 31, 2010.</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Post-Retirement Benefits</w:t>
      </w:r>
    </w:p>
    <w:p>
      <w:pPr>
        <w:spacing w:after="0" w:line="22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Company provides post-retirement benefits to retired United States-based employees (the “Post-Retirement Benefits”) consisting of certain healthcare and life insurance benefits. Employees may become eligible for these benefits after completing certain minimum age and service requirements. At May 31, 2010, the unrecognized prior service credit remaining was $2.2.</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Effective June 1, 2009, the Company modified the terms of the Post Retirement Benefits, effectively excluding a large percentage of employees from the plan.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Accordingly, the Company recognized a $3.0 curtailment gain associated with this action in fiscal 2009.</w:t>
      </w:r>
    </w:p>
    <w:p>
      <w:pPr>
        <w:spacing w:after="0" w:line="219"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Medicare Prescription Drug, Improvement and Modernization Act (the “Medicare Act”) introduced a prescription drug benefit under Medicare (“Medicare Part D”) as well as a Federal subsidy of 28% to sponsors of retiree health care benefit plans providing a benefit that is at least actuarially equivalent to Medicare Part D. In response to the Medicare Act, Topic 715, Subtopic 60 “Defined Benefit Plans – Other Postretirement” provides additional disclosure and guidance in implementing the federal subsidy provided by the Medicare Act. Based on this guidance, the Company has determined that the Post-Retirement Benefits provided to the retiree population are in aggregate the actuarial equivalent of the benefits under Medicare. As a result, in fiscal 2010, 2009 and 2008, the Company recognized a cumulative reduction of its accumulated post-retirement benefit obligation of $2.8, $9.4 and $10.5, respectively, due to the federal subsidy under the Medicare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2663825</wp:posOffset>
            </wp:positionH>
            <wp:positionV relativeFrom="paragraph">
              <wp:posOffset>133350</wp:posOffset>
            </wp:positionV>
            <wp:extent cx="1929765" cy="23177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1929765"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3873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833" w:right="259" w:bottom="1440" w:gutter="0" w:footer="0" w:header="0"/>
        </w:sectPr>
      </w:pPr>
    </w:p>
    <w:bookmarkStart w:id="72" w:name="page73"/>
    <w:bookmarkEnd w:id="72"/>
    <w:p>
      <w:pPr>
        <w:ind w:right="14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7263765" cy="8890"/>
                    </a:xfrm>
                    <a:prstGeom prst="rect">
                      <a:avLst/>
                    </a:prstGeom>
                    <a:noFill/>
                  </pic:spPr>
                </pic:pic>
              </a:graphicData>
            </a:graphic>
          </wp:anchor>
        </w:drawing>
        <w:t>The following table sets forth the weighted average actuarial assumptions utilized to determine the benefit obligations for the Pension Plan, the UK Pension Plan and the Grolier Canada Pension Plan (collectively the “Pension Plans”), including the Post-Retirement Benefits, at May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160020</wp:posOffset>
            </wp:positionV>
            <wp:extent cx="7267575" cy="21590"/>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60"/>
          </w:cols>
          <w:pgMar w:left="240" w:top="833" w:right="1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80" w:right="520" w:hanging="161"/>
        <w:spacing w:after="0" w:line="276" w:lineRule="auto"/>
        <w:rPr>
          <w:sz w:val="20"/>
          <w:szCs w:val="20"/>
          <w:color w:val="auto"/>
        </w:rPr>
      </w:pPr>
      <w:r>
        <w:rPr>
          <w:rFonts w:ascii="Arial" w:cs="Arial" w:eastAsia="Arial" w:hAnsi="Arial"/>
          <w:sz w:val="18"/>
          <w:szCs w:val="18"/>
          <w:color w:val="auto"/>
        </w:rPr>
        <w:t>Weighted average assumptions used to determine benefit obligations: Discount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-1031240</wp:posOffset>
            </wp:positionV>
            <wp:extent cx="2788920" cy="21590"/>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278892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-722630</wp:posOffset>
            </wp:positionV>
            <wp:extent cx="2788920" cy="21590"/>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2788920" cy="21590"/>
                    </a:xfrm>
                    <a:prstGeom prst="rect">
                      <a:avLst/>
                    </a:prstGeom>
                    <a:noFill/>
                  </pic:spPr>
                </pic:pic>
              </a:graphicData>
            </a:graphic>
          </wp:anchor>
        </w:drawing>
      </w:r>
    </w:p>
    <w:p>
      <w:pPr>
        <w:ind w:right="520" w:firstLine="162"/>
        <w:spacing w:after="0" w:line="317" w:lineRule="auto"/>
        <w:rPr>
          <w:sz w:val="20"/>
          <w:szCs w:val="20"/>
          <w:color w:val="auto"/>
        </w:rPr>
      </w:pPr>
      <w:r>
        <w:rPr>
          <w:rFonts w:ascii="Arial" w:cs="Arial" w:eastAsia="Arial" w:hAnsi="Arial"/>
          <w:sz w:val="16"/>
          <w:szCs w:val="16"/>
          <w:color w:val="auto"/>
        </w:rPr>
        <w:t>Rate of compensation increase Weighted average assumptions used to</w:t>
      </w:r>
    </w:p>
    <w:p>
      <w:pPr>
        <w:ind w:left="180"/>
        <w:spacing w:after="0"/>
        <w:rPr>
          <w:sz w:val="20"/>
          <w:szCs w:val="20"/>
          <w:color w:val="auto"/>
        </w:rPr>
      </w:pPr>
      <w:r>
        <w:rPr>
          <w:rFonts w:ascii="Arial" w:cs="Arial" w:eastAsia="Arial" w:hAnsi="Arial"/>
          <w:sz w:val="18"/>
          <w:szCs w:val="18"/>
          <w:color w:val="auto"/>
        </w:rPr>
        <w:t>determine net periodic benefit cost:</w:t>
      </w:r>
    </w:p>
    <w:p>
      <w:pPr>
        <w:spacing w:after="0" w:line="3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Discount rate</w:t>
      </w:r>
    </w:p>
    <w:p>
      <w:pPr>
        <w:spacing w:after="0" w:line="36" w:lineRule="exact"/>
        <w:rPr>
          <w:sz w:val="20"/>
          <w:szCs w:val="20"/>
          <w:color w:val="auto"/>
        </w:rPr>
      </w:pPr>
    </w:p>
    <w:p>
      <w:pPr>
        <w:ind w:left="180" w:right="220"/>
        <w:spacing w:after="0" w:line="286" w:lineRule="auto"/>
        <w:rPr>
          <w:sz w:val="20"/>
          <w:szCs w:val="20"/>
          <w:color w:val="auto"/>
        </w:rPr>
      </w:pPr>
      <w:r>
        <w:rPr>
          <w:rFonts w:ascii="Arial" w:cs="Arial" w:eastAsia="Arial" w:hAnsi="Arial"/>
          <w:sz w:val="18"/>
          <w:szCs w:val="18"/>
          <w:color w:val="auto"/>
        </w:rPr>
        <w:t>Expected long-term return on plan assets Rate of compensation increase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42545</wp:posOffset>
            </wp:positionV>
            <wp:extent cx="2788920" cy="21590"/>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278892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92" w:lineRule="exact"/>
        <w:rPr>
          <w:sz w:val="20"/>
          <w:szCs w:val="20"/>
          <w:color w:val="auto"/>
        </w:rPr>
      </w:pPr>
    </w:p>
    <w:p>
      <w:pPr>
        <w:spacing w:after="0" w:line="1" w:lineRule="exact"/>
        <w:rPr>
          <w:sz w:val="1"/>
          <w:szCs w:val="1"/>
          <w:color w:val="auto"/>
        </w:rPr>
      </w:pPr>
    </w:p>
    <w:tbl>
      <w:tblPr>
        <w:tblLayout w:type="fixed"/>
        <w:tblInd w:w="60" w:type="dxa"/>
        <w:tblCellMar>
          <w:top w:w="0" w:type="dxa"/>
          <w:left w:w="0" w:type="dxa"/>
          <w:bottom w:w="0" w:type="dxa"/>
          <w:right w:w="0" w:type="dxa"/>
        </w:tblCellMar>
      </w:tblPr>
      <w:tr>
        <w:trPr>
          <w:trHeight w:val="233"/>
        </w:trPr>
        <w:tc>
          <w:tcPr>
            <w:tcW w:w="800" w:type="dxa"/>
            <w:vAlign w:val="bottom"/>
          </w:tcPr>
          <w:p>
            <w:pPr>
              <w:spacing w:after="0"/>
              <w:rPr>
                <w:sz w:val="20"/>
                <w:szCs w:val="20"/>
                <w:color w:val="auto"/>
              </w:rPr>
            </w:pPr>
          </w:p>
        </w:tc>
        <w:tc>
          <w:tcPr>
            <w:tcW w:w="1580" w:type="dxa"/>
            <w:vAlign w:val="bottom"/>
          </w:tcPr>
          <w:p>
            <w:pPr>
              <w:jc w:val="right"/>
              <w:ind w:right="192"/>
              <w:spacing w:after="0"/>
              <w:rPr>
                <w:sz w:val="20"/>
                <w:szCs w:val="20"/>
                <w:color w:val="auto"/>
              </w:rPr>
            </w:pPr>
            <w:r>
              <w:rPr>
                <w:rFonts w:ascii="Arial" w:cs="Arial" w:eastAsia="Arial" w:hAnsi="Arial"/>
                <w:sz w:val="18"/>
                <w:szCs w:val="18"/>
                <w:b w:val="1"/>
                <w:bCs w:val="1"/>
                <w:color w:val="auto"/>
              </w:rPr>
              <w:t>Pension Plans</w:t>
            </w:r>
          </w:p>
        </w:tc>
        <w:tc>
          <w:tcPr>
            <w:tcW w:w="660" w:type="dxa"/>
            <w:vAlign w:val="bottom"/>
          </w:tcPr>
          <w:p>
            <w:pPr>
              <w:spacing w:after="0"/>
              <w:rPr>
                <w:sz w:val="20"/>
                <w:szCs w:val="20"/>
                <w:color w:val="auto"/>
              </w:rPr>
            </w:pPr>
          </w:p>
        </w:tc>
        <w:tc>
          <w:tcPr>
            <w:tcW w:w="3240" w:type="dxa"/>
            <w:vAlign w:val="bottom"/>
            <w:gridSpan w:val="2"/>
          </w:tcPr>
          <w:p>
            <w:pPr>
              <w:jc w:val="right"/>
              <w:spacing w:after="0"/>
              <w:rPr>
                <w:sz w:val="20"/>
                <w:szCs w:val="20"/>
                <w:color w:val="auto"/>
              </w:rPr>
            </w:pPr>
            <w:r>
              <w:rPr>
                <w:rFonts w:ascii="Arial" w:cs="Arial" w:eastAsia="Arial" w:hAnsi="Arial"/>
                <w:sz w:val="18"/>
                <w:szCs w:val="18"/>
                <w:b w:val="1"/>
                <w:bCs w:val="1"/>
                <w:color w:val="auto"/>
              </w:rPr>
              <w:t>Post-Retirement Benefits</w:t>
            </w:r>
          </w:p>
        </w:tc>
        <w:tc>
          <w:tcPr>
            <w:tcW w:w="780" w:type="dxa"/>
            <w:vAlign w:val="bottom"/>
          </w:tcPr>
          <w:p>
            <w:pPr>
              <w:spacing w:after="0"/>
              <w:rPr>
                <w:sz w:val="20"/>
                <w:szCs w:val="20"/>
                <w:color w:val="auto"/>
              </w:rPr>
            </w:pPr>
          </w:p>
        </w:tc>
      </w:tr>
      <w:tr>
        <w:trPr>
          <w:trHeight w:val="107"/>
        </w:trPr>
        <w:tc>
          <w:tcPr>
            <w:tcW w:w="800" w:type="dxa"/>
            <w:vAlign w:val="bottom"/>
            <w:tcBorders>
              <w:bottom w:val="single" w:sz="8" w:color="auto"/>
            </w:tcBorders>
          </w:tcPr>
          <w:p>
            <w:pPr>
              <w:spacing w:after="0"/>
              <w:rPr>
                <w:sz w:val="9"/>
                <w:szCs w:val="9"/>
                <w:color w:val="auto"/>
              </w:rPr>
            </w:pPr>
          </w:p>
        </w:tc>
        <w:tc>
          <w:tcPr>
            <w:tcW w:w="158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820" w:type="dxa"/>
            <w:vAlign w:val="bottom"/>
            <w:tcBorders>
              <w:bottom w:val="single" w:sz="8" w:color="auto"/>
            </w:tcBorders>
          </w:tcPr>
          <w:p>
            <w:pPr>
              <w:spacing w:after="0"/>
              <w:rPr>
                <w:sz w:val="9"/>
                <w:szCs w:val="9"/>
                <w:color w:val="auto"/>
              </w:rPr>
            </w:pPr>
          </w:p>
        </w:tc>
        <w:tc>
          <w:tcPr>
            <w:tcW w:w="142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r>
      <w:tr>
        <w:trPr>
          <w:trHeight w:val="359"/>
        </w:trPr>
        <w:tc>
          <w:tcPr>
            <w:tcW w:w="800" w:type="dxa"/>
            <w:vAlign w:val="bottom"/>
          </w:tcPr>
          <w:p>
            <w:pPr>
              <w:jc w:val="right"/>
              <w:ind w:right="32"/>
              <w:spacing w:after="0"/>
              <w:rPr>
                <w:sz w:val="20"/>
                <w:szCs w:val="20"/>
                <w:color w:val="auto"/>
              </w:rPr>
            </w:pPr>
            <w:r>
              <w:rPr>
                <w:rFonts w:ascii="Arial" w:cs="Arial" w:eastAsia="Arial" w:hAnsi="Arial"/>
                <w:sz w:val="18"/>
                <w:szCs w:val="18"/>
                <w:b w:val="1"/>
                <w:bCs w:val="1"/>
                <w:color w:val="auto"/>
              </w:rPr>
              <w:t>2010</w:t>
            </w:r>
          </w:p>
        </w:tc>
        <w:tc>
          <w:tcPr>
            <w:tcW w:w="1580" w:type="dxa"/>
            <w:vAlign w:val="bottom"/>
          </w:tcPr>
          <w:p>
            <w:pPr>
              <w:jc w:val="right"/>
              <w:ind w:right="432"/>
              <w:spacing w:after="0"/>
              <w:rPr>
                <w:sz w:val="20"/>
                <w:szCs w:val="20"/>
                <w:color w:val="auto"/>
              </w:rPr>
            </w:pPr>
            <w:r>
              <w:rPr>
                <w:rFonts w:ascii="Arial" w:cs="Arial" w:eastAsia="Arial" w:hAnsi="Arial"/>
                <w:sz w:val="18"/>
                <w:szCs w:val="18"/>
                <w:b w:val="1"/>
                <w:bCs w:val="1"/>
                <w:color w:val="auto"/>
              </w:rPr>
              <w:t>2009</w:t>
            </w: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2008</w:t>
            </w:r>
          </w:p>
        </w:tc>
        <w:tc>
          <w:tcPr>
            <w:tcW w:w="1820" w:type="dxa"/>
            <w:vAlign w:val="bottom"/>
          </w:tcPr>
          <w:p>
            <w:pPr>
              <w:jc w:val="right"/>
              <w:ind w:right="412"/>
              <w:spacing w:after="0"/>
              <w:rPr>
                <w:sz w:val="20"/>
                <w:szCs w:val="20"/>
                <w:color w:val="auto"/>
              </w:rPr>
            </w:pPr>
            <w:r>
              <w:rPr>
                <w:rFonts w:ascii="Arial" w:cs="Arial" w:eastAsia="Arial" w:hAnsi="Arial"/>
                <w:sz w:val="18"/>
                <w:szCs w:val="18"/>
                <w:b w:val="1"/>
                <w:bCs w:val="1"/>
                <w:color w:val="auto"/>
              </w:rPr>
              <w:t>2010</w:t>
            </w:r>
          </w:p>
        </w:tc>
        <w:tc>
          <w:tcPr>
            <w:tcW w:w="1420" w:type="dxa"/>
            <w:vAlign w:val="bottom"/>
          </w:tcPr>
          <w:p>
            <w:pPr>
              <w:jc w:val="right"/>
              <w:ind w:right="652"/>
              <w:spacing w:after="0"/>
              <w:rPr>
                <w:sz w:val="20"/>
                <w:szCs w:val="20"/>
                <w:color w:val="auto"/>
              </w:rPr>
            </w:pPr>
            <w:r>
              <w:rPr>
                <w:rFonts w:ascii="Arial" w:cs="Arial" w:eastAsia="Arial" w:hAnsi="Arial"/>
                <w:sz w:val="18"/>
                <w:szCs w:val="18"/>
                <w:b w:val="1"/>
                <w:bCs w:val="1"/>
                <w:color w:val="auto"/>
              </w:rPr>
              <w:t>2009</w:t>
            </w:r>
          </w:p>
        </w:tc>
        <w:tc>
          <w:tcPr>
            <w:tcW w:w="780" w:type="dxa"/>
            <w:vAlign w:val="bottom"/>
          </w:tcPr>
          <w:p>
            <w:pPr>
              <w:jc w:val="right"/>
              <w:ind w:right="252"/>
              <w:spacing w:after="0"/>
              <w:rPr>
                <w:sz w:val="20"/>
                <w:szCs w:val="20"/>
                <w:color w:val="auto"/>
              </w:rPr>
            </w:pPr>
            <w:r>
              <w:rPr>
                <w:rFonts w:ascii="Arial" w:cs="Arial" w:eastAsia="Arial" w:hAnsi="Arial"/>
                <w:sz w:val="18"/>
                <w:szCs w:val="18"/>
                <w:b w:val="1"/>
                <w:bCs w:val="1"/>
                <w:color w:val="auto"/>
              </w:rPr>
              <w:t>2008</w:t>
            </w:r>
          </w:p>
        </w:tc>
      </w:tr>
      <w:tr>
        <w:trPr>
          <w:trHeight w:val="107"/>
        </w:trPr>
        <w:tc>
          <w:tcPr>
            <w:tcW w:w="800" w:type="dxa"/>
            <w:vAlign w:val="bottom"/>
            <w:tcBorders>
              <w:bottom w:val="single" w:sz="8" w:color="auto"/>
            </w:tcBorders>
          </w:tcPr>
          <w:p>
            <w:pPr>
              <w:spacing w:after="0"/>
              <w:rPr>
                <w:sz w:val="9"/>
                <w:szCs w:val="9"/>
                <w:color w:val="auto"/>
              </w:rPr>
            </w:pPr>
          </w:p>
        </w:tc>
        <w:tc>
          <w:tcPr>
            <w:tcW w:w="158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820" w:type="dxa"/>
            <w:vAlign w:val="bottom"/>
            <w:tcBorders>
              <w:bottom w:val="single" w:sz="8" w:color="auto"/>
            </w:tcBorders>
          </w:tcPr>
          <w:p>
            <w:pPr>
              <w:spacing w:after="0"/>
              <w:rPr>
                <w:sz w:val="9"/>
                <w:szCs w:val="9"/>
                <w:color w:val="auto"/>
              </w:rPr>
            </w:pPr>
          </w:p>
        </w:tc>
        <w:tc>
          <w:tcPr>
            <w:tcW w:w="142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-2737485</wp:posOffset>
            </wp:positionH>
            <wp:positionV relativeFrom="paragraph">
              <wp:posOffset>529590</wp:posOffset>
            </wp:positionV>
            <wp:extent cx="7246620" cy="15430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775970</wp:posOffset>
            </wp:positionH>
            <wp:positionV relativeFrom="paragraph">
              <wp:posOffset>-323215</wp:posOffset>
            </wp:positionV>
            <wp:extent cx="12700" cy="8890"/>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1213485</wp:posOffset>
            </wp:positionH>
            <wp:positionV relativeFrom="paragraph">
              <wp:posOffset>-323215</wp:posOffset>
            </wp:positionV>
            <wp:extent cx="12700" cy="8890"/>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1959610</wp:posOffset>
            </wp:positionH>
            <wp:positionV relativeFrom="paragraph">
              <wp:posOffset>-323215</wp:posOffset>
            </wp:positionV>
            <wp:extent cx="12700" cy="8890"/>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2371090</wp:posOffset>
            </wp:positionH>
            <wp:positionV relativeFrom="paragraph">
              <wp:posOffset>-323215</wp:posOffset>
            </wp:positionV>
            <wp:extent cx="12700" cy="8890"/>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3117215</wp:posOffset>
            </wp:positionH>
            <wp:positionV relativeFrom="paragraph">
              <wp:posOffset>-323215</wp:posOffset>
            </wp:positionV>
            <wp:extent cx="12700" cy="8890"/>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3554730</wp:posOffset>
            </wp:positionH>
            <wp:positionV relativeFrom="paragraph">
              <wp:posOffset>-323215</wp:posOffset>
            </wp:positionV>
            <wp:extent cx="12700" cy="8890"/>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4514850</wp:posOffset>
            </wp:positionH>
            <wp:positionV relativeFrom="paragraph">
              <wp:posOffset>-323215</wp:posOffset>
            </wp:positionV>
            <wp:extent cx="12700" cy="8890"/>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4300855</wp:posOffset>
            </wp:positionH>
            <wp:positionV relativeFrom="paragraph">
              <wp:posOffset>-323215</wp:posOffset>
            </wp:positionV>
            <wp:extent cx="12700" cy="8890"/>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775970</wp:posOffset>
            </wp:positionH>
            <wp:positionV relativeFrom="paragraph">
              <wp:posOffset>-14605</wp:posOffset>
            </wp:positionV>
            <wp:extent cx="12700" cy="8890"/>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1213485</wp:posOffset>
            </wp:positionH>
            <wp:positionV relativeFrom="paragraph">
              <wp:posOffset>-14605</wp:posOffset>
            </wp:positionV>
            <wp:extent cx="12700" cy="8890"/>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1959610</wp:posOffset>
            </wp:positionH>
            <wp:positionV relativeFrom="paragraph">
              <wp:posOffset>-14605</wp:posOffset>
            </wp:positionV>
            <wp:extent cx="12700" cy="8890"/>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2371090</wp:posOffset>
            </wp:positionH>
            <wp:positionV relativeFrom="paragraph">
              <wp:posOffset>-14605</wp:posOffset>
            </wp:positionV>
            <wp:extent cx="12700" cy="8890"/>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3117215</wp:posOffset>
            </wp:positionH>
            <wp:positionV relativeFrom="paragraph">
              <wp:posOffset>-14605</wp:posOffset>
            </wp:positionV>
            <wp:extent cx="12700" cy="8890"/>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3554730</wp:posOffset>
            </wp:positionH>
            <wp:positionV relativeFrom="paragraph">
              <wp:posOffset>-14605</wp:posOffset>
            </wp:positionV>
            <wp:extent cx="12700" cy="8890"/>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4514850</wp:posOffset>
            </wp:positionH>
            <wp:positionV relativeFrom="paragraph">
              <wp:posOffset>-14605</wp:posOffset>
            </wp:positionV>
            <wp:extent cx="12700" cy="8890"/>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4300855</wp:posOffset>
            </wp:positionH>
            <wp:positionV relativeFrom="paragraph">
              <wp:posOffset>-14605</wp:posOffset>
            </wp:positionV>
            <wp:extent cx="12700" cy="8890"/>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5.4%</w:t>
            </w:r>
          </w:p>
        </w:tc>
        <w:tc>
          <w:tcPr>
            <w:tcW w:w="1240" w:type="dxa"/>
            <w:vAlign w:val="bottom"/>
          </w:tcPr>
          <w:p>
            <w:pPr>
              <w:jc w:val="right"/>
              <w:ind w:right="292"/>
              <w:spacing w:after="0"/>
              <w:rPr>
                <w:sz w:val="20"/>
                <w:szCs w:val="20"/>
                <w:color w:val="auto"/>
              </w:rPr>
            </w:pPr>
            <w:r>
              <w:rPr>
                <w:rFonts w:ascii="Arial" w:cs="Arial" w:eastAsia="Arial" w:hAnsi="Arial"/>
                <w:sz w:val="18"/>
                <w:szCs w:val="18"/>
                <w:color w:val="auto"/>
              </w:rPr>
              <w:t>6.5%</w:t>
            </w:r>
          </w:p>
        </w:tc>
        <w:tc>
          <w:tcPr>
            <w:tcW w:w="1280" w:type="dxa"/>
            <w:vAlign w:val="bottom"/>
          </w:tcPr>
          <w:p>
            <w:pPr>
              <w:jc w:val="right"/>
              <w:ind w:right="572"/>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252"/>
              <w:spacing w:after="0"/>
              <w:rPr>
                <w:sz w:val="20"/>
                <w:szCs w:val="20"/>
                <w:color w:val="auto"/>
              </w:rPr>
            </w:pPr>
            <w:r>
              <w:rPr>
                <w:rFonts w:ascii="Arial" w:cs="Arial" w:eastAsia="Arial" w:hAnsi="Arial"/>
                <w:sz w:val="18"/>
                <w:szCs w:val="18"/>
                <w:color w:val="auto"/>
              </w:rPr>
              <w:t>5.4%</w:t>
            </w:r>
          </w:p>
        </w:tc>
        <w:tc>
          <w:tcPr>
            <w:tcW w:w="1220" w:type="dxa"/>
            <w:vAlign w:val="bottom"/>
          </w:tcPr>
          <w:p>
            <w:pPr>
              <w:jc w:val="right"/>
              <w:ind w:right="292"/>
              <w:spacing w:after="0"/>
              <w:rPr>
                <w:sz w:val="20"/>
                <w:szCs w:val="20"/>
                <w:color w:val="auto"/>
              </w:rPr>
            </w:pPr>
            <w:r>
              <w:rPr>
                <w:rFonts w:ascii="Arial" w:cs="Arial" w:eastAsia="Arial" w:hAnsi="Arial"/>
                <w:sz w:val="18"/>
                <w:szCs w:val="18"/>
                <w:color w:val="auto"/>
              </w:rPr>
              <w:t>6.7%</w:t>
            </w:r>
          </w:p>
        </w:tc>
        <w:tc>
          <w:tcPr>
            <w:tcW w:w="960" w:type="dxa"/>
            <w:vAlign w:val="bottom"/>
          </w:tcPr>
          <w:p>
            <w:pPr>
              <w:jc w:val="right"/>
              <w:ind w:right="23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43"/>
        </w:trPr>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4.3%</w:t>
            </w:r>
          </w:p>
        </w:tc>
        <w:tc>
          <w:tcPr>
            <w:tcW w:w="1240" w:type="dxa"/>
            <w:vAlign w:val="bottom"/>
          </w:tcPr>
          <w:p>
            <w:pPr>
              <w:jc w:val="right"/>
              <w:ind w:right="292"/>
              <w:spacing w:after="0"/>
              <w:rPr>
                <w:sz w:val="20"/>
                <w:szCs w:val="20"/>
                <w:color w:val="auto"/>
              </w:rPr>
            </w:pPr>
            <w:r>
              <w:rPr>
                <w:rFonts w:ascii="Arial" w:cs="Arial" w:eastAsia="Arial" w:hAnsi="Arial"/>
                <w:sz w:val="18"/>
                <w:szCs w:val="18"/>
                <w:color w:val="auto"/>
              </w:rPr>
              <w:t>3.6%</w:t>
            </w:r>
          </w:p>
        </w:tc>
        <w:tc>
          <w:tcPr>
            <w:tcW w:w="1280" w:type="dxa"/>
            <w:vAlign w:val="bottom"/>
          </w:tcPr>
          <w:p>
            <w:pPr>
              <w:jc w:val="right"/>
              <w:ind w:right="572"/>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412"/>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452"/>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23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r>
      <w:tr>
        <w:trPr>
          <w:trHeight w:val="232"/>
        </w:trPr>
        <w:tc>
          <w:tcPr>
            <w:tcW w:w="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43"/>
        </w:trPr>
        <w:tc>
          <w:tcPr>
            <w:tcW w:w="60" w:type="dxa"/>
            <w:vAlign w:val="bottom"/>
            <w:shd w:val="clear" w:color="auto" w:fill="E6E6E6"/>
          </w:tcPr>
          <w:p>
            <w:pPr>
              <w:spacing w:after="0"/>
              <w:rPr>
                <w:sz w:val="21"/>
                <w:szCs w:val="21"/>
                <w:color w:val="auto"/>
              </w:rPr>
            </w:pPr>
          </w:p>
        </w:tc>
        <w:tc>
          <w:tcPr>
            <w:tcW w:w="1160" w:type="dxa"/>
            <w:vAlign w:val="bottom"/>
            <w:shd w:val="clear" w:color="auto" w:fill="E6E6E6"/>
          </w:tcPr>
          <w:p>
            <w:pPr>
              <w:spacing w:after="0"/>
              <w:rPr>
                <w:sz w:val="21"/>
                <w:szCs w:val="21"/>
                <w:color w:val="auto"/>
              </w:rPr>
            </w:pPr>
          </w:p>
        </w:tc>
        <w:tc>
          <w:tcPr>
            <w:tcW w:w="1240" w:type="dxa"/>
            <w:vAlign w:val="bottom"/>
            <w:shd w:val="clear" w:color="auto" w:fill="E6E6E6"/>
          </w:tcPr>
          <w:p>
            <w:pPr>
              <w:spacing w:after="0"/>
              <w:rPr>
                <w:sz w:val="21"/>
                <w:szCs w:val="21"/>
                <w:color w:val="auto"/>
              </w:rPr>
            </w:pPr>
          </w:p>
        </w:tc>
        <w:tc>
          <w:tcPr>
            <w:tcW w:w="1280" w:type="dxa"/>
            <w:vAlign w:val="bottom"/>
            <w:shd w:val="clear" w:color="auto" w:fill="E6E6E6"/>
          </w:tcPr>
          <w:p>
            <w:pPr>
              <w:spacing w:after="0"/>
              <w:rPr>
                <w:sz w:val="21"/>
                <w:szCs w:val="21"/>
                <w:color w:val="auto"/>
              </w:rPr>
            </w:pPr>
          </w:p>
        </w:tc>
        <w:tc>
          <w:tcPr>
            <w:tcW w:w="1180" w:type="dxa"/>
            <w:vAlign w:val="bottom"/>
            <w:shd w:val="clear" w:color="auto" w:fill="E6E6E6"/>
          </w:tcPr>
          <w:p>
            <w:pPr>
              <w:spacing w:after="0"/>
              <w:rPr>
                <w:sz w:val="21"/>
                <w:szCs w:val="21"/>
                <w:color w:val="auto"/>
              </w:rPr>
            </w:pPr>
          </w:p>
        </w:tc>
        <w:tc>
          <w:tcPr>
            <w:tcW w:w="1220" w:type="dxa"/>
            <w:vAlign w:val="bottom"/>
            <w:shd w:val="clear" w:color="auto" w:fill="E6E6E6"/>
          </w:tcPr>
          <w:p>
            <w:pPr>
              <w:spacing w:after="0"/>
              <w:rPr>
                <w:sz w:val="21"/>
                <w:szCs w:val="21"/>
                <w:color w:val="auto"/>
              </w:rPr>
            </w:pPr>
          </w:p>
        </w:tc>
        <w:tc>
          <w:tcPr>
            <w:tcW w:w="960" w:type="dxa"/>
            <w:vAlign w:val="bottom"/>
            <w:shd w:val="clear" w:color="auto" w:fill="E6E6E6"/>
          </w:tcPr>
          <w:p>
            <w:pPr>
              <w:spacing w:after="0"/>
              <w:rPr>
                <w:sz w:val="21"/>
                <w:szCs w:val="21"/>
                <w:color w:val="auto"/>
              </w:rPr>
            </w:pPr>
          </w:p>
        </w:tc>
        <w:tc>
          <w:tcPr>
            <w:tcW w:w="20" w:type="dxa"/>
            <w:vAlign w:val="bottom"/>
          </w:tcPr>
          <w:p>
            <w:pPr>
              <w:spacing w:after="0"/>
              <w:rPr>
                <w:sz w:val="21"/>
                <w:szCs w:val="21"/>
                <w:color w:val="auto"/>
              </w:rPr>
            </w:pPr>
          </w:p>
        </w:tc>
      </w:tr>
      <w:tr>
        <w:trPr>
          <w:trHeight w:val="255"/>
        </w:trPr>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6.7%</w:t>
            </w:r>
          </w:p>
        </w:tc>
        <w:tc>
          <w:tcPr>
            <w:tcW w:w="1240" w:type="dxa"/>
            <w:vAlign w:val="bottom"/>
          </w:tcPr>
          <w:p>
            <w:pPr>
              <w:jc w:val="right"/>
              <w:ind w:right="292"/>
              <w:spacing w:after="0"/>
              <w:rPr>
                <w:sz w:val="20"/>
                <w:szCs w:val="20"/>
                <w:color w:val="auto"/>
              </w:rPr>
            </w:pPr>
            <w:r>
              <w:rPr>
                <w:rFonts w:ascii="Arial" w:cs="Arial" w:eastAsia="Arial" w:hAnsi="Arial"/>
                <w:sz w:val="18"/>
                <w:szCs w:val="18"/>
                <w:color w:val="auto"/>
              </w:rPr>
              <w:t>6.5%</w:t>
            </w:r>
          </w:p>
        </w:tc>
        <w:tc>
          <w:tcPr>
            <w:tcW w:w="1280" w:type="dxa"/>
            <w:vAlign w:val="bottom"/>
          </w:tcPr>
          <w:p>
            <w:pPr>
              <w:jc w:val="right"/>
              <w:ind w:right="412"/>
              <w:spacing w:after="0"/>
              <w:rPr>
                <w:sz w:val="20"/>
                <w:szCs w:val="20"/>
                <w:color w:val="auto"/>
              </w:rPr>
            </w:pPr>
            <w:r>
              <w:rPr>
                <w:rFonts w:ascii="Arial" w:cs="Arial" w:eastAsia="Arial" w:hAnsi="Arial"/>
                <w:sz w:val="18"/>
                <w:szCs w:val="18"/>
                <w:color w:val="auto"/>
              </w:rPr>
              <w:t>5.8%</w:t>
            </w:r>
          </w:p>
        </w:tc>
        <w:tc>
          <w:tcPr>
            <w:tcW w:w="1180" w:type="dxa"/>
            <w:vAlign w:val="bottom"/>
          </w:tcPr>
          <w:p>
            <w:pPr>
              <w:jc w:val="right"/>
              <w:ind w:right="252"/>
              <w:spacing w:after="0"/>
              <w:rPr>
                <w:sz w:val="20"/>
                <w:szCs w:val="20"/>
                <w:color w:val="auto"/>
              </w:rPr>
            </w:pPr>
            <w:r>
              <w:rPr>
                <w:rFonts w:ascii="Arial" w:cs="Arial" w:eastAsia="Arial" w:hAnsi="Arial"/>
                <w:sz w:val="18"/>
                <w:szCs w:val="18"/>
                <w:color w:val="auto"/>
              </w:rPr>
              <w:t>6.7%</w:t>
            </w:r>
          </w:p>
        </w:tc>
        <w:tc>
          <w:tcPr>
            <w:tcW w:w="1220" w:type="dxa"/>
            <w:vAlign w:val="bottom"/>
          </w:tcPr>
          <w:p>
            <w:pPr>
              <w:jc w:val="right"/>
              <w:ind w:right="292"/>
              <w:spacing w:after="0"/>
              <w:rPr>
                <w:sz w:val="20"/>
                <w:szCs w:val="20"/>
                <w:color w:val="auto"/>
              </w:rPr>
            </w:pPr>
            <w:r>
              <w:rPr>
                <w:rFonts w:ascii="Arial" w:cs="Arial" w:eastAsia="Arial" w:hAnsi="Arial"/>
                <w:sz w:val="18"/>
                <w:szCs w:val="18"/>
                <w:color w:val="auto"/>
              </w:rPr>
              <w:t>6.6%</w:t>
            </w:r>
          </w:p>
        </w:tc>
        <w:tc>
          <w:tcPr>
            <w:tcW w:w="960" w:type="dxa"/>
            <w:vAlign w:val="bottom"/>
          </w:tcPr>
          <w:p>
            <w:pPr>
              <w:jc w:val="right"/>
              <w:ind w:right="72"/>
              <w:spacing w:after="0"/>
              <w:rPr>
                <w:sz w:val="20"/>
                <w:szCs w:val="20"/>
                <w:color w:val="auto"/>
              </w:rPr>
            </w:pPr>
            <w:r>
              <w:rPr>
                <w:rFonts w:ascii="Arial" w:cs="Arial" w:eastAsia="Arial" w:hAnsi="Arial"/>
                <w:sz w:val="18"/>
                <w:szCs w:val="18"/>
                <w:color w:val="auto"/>
              </w:rPr>
              <w:t>6.0%</w:t>
            </w:r>
          </w:p>
        </w:tc>
        <w:tc>
          <w:tcPr>
            <w:tcW w:w="20" w:type="dxa"/>
            <w:vAlign w:val="bottom"/>
          </w:tcPr>
          <w:p>
            <w:pPr>
              <w:spacing w:after="0"/>
              <w:rPr>
                <w:sz w:val="22"/>
                <w:szCs w:val="22"/>
                <w:color w:val="auto"/>
              </w:rPr>
            </w:pPr>
          </w:p>
        </w:tc>
      </w:tr>
      <w:tr>
        <w:trPr>
          <w:trHeight w:val="243"/>
        </w:trPr>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7.7%</w:t>
            </w:r>
          </w:p>
        </w:tc>
        <w:tc>
          <w:tcPr>
            <w:tcW w:w="1240" w:type="dxa"/>
            <w:vAlign w:val="bottom"/>
          </w:tcPr>
          <w:p>
            <w:pPr>
              <w:jc w:val="right"/>
              <w:ind w:right="292"/>
              <w:spacing w:after="0"/>
              <w:rPr>
                <w:sz w:val="20"/>
                <w:szCs w:val="20"/>
                <w:color w:val="auto"/>
              </w:rPr>
            </w:pPr>
            <w:r>
              <w:rPr>
                <w:rFonts w:ascii="Arial" w:cs="Arial" w:eastAsia="Arial" w:hAnsi="Arial"/>
                <w:sz w:val="18"/>
                <w:szCs w:val="18"/>
                <w:color w:val="auto"/>
              </w:rPr>
              <w:t>8.5%</w:t>
            </w:r>
          </w:p>
        </w:tc>
        <w:tc>
          <w:tcPr>
            <w:tcW w:w="1280" w:type="dxa"/>
            <w:vAlign w:val="bottom"/>
          </w:tcPr>
          <w:p>
            <w:pPr>
              <w:jc w:val="right"/>
              <w:ind w:right="412"/>
              <w:spacing w:after="0"/>
              <w:rPr>
                <w:sz w:val="20"/>
                <w:szCs w:val="20"/>
                <w:color w:val="auto"/>
              </w:rPr>
            </w:pPr>
            <w:r>
              <w:rPr>
                <w:rFonts w:ascii="Arial" w:cs="Arial" w:eastAsia="Arial" w:hAnsi="Arial"/>
                <w:sz w:val="18"/>
                <w:szCs w:val="18"/>
                <w:color w:val="auto"/>
              </w:rPr>
              <w:t>8.5%</w:t>
            </w:r>
          </w:p>
        </w:tc>
        <w:tc>
          <w:tcPr>
            <w:tcW w:w="1180" w:type="dxa"/>
            <w:vAlign w:val="bottom"/>
          </w:tcPr>
          <w:p>
            <w:pPr>
              <w:jc w:val="right"/>
              <w:ind w:right="412"/>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452"/>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23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r>
      <w:tr>
        <w:trPr>
          <w:trHeight w:val="243"/>
        </w:trPr>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3.6%</w:t>
            </w:r>
          </w:p>
        </w:tc>
        <w:tc>
          <w:tcPr>
            <w:tcW w:w="1240" w:type="dxa"/>
            <w:vAlign w:val="bottom"/>
          </w:tcPr>
          <w:p>
            <w:pPr>
              <w:jc w:val="right"/>
              <w:ind w:right="292"/>
              <w:spacing w:after="0"/>
              <w:rPr>
                <w:sz w:val="20"/>
                <w:szCs w:val="20"/>
                <w:color w:val="auto"/>
              </w:rPr>
            </w:pPr>
            <w:r>
              <w:rPr>
                <w:rFonts w:ascii="Arial" w:cs="Arial" w:eastAsia="Arial" w:hAnsi="Arial"/>
                <w:sz w:val="18"/>
                <w:szCs w:val="18"/>
                <w:color w:val="auto"/>
              </w:rPr>
              <w:t>3.6%</w:t>
            </w:r>
          </w:p>
        </w:tc>
        <w:tc>
          <w:tcPr>
            <w:tcW w:w="1280" w:type="dxa"/>
            <w:vAlign w:val="bottom"/>
          </w:tcPr>
          <w:p>
            <w:pPr>
              <w:jc w:val="right"/>
              <w:ind w:right="412"/>
              <w:spacing w:after="0"/>
              <w:rPr>
                <w:sz w:val="20"/>
                <w:szCs w:val="20"/>
                <w:color w:val="auto"/>
              </w:rPr>
            </w:pPr>
            <w:r>
              <w:rPr>
                <w:rFonts w:ascii="Arial" w:cs="Arial" w:eastAsia="Arial" w:hAnsi="Arial"/>
                <w:sz w:val="18"/>
                <w:szCs w:val="18"/>
                <w:color w:val="auto"/>
              </w:rPr>
              <w:t>3.6%</w:t>
            </w:r>
          </w:p>
        </w:tc>
        <w:tc>
          <w:tcPr>
            <w:tcW w:w="1180" w:type="dxa"/>
            <w:vAlign w:val="bottom"/>
          </w:tcPr>
          <w:p>
            <w:pPr>
              <w:jc w:val="right"/>
              <w:ind w:right="412"/>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452"/>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23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r>
      <w:tr>
        <w:trPr>
          <w:trHeight w:val="107"/>
        </w:trPr>
        <w:tc>
          <w:tcPr>
            <w:tcW w:w="60" w:type="dxa"/>
            <w:vAlign w:val="bottom"/>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1240" w:type="dxa"/>
            <w:vAlign w:val="bottom"/>
            <w:tcBorders>
              <w:bottom w:val="single" w:sz="8" w:color="auto"/>
            </w:tcBorders>
          </w:tcPr>
          <w:p>
            <w:pPr>
              <w:spacing w:after="0"/>
              <w:rPr>
                <w:sz w:val="9"/>
                <w:szCs w:val="9"/>
                <w:color w:val="auto"/>
              </w:rPr>
            </w:pPr>
          </w:p>
        </w:tc>
        <w:tc>
          <w:tcPr>
            <w:tcW w:w="128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122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-2737485</wp:posOffset>
            </wp:positionH>
            <wp:positionV relativeFrom="paragraph">
              <wp:posOffset>-859155</wp:posOffset>
            </wp:positionV>
            <wp:extent cx="7246620" cy="308610"/>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7246620" cy="308610"/>
                    </a:xfrm>
                    <a:prstGeom prst="rect">
                      <a:avLst/>
                    </a:prstGeom>
                    <a:noFill/>
                  </pic:spPr>
                </pic:pic>
              </a:graphicData>
            </a:graphic>
          </wp:anchor>
        </w:drawing>
        <w:drawing>
          <wp:anchor simplePos="0" relativeHeight="251657728" behindDoc="1" locked="0" layoutInCell="0" allowOverlap="1">
            <wp:simplePos x="0" y="0"/>
            <wp:positionH relativeFrom="column">
              <wp:posOffset>-2737485</wp:posOffset>
            </wp:positionH>
            <wp:positionV relativeFrom="paragraph">
              <wp:posOffset>-395605</wp:posOffset>
            </wp:positionV>
            <wp:extent cx="7246620" cy="154305"/>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775970</wp:posOffset>
            </wp:positionH>
            <wp:positionV relativeFrom="paragraph">
              <wp:posOffset>-14605</wp:posOffset>
            </wp:positionV>
            <wp:extent cx="12700" cy="8890"/>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1213485</wp:posOffset>
            </wp:positionH>
            <wp:positionV relativeFrom="paragraph">
              <wp:posOffset>-14605</wp:posOffset>
            </wp:positionV>
            <wp:extent cx="12700" cy="8890"/>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1959610</wp:posOffset>
            </wp:positionH>
            <wp:positionV relativeFrom="paragraph">
              <wp:posOffset>-14605</wp:posOffset>
            </wp:positionV>
            <wp:extent cx="12700" cy="8890"/>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2371090</wp:posOffset>
            </wp:positionH>
            <wp:positionV relativeFrom="paragraph">
              <wp:posOffset>-14605</wp:posOffset>
            </wp:positionV>
            <wp:extent cx="12700" cy="8890"/>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3117215</wp:posOffset>
            </wp:positionH>
            <wp:positionV relativeFrom="paragraph">
              <wp:posOffset>-14605</wp:posOffset>
            </wp:positionV>
            <wp:extent cx="12700" cy="8890"/>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3554730</wp:posOffset>
            </wp:positionH>
            <wp:positionV relativeFrom="paragraph">
              <wp:posOffset>-14605</wp:posOffset>
            </wp:positionV>
            <wp:extent cx="12700" cy="8890"/>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4514850</wp:posOffset>
            </wp:positionH>
            <wp:positionV relativeFrom="paragraph">
              <wp:posOffset>-14605</wp:posOffset>
            </wp:positionV>
            <wp:extent cx="12700" cy="8890"/>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4300855</wp:posOffset>
            </wp:positionH>
            <wp:positionV relativeFrom="paragraph">
              <wp:posOffset>-14605</wp:posOffset>
            </wp:positionV>
            <wp:extent cx="12700" cy="8890"/>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600" w:space="720"/>
            <w:col w:w="7140"/>
          </w:cols>
          <w:pgMar w:left="240" w:top="833" w:right="199" w:bottom="1440" w:gutter="0" w:footer="0" w:header="0"/>
          <w:type w:val="continuous"/>
        </w:sectPr>
      </w:pPr>
    </w:p>
    <w:p>
      <w:pPr>
        <w:spacing w:after="0" w:line="113"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To develop the expected long-term rate of return on assets assumption for the Pension Plans, the Company, considers historical returns and future expectations. Over the 20 year period ended May 31, 2010, the returns on the portfolio, assuming it was invested at the current target asset allocation in the prior periods, would have been a compounded annual average of 8.0%. Considering this information and the potential for lower future returns due to a generally lower interest rate environment, the Company selected an assumed weighted average long-term rate of return of 7.7% for all of the Pension Plans. The following table sets forth the change in benefit obligation for the Pension Plans and Post-Retirement Benefits at May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190500</wp:posOffset>
            </wp:positionV>
            <wp:extent cx="7263765" cy="8890"/>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tcPr>
          <w:p>
            <w:pPr>
              <w:spacing w:after="0"/>
              <w:rPr>
                <w:sz w:val="14"/>
                <w:szCs w:val="14"/>
                <w:color w:val="auto"/>
              </w:rPr>
            </w:pPr>
          </w:p>
        </w:tc>
        <w:tc>
          <w:tcPr>
            <w:tcW w:w="445" w:type="dxa"/>
            <w:vAlign w:val="bottom"/>
          </w:tcPr>
          <w:p>
            <w:pPr>
              <w:spacing w:after="0"/>
              <w:rPr>
                <w:sz w:val="14"/>
                <w:szCs w:val="14"/>
                <w:color w:val="auto"/>
              </w:rPr>
            </w:pPr>
          </w:p>
        </w:tc>
        <w:tc>
          <w:tcPr>
            <w:tcW w:w="1095"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520" w:type="dxa"/>
            <w:vAlign w:val="bottom"/>
            <w:gridSpan w:val="2"/>
          </w:tcPr>
          <w:p>
            <w:pPr>
              <w:jc w:val="right"/>
              <w:ind w:right="92"/>
              <w:spacing w:after="0"/>
              <w:rPr>
                <w:sz w:val="20"/>
                <w:szCs w:val="20"/>
                <w:color w:val="auto"/>
              </w:rPr>
            </w:pPr>
            <w:r>
              <w:rPr>
                <w:rFonts w:ascii="Arial" w:cs="Arial" w:eastAsia="Arial" w:hAnsi="Arial"/>
                <w:sz w:val="14"/>
                <w:szCs w:val="14"/>
                <w:b w:val="1"/>
                <w:bCs w:val="1"/>
                <w:color w:val="auto"/>
              </w:rPr>
              <w:t>Post-Retirement</w:t>
            </w: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8"/>
        </w:trPr>
        <w:tc>
          <w:tcPr>
            <w:tcW w:w="5820" w:type="dxa"/>
            <w:vAlign w:val="bottom"/>
          </w:tcPr>
          <w:p>
            <w:pPr>
              <w:spacing w:after="0"/>
              <w:rPr>
                <w:sz w:val="15"/>
                <w:szCs w:val="15"/>
                <w:color w:val="auto"/>
              </w:rPr>
            </w:pPr>
          </w:p>
        </w:tc>
        <w:tc>
          <w:tcPr>
            <w:tcW w:w="445" w:type="dxa"/>
            <w:vAlign w:val="bottom"/>
          </w:tcPr>
          <w:p>
            <w:pPr>
              <w:spacing w:after="0"/>
              <w:rPr>
                <w:sz w:val="15"/>
                <w:szCs w:val="15"/>
                <w:color w:val="auto"/>
              </w:rPr>
            </w:pPr>
          </w:p>
        </w:tc>
        <w:tc>
          <w:tcPr>
            <w:tcW w:w="1675" w:type="dxa"/>
            <w:vAlign w:val="bottom"/>
            <w:gridSpan w:val="2"/>
          </w:tcPr>
          <w:p>
            <w:pPr>
              <w:jc w:val="right"/>
              <w:ind w:right="52"/>
              <w:spacing w:after="0"/>
              <w:rPr>
                <w:sz w:val="20"/>
                <w:szCs w:val="20"/>
                <w:color w:val="auto"/>
              </w:rPr>
            </w:pPr>
            <w:r>
              <w:rPr>
                <w:rFonts w:ascii="Arial" w:cs="Arial" w:eastAsia="Arial" w:hAnsi="Arial"/>
                <w:sz w:val="14"/>
                <w:szCs w:val="14"/>
                <w:b w:val="1"/>
                <w:bCs w:val="1"/>
                <w:color w:val="auto"/>
              </w:rPr>
              <w:t>Pension Plans</w:t>
            </w:r>
          </w:p>
        </w:tc>
        <w:tc>
          <w:tcPr>
            <w:tcW w:w="7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520" w:type="dxa"/>
            <w:vAlign w:val="bottom"/>
            <w:gridSpan w:val="2"/>
          </w:tcPr>
          <w:p>
            <w:pPr>
              <w:jc w:val="right"/>
              <w:ind w:right="352"/>
              <w:spacing w:after="0"/>
              <w:rPr>
                <w:sz w:val="20"/>
                <w:szCs w:val="20"/>
                <w:color w:val="auto"/>
              </w:rPr>
            </w:pPr>
            <w:r>
              <w:rPr>
                <w:rFonts w:ascii="Arial" w:cs="Arial" w:eastAsia="Arial" w:hAnsi="Arial"/>
                <w:sz w:val="14"/>
                <w:szCs w:val="14"/>
                <w:b w:val="1"/>
                <w:bCs w:val="1"/>
                <w:color w:val="auto"/>
              </w:rPr>
              <w:t>Benefits</w:t>
            </w: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95"/>
        </w:trPr>
        <w:tc>
          <w:tcPr>
            <w:tcW w:w="5820" w:type="dxa"/>
            <w:vAlign w:val="bottom"/>
            <w:tcBorders>
              <w:bottom w:val="single" w:sz="8" w:color="auto"/>
            </w:tcBorders>
          </w:tcPr>
          <w:p>
            <w:pPr>
              <w:spacing w:after="0"/>
              <w:rPr>
                <w:sz w:val="8"/>
                <w:szCs w:val="8"/>
                <w:color w:val="auto"/>
              </w:rPr>
            </w:pPr>
          </w:p>
        </w:tc>
        <w:tc>
          <w:tcPr>
            <w:tcW w:w="445" w:type="dxa"/>
            <w:vAlign w:val="bottom"/>
            <w:tcBorders>
              <w:bottom w:val="single" w:sz="8" w:color="auto"/>
            </w:tcBorders>
          </w:tcPr>
          <w:p>
            <w:pPr>
              <w:spacing w:after="0"/>
              <w:rPr>
                <w:sz w:val="8"/>
                <w:szCs w:val="8"/>
                <w:color w:val="auto"/>
              </w:rPr>
            </w:pPr>
          </w:p>
        </w:tc>
        <w:tc>
          <w:tcPr>
            <w:tcW w:w="1095"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r>
      <w:tr>
        <w:trPr>
          <w:trHeight w:val="263"/>
        </w:trPr>
        <w:tc>
          <w:tcPr>
            <w:tcW w:w="5820" w:type="dxa"/>
            <w:vAlign w:val="bottom"/>
          </w:tcPr>
          <w:p>
            <w:pPr>
              <w:spacing w:after="0"/>
              <w:rPr>
                <w:sz w:val="22"/>
                <w:szCs w:val="22"/>
                <w:color w:val="auto"/>
              </w:rPr>
            </w:pPr>
          </w:p>
        </w:tc>
        <w:tc>
          <w:tcPr>
            <w:tcW w:w="445" w:type="dxa"/>
            <w:vAlign w:val="bottom"/>
          </w:tcPr>
          <w:p>
            <w:pPr>
              <w:spacing w:after="0"/>
              <w:rPr>
                <w:sz w:val="22"/>
                <w:szCs w:val="22"/>
                <w:color w:val="auto"/>
              </w:rPr>
            </w:pPr>
          </w:p>
        </w:tc>
        <w:tc>
          <w:tcPr>
            <w:tcW w:w="1095" w:type="dxa"/>
            <w:vAlign w:val="bottom"/>
          </w:tcPr>
          <w:p>
            <w:pPr>
              <w:jc w:val="right"/>
              <w:ind w:right="115"/>
              <w:spacing w:after="0"/>
              <w:rPr>
                <w:sz w:val="20"/>
                <w:szCs w:val="20"/>
                <w:color w:val="auto"/>
              </w:rPr>
            </w:pPr>
            <w:r>
              <w:rPr>
                <w:rFonts w:ascii="Arial" w:cs="Arial" w:eastAsia="Arial" w:hAnsi="Arial"/>
                <w:sz w:val="14"/>
                <w:szCs w:val="14"/>
                <w:b w:val="1"/>
                <w:bCs w:val="1"/>
                <w:color w:val="auto"/>
              </w:rPr>
              <w:t>2010</w:t>
            </w:r>
          </w:p>
        </w:tc>
        <w:tc>
          <w:tcPr>
            <w:tcW w:w="580" w:type="dxa"/>
            <w:vAlign w:val="bottom"/>
          </w:tcPr>
          <w:p>
            <w:pPr>
              <w:spacing w:after="0"/>
              <w:rPr>
                <w:sz w:val="22"/>
                <w:szCs w:val="22"/>
                <w:color w:val="auto"/>
              </w:rPr>
            </w:pPr>
          </w:p>
        </w:tc>
        <w:tc>
          <w:tcPr>
            <w:tcW w:w="780" w:type="dxa"/>
            <w:vAlign w:val="bottom"/>
          </w:tcPr>
          <w:p>
            <w:pPr>
              <w:jc w:val="right"/>
              <w:ind w:right="114"/>
              <w:spacing w:after="0"/>
              <w:rPr>
                <w:sz w:val="20"/>
                <w:szCs w:val="20"/>
                <w:color w:val="auto"/>
              </w:rPr>
            </w:pPr>
            <w:r>
              <w:rPr>
                <w:rFonts w:ascii="Arial" w:cs="Arial" w:eastAsia="Arial" w:hAnsi="Arial"/>
                <w:sz w:val="14"/>
                <w:szCs w:val="14"/>
                <w:b w:val="1"/>
                <w:bCs w:val="1"/>
                <w:color w:val="auto"/>
              </w:rPr>
              <w:t>2009</w:t>
            </w:r>
          </w:p>
        </w:tc>
        <w:tc>
          <w:tcPr>
            <w:tcW w:w="540" w:type="dxa"/>
            <w:vAlign w:val="bottom"/>
          </w:tcPr>
          <w:p>
            <w:pPr>
              <w:spacing w:after="0"/>
              <w:rPr>
                <w:sz w:val="22"/>
                <w:szCs w:val="22"/>
                <w:color w:val="auto"/>
              </w:rPr>
            </w:pPr>
          </w:p>
        </w:tc>
        <w:tc>
          <w:tcPr>
            <w:tcW w:w="840" w:type="dxa"/>
            <w:vAlign w:val="bottom"/>
          </w:tcPr>
          <w:p>
            <w:pPr>
              <w:jc w:val="right"/>
              <w:ind w:right="117"/>
              <w:spacing w:after="0"/>
              <w:rPr>
                <w:sz w:val="20"/>
                <w:szCs w:val="20"/>
                <w:color w:val="auto"/>
              </w:rPr>
            </w:pPr>
            <w:r>
              <w:rPr>
                <w:rFonts w:ascii="Arial" w:cs="Arial" w:eastAsia="Arial" w:hAnsi="Arial"/>
                <w:sz w:val="14"/>
                <w:szCs w:val="14"/>
                <w:b w:val="1"/>
                <w:bCs w:val="1"/>
                <w:color w:val="auto"/>
              </w:rPr>
              <w:t>2010</w:t>
            </w:r>
          </w:p>
        </w:tc>
        <w:tc>
          <w:tcPr>
            <w:tcW w:w="680" w:type="dxa"/>
            <w:vAlign w:val="bottom"/>
          </w:tcPr>
          <w:p>
            <w:pPr>
              <w:spacing w:after="0"/>
              <w:rPr>
                <w:sz w:val="22"/>
                <w:szCs w:val="22"/>
                <w:color w:val="auto"/>
              </w:rPr>
            </w:pPr>
          </w:p>
        </w:tc>
        <w:tc>
          <w:tcPr>
            <w:tcW w:w="640" w:type="dxa"/>
            <w:vAlign w:val="bottom"/>
          </w:tcPr>
          <w:p>
            <w:pPr>
              <w:jc w:val="right"/>
              <w:ind w:right="34"/>
              <w:spacing w:after="0"/>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95"/>
        </w:trPr>
        <w:tc>
          <w:tcPr>
            <w:tcW w:w="5820" w:type="dxa"/>
            <w:vAlign w:val="bottom"/>
            <w:tcBorders>
              <w:bottom w:val="single" w:sz="8" w:color="auto"/>
            </w:tcBorders>
          </w:tcPr>
          <w:p>
            <w:pPr>
              <w:spacing w:after="0"/>
              <w:rPr>
                <w:sz w:val="8"/>
                <w:szCs w:val="8"/>
                <w:color w:val="auto"/>
              </w:rPr>
            </w:pPr>
          </w:p>
        </w:tc>
        <w:tc>
          <w:tcPr>
            <w:tcW w:w="445" w:type="dxa"/>
            <w:vAlign w:val="bottom"/>
            <w:tcBorders>
              <w:bottom w:val="single" w:sz="8" w:color="auto"/>
            </w:tcBorders>
          </w:tcPr>
          <w:p>
            <w:pPr>
              <w:spacing w:after="0"/>
              <w:rPr>
                <w:sz w:val="8"/>
                <w:szCs w:val="8"/>
                <w:color w:val="auto"/>
              </w:rPr>
            </w:pPr>
          </w:p>
        </w:tc>
        <w:tc>
          <w:tcPr>
            <w:tcW w:w="1095"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r>
      <w:tr>
        <w:trPr>
          <w:trHeight w:val="102"/>
        </w:trPr>
        <w:tc>
          <w:tcPr>
            <w:tcW w:w="5820" w:type="dxa"/>
            <w:vAlign w:val="bottom"/>
          </w:tcPr>
          <w:p>
            <w:pPr>
              <w:spacing w:after="0"/>
              <w:rPr>
                <w:sz w:val="8"/>
                <w:szCs w:val="8"/>
                <w:color w:val="auto"/>
              </w:rPr>
            </w:pPr>
          </w:p>
        </w:tc>
        <w:tc>
          <w:tcPr>
            <w:tcW w:w="445" w:type="dxa"/>
            <w:vAlign w:val="bottom"/>
          </w:tcPr>
          <w:p>
            <w:pPr>
              <w:spacing w:after="0"/>
              <w:rPr>
                <w:sz w:val="8"/>
                <w:szCs w:val="8"/>
                <w:color w:val="auto"/>
              </w:rPr>
            </w:pPr>
          </w:p>
        </w:tc>
        <w:tc>
          <w:tcPr>
            <w:tcW w:w="1095" w:type="dxa"/>
            <w:vAlign w:val="bottom"/>
          </w:tcPr>
          <w:p>
            <w:pPr>
              <w:spacing w:after="0"/>
              <w:rPr>
                <w:sz w:val="8"/>
                <w:szCs w:val="8"/>
                <w:color w:val="auto"/>
              </w:rPr>
            </w:pPr>
          </w:p>
        </w:tc>
        <w:tc>
          <w:tcPr>
            <w:tcW w:w="580" w:type="dxa"/>
            <w:vAlign w:val="bottom"/>
          </w:tcPr>
          <w:p>
            <w:pPr>
              <w:spacing w:after="0"/>
              <w:rPr>
                <w:sz w:val="8"/>
                <w:szCs w:val="8"/>
                <w:color w:val="auto"/>
              </w:rPr>
            </w:pPr>
          </w:p>
        </w:tc>
        <w:tc>
          <w:tcPr>
            <w:tcW w:w="7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40" w:type="dxa"/>
            <w:vAlign w:val="bottom"/>
          </w:tcPr>
          <w:p>
            <w:pPr>
              <w:spacing w:after="0"/>
              <w:rPr>
                <w:sz w:val="8"/>
                <w:szCs w:val="8"/>
                <w:color w:val="auto"/>
              </w:rPr>
            </w:pPr>
          </w:p>
        </w:tc>
        <w:tc>
          <w:tcPr>
            <w:tcW w:w="6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203"/>
        </w:trPr>
        <w:tc>
          <w:tcPr>
            <w:tcW w:w="582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Change in benefit obligation:</w:t>
            </w:r>
          </w:p>
        </w:tc>
        <w:tc>
          <w:tcPr>
            <w:tcW w:w="445" w:type="dxa"/>
            <w:vAlign w:val="bottom"/>
            <w:shd w:val="clear" w:color="auto" w:fill="E6E6E6"/>
          </w:tcPr>
          <w:p>
            <w:pPr>
              <w:spacing w:after="0"/>
              <w:rPr>
                <w:sz w:val="17"/>
                <w:szCs w:val="17"/>
                <w:color w:val="auto"/>
              </w:rPr>
            </w:pPr>
          </w:p>
        </w:tc>
        <w:tc>
          <w:tcPr>
            <w:tcW w:w="1095" w:type="dxa"/>
            <w:vAlign w:val="bottom"/>
            <w:shd w:val="clear" w:color="auto" w:fill="E6E6E6"/>
          </w:tcPr>
          <w:p>
            <w:pPr>
              <w:spacing w:after="0"/>
              <w:rPr>
                <w:sz w:val="17"/>
                <w:szCs w:val="17"/>
                <w:color w:val="auto"/>
              </w:rPr>
            </w:pPr>
          </w:p>
        </w:tc>
        <w:tc>
          <w:tcPr>
            <w:tcW w:w="580" w:type="dxa"/>
            <w:vAlign w:val="bottom"/>
            <w:shd w:val="clear" w:color="auto" w:fill="E6E6E6"/>
          </w:tcPr>
          <w:p>
            <w:pPr>
              <w:spacing w:after="0"/>
              <w:rPr>
                <w:sz w:val="17"/>
                <w:szCs w:val="17"/>
                <w:color w:val="auto"/>
              </w:rPr>
            </w:pPr>
          </w:p>
        </w:tc>
        <w:tc>
          <w:tcPr>
            <w:tcW w:w="780" w:type="dxa"/>
            <w:vAlign w:val="bottom"/>
            <w:shd w:val="clear" w:color="auto" w:fill="E6E6E6"/>
          </w:tcPr>
          <w:p>
            <w:pPr>
              <w:spacing w:after="0"/>
              <w:rPr>
                <w:sz w:val="17"/>
                <w:szCs w:val="17"/>
                <w:color w:val="auto"/>
              </w:rPr>
            </w:pPr>
          </w:p>
        </w:tc>
        <w:tc>
          <w:tcPr>
            <w:tcW w:w="540" w:type="dxa"/>
            <w:vAlign w:val="bottom"/>
            <w:shd w:val="clear" w:color="auto" w:fill="E6E6E6"/>
          </w:tcPr>
          <w:p>
            <w:pPr>
              <w:spacing w:after="0"/>
              <w:rPr>
                <w:sz w:val="17"/>
                <w:szCs w:val="17"/>
                <w:color w:val="auto"/>
              </w:rPr>
            </w:pPr>
          </w:p>
        </w:tc>
        <w:tc>
          <w:tcPr>
            <w:tcW w:w="840" w:type="dxa"/>
            <w:vAlign w:val="bottom"/>
            <w:shd w:val="clear" w:color="auto" w:fill="E6E6E6"/>
          </w:tcPr>
          <w:p>
            <w:pPr>
              <w:spacing w:after="0"/>
              <w:rPr>
                <w:sz w:val="17"/>
                <w:szCs w:val="17"/>
                <w:color w:val="auto"/>
              </w:rPr>
            </w:pPr>
          </w:p>
        </w:tc>
        <w:tc>
          <w:tcPr>
            <w:tcW w:w="680" w:type="dxa"/>
            <w:vAlign w:val="bottom"/>
            <w:shd w:val="clear" w:color="auto" w:fill="E6E6E6"/>
          </w:tcPr>
          <w:p>
            <w:pPr>
              <w:spacing w:after="0"/>
              <w:rPr>
                <w:sz w:val="17"/>
                <w:szCs w:val="17"/>
                <w:color w:val="auto"/>
              </w:rPr>
            </w:pPr>
          </w:p>
        </w:tc>
        <w:tc>
          <w:tcPr>
            <w:tcW w:w="640" w:type="dxa"/>
            <w:vAlign w:val="bottom"/>
            <w:shd w:val="clear" w:color="auto" w:fill="E6E6E6"/>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5820" w:type="dxa"/>
            <w:vAlign w:val="bottom"/>
          </w:tcPr>
          <w:p>
            <w:pPr>
              <w:ind w:left="160"/>
              <w:spacing w:after="0" w:line="202" w:lineRule="exact"/>
              <w:rPr>
                <w:sz w:val="20"/>
                <w:szCs w:val="20"/>
                <w:color w:val="auto"/>
              </w:rPr>
            </w:pPr>
            <w:r>
              <w:rPr>
                <w:rFonts w:ascii="Arial" w:cs="Arial" w:eastAsia="Arial" w:hAnsi="Arial"/>
                <w:sz w:val="18"/>
                <w:szCs w:val="18"/>
                <w:color w:val="auto"/>
              </w:rPr>
              <w:t>Benefit obligation at beginning of year</w:t>
            </w:r>
          </w:p>
        </w:tc>
        <w:tc>
          <w:tcPr>
            <w:tcW w:w="445"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95" w:type="dxa"/>
            <w:vAlign w:val="bottom"/>
          </w:tcPr>
          <w:p>
            <w:pPr>
              <w:jc w:val="right"/>
              <w:ind w:right="115"/>
              <w:spacing w:after="0" w:line="202" w:lineRule="exact"/>
              <w:rPr>
                <w:sz w:val="20"/>
                <w:szCs w:val="20"/>
                <w:color w:val="auto"/>
              </w:rPr>
            </w:pPr>
            <w:r>
              <w:rPr>
                <w:rFonts w:ascii="Arial" w:cs="Arial" w:eastAsia="Arial" w:hAnsi="Arial"/>
                <w:sz w:val="18"/>
                <w:szCs w:val="18"/>
                <w:color w:val="auto"/>
              </w:rPr>
              <w:t>153.9</w:t>
            </w:r>
          </w:p>
        </w:tc>
        <w:tc>
          <w:tcPr>
            <w:tcW w:w="580" w:type="dxa"/>
            <w:vAlign w:val="bottom"/>
          </w:tcPr>
          <w:p>
            <w:pPr>
              <w:jc w:val="right"/>
              <w:ind w:right="252"/>
              <w:spacing w:after="0" w:line="202" w:lineRule="exact"/>
              <w:rPr>
                <w:sz w:val="20"/>
                <w:szCs w:val="20"/>
                <w:color w:val="auto"/>
              </w:rPr>
            </w:pPr>
            <w:r>
              <w:rPr>
                <w:rFonts w:ascii="Arial" w:cs="Arial" w:eastAsia="Arial" w:hAnsi="Arial"/>
                <w:sz w:val="18"/>
                <w:szCs w:val="18"/>
                <w:color w:val="auto"/>
              </w:rPr>
              <w:t>$</w:t>
            </w:r>
          </w:p>
        </w:tc>
        <w:tc>
          <w:tcPr>
            <w:tcW w:w="780" w:type="dxa"/>
            <w:vAlign w:val="bottom"/>
          </w:tcPr>
          <w:p>
            <w:pPr>
              <w:jc w:val="right"/>
              <w:ind w:right="114"/>
              <w:spacing w:after="0" w:line="202" w:lineRule="exact"/>
              <w:rPr>
                <w:sz w:val="20"/>
                <w:szCs w:val="20"/>
                <w:color w:val="auto"/>
              </w:rPr>
            </w:pPr>
            <w:r>
              <w:rPr>
                <w:rFonts w:ascii="Arial" w:cs="Arial" w:eastAsia="Arial" w:hAnsi="Arial"/>
                <w:sz w:val="18"/>
                <w:szCs w:val="18"/>
                <w:color w:val="auto"/>
              </w:rPr>
              <w:t>173.6</w:t>
            </w:r>
          </w:p>
        </w:tc>
        <w:tc>
          <w:tcPr>
            <w:tcW w:w="540" w:type="dxa"/>
            <w:vAlign w:val="bottom"/>
          </w:tcPr>
          <w:p>
            <w:pPr>
              <w:jc w:val="right"/>
              <w:ind w:right="212"/>
              <w:spacing w:after="0" w:line="202" w:lineRule="exact"/>
              <w:rPr>
                <w:sz w:val="20"/>
                <w:szCs w:val="20"/>
                <w:color w:val="auto"/>
              </w:rPr>
            </w:pPr>
            <w:r>
              <w:rPr>
                <w:rFonts w:ascii="Arial" w:cs="Arial" w:eastAsia="Arial" w:hAnsi="Arial"/>
                <w:sz w:val="18"/>
                <w:szCs w:val="18"/>
                <w:color w:val="auto"/>
              </w:rPr>
              <w:t>$</w:t>
            </w:r>
          </w:p>
        </w:tc>
        <w:tc>
          <w:tcPr>
            <w:tcW w:w="840" w:type="dxa"/>
            <w:vAlign w:val="bottom"/>
          </w:tcPr>
          <w:p>
            <w:pPr>
              <w:jc w:val="right"/>
              <w:ind w:right="117"/>
              <w:spacing w:after="0" w:line="202" w:lineRule="exact"/>
              <w:rPr>
                <w:sz w:val="20"/>
                <w:szCs w:val="20"/>
                <w:color w:val="auto"/>
              </w:rPr>
            </w:pPr>
            <w:r>
              <w:rPr>
                <w:rFonts w:ascii="Arial" w:cs="Arial" w:eastAsia="Arial" w:hAnsi="Arial"/>
                <w:sz w:val="18"/>
                <w:szCs w:val="18"/>
                <w:color w:val="auto"/>
              </w:rPr>
              <w:t>23.3</w:t>
            </w:r>
          </w:p>
        </w:tc>
        <w:tc>
          <w:tcPr>
            <w:tcW w:w="680" w:type="dxa"/>
            <w:vAlign w:val="bottom"/>
          </w:tcPr>
          <w:p>
            <w:pPr>
              <w:jc w:val="right"/>
              <w:ind w:right="352"/>
              <w:spacing w:after="0" w:line="202" w:lineRule="exact"/>
              <w:rPr>
                <w:sz w:val="20"/>
                <w:szCs w:val="20"/>
                <w:color w:val="auto"/>
              </w:rPr>
            </w:pPr>
            <w:r>
              <w:rPr>
                <w:rFonts w:ascii="Arial" w:cs="Arial" w:eastAsia="Arial" w:hAnsi="Arial"/>
                <w:sz w:val="18"/>
                <w:szCs w:val="18"/>
                <w:color w:val="auto"/>
              </w:rPr>
              <w:t>$</w:t>
            </w:r>
          </w:p>
        </w:tc>
        <w:tc>
          <w:tcPr>
            <w:tcW w:w="640" w:type="dxa"/>
            <w:vAlign w:val="bottom"/>
          </w:tcPr>
          <w:p>
            <w:pPr>
              <w:jc w:val="right"/>
              <w:ind w:right="34"/>
              <w:spacing w:after="0" w:line="202" w:lineRule="exact"/>
              <w:rPr>
                <w:sz w:val="20"/>
                <w:szCs w:val="20"/>
                <w:color w:val="auto"/>
              </w:rPr>
            </w:pPr>
            <w:r>
              <w:rPr>
                <w:rFonts w:ascii="Arial" w:cs="Arial" w:eastAsia="Arial" w:hAnsi="Arial"/>
                <w:sz w:val="18"/>
                <w:szCs w:val="18"/>
                <w:color w:val="auto"/>
              </w:rPr>
              <w:t>31.6</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5820" w:type="dxa"/>
            <w:vAlign w:val="bottom"/>
            <w:shd w:val="clear" w:color="auto" w:fill="E6E6E6"/>
          </w:tcPr>
          <w:p>
            <w:pPr>
              <w:ind w:left="160"/>
              <w:spacing w:after="0" w:line="202" w:lineRule="exact"/>
              <w:rPr>
                <w:sz w:val="20"/>
                <w:szCs w:val="20"/>
                <w:color w:val="auto"/>
              </w:rPr>
            </w:pPr>
            <w:r>
              <w:rPr>
                <w:rFonts w:ascii="Arial" w:cs="Arial" w:eastAsia="Arial" w:hAnsi="Arial"/>
                <w:sz w:val="18"/>
                <w:szCs w:val="18"/>
                <w:color w:val="auto"/>
              </w:rPr>
              <w:t>Service cost</w:t>
            </w:r>
          </w:p>
        </w:tc>
        <w:tc>
          <w:tcPr>
            <w:tcW w:w="445" w:type="dxa"/>
            <w:vAlign w:val="bottom"/>
            <w:shd w:val="clear" w:color="auto" w:fill="E6E6E6"/>
          </w:tcPr>
          <w:p>
            <w:pPr>
              <w:spacing w:after="0"/>
              <w:rPr>
                <w:sz w:val="17"/>
                <w:szCs w:val="17"/>
                <w:color w:val="auto"/>
              </w:rPr>
            </w:pPr>
          </w:p>
        </w:tc>
        <w:tc>
          <w:tcPr>
            <w:tcW w:w="1095" w:type="dxa"/>
            <w:vAlign w:val="bottom"/>
            <w:shd w:val="clear" w:color="auto" w:fill="E6E6E6"/>
          </w:tcPr>
          <w:p>
            <w:pPr>
              <w:jc w:val="right"/>
              <w:ind w:right="115"/>
              <w:spacing w:after="0" w:line="202" w:lineRule="exact"/>
              <w:rPr>
                <w:sz w:val="20"/>
                <w:szCs w:val="20"/>
                <w:color w:val="auto"/>
              </w:rPr>
            </w:pPr>
            <w:r>
              <w:rPr>
                <w:rFonts w:ascii="Arial" w:cs="Arial" w:eastAsia="Arial" w:hAnsi="Arial"/>
                <w:sz w:val="18"/>
                <w:szCs w:val="18"/>
                <w:color w:val="auto"/>
              </w:rPr>
              <w:t>0.1</w:t>
            </w:r>
          </w:p>
        </w:tc>
        <w:tc>
          <w:tcPr>
            <w:tcW w:w="580" w:type="dxa"/>
            <w:vAlign w:val="bottom"/>
            <w:shd w:val="clear" w:color="auto" w:fill="E6E6E6"/>
          </w:tcPr>
          <w:p>
            <w:pPr>
              <w:spacing w:after="0"/>
              <w:rPr>
                <w:sz w:val="17"/>
                <w:szCs w:val="17"/>
                <w:color w:val="auto"/>
              </w:rPr>
            </w:pPr>
          </w:p>
        </w:tc>
        <w:tc>
          <w:tcPr>
            <w:tcW w:w="780" w:type="dxa"/>
            <w:vAlign w:val="bottom"/>
            <w:shd w:val="clear" w:color="auto" w:fill="E6E6E6"/>
          </w:tcPr>
          <w:p>
            <w:pPr>
              <w:jc w:val="right"/>
              <w:ind w:right="94"/>
              <w:spacing w:after="0" w:line="202" w:lineRule="exact"/>
              <w:rPr>
                <w:sz w:val="20"/>
                <w:szCs w:val="20"/>
                <w:color w:val="auto"/>
              </w:rPr>
            </w:pPr>
            <w:r>
              <w:rPr>
                <w:rFonts w:ascii="Arial" w:cs="Arial" w:eastAsia="Arial" w:hAnsi="Arial"/>
                <w:sz w:val="18"/>
                <w:szCs w:val="18"/>
                <w:color w:val="auto"/>
              </w:rPr>
              <w:t>7.7</w:t>
            </w:r>
          </w:p>
        </w:tc>
        <w:tc>
          <w:tcPr>
            <w:tcW w:w="540" w:type="dxa"/>
            <w:vAlign w:val="bottom"/>
            <w:shd w:val="clear" w:color="auto" w:fill="E6E6E6"/>
          </w:tcPr>
          <w:p>
            <w:pPr>
              <w:spacing w:after="0"/>
              <w:rPr>
                <w:sz w:val="17"/>
                <w:szCs w:val="17"/>
                <w:color w:val="auto"/>
              </w:rPr>
            </w:pPr>
          </w:p>
        </w:tc>
        <w:tc>
          <w:tcPr>
            <w:tcW w:w="840" w:type="dxa"/>
            <w:vAlign w:val="bottom"/>
            <w:shd w:val="clear" w:color="auto" w:fill="E6E6E6"/>
          </w:tcPr>
          <w:p>
            <w:pPr>
              <w:jc w:val="right"/>
              <w:ind w:right="117"/>
              <w:spacing w:after="0" w:line="202" w:lineRule="exact"/>
              <w:rPr>
                <w:sz w:val="20"/>
                <w:szCs w:val="20"/>
                <w:color w:val="auto"/>
              </w:rPr>
            </w:pPr>
            <w:r>
              <w:rPr>
                <w:rFonts w:ascii="Arial" w:cs="Arial" w:eastAsia="Arial" w:hAnsi="Arial"/>
                <w:sz w:val="18"/>
                <w:szCs w:val="18"/>
                <w:color w:val="auto"/>
              </w:rPr>
              <w:t>—</w:t>
            </w:r>
          </w:p>
        </w:tc>
        <w:tc>
          <w:tcPr>
            <w:tcW w:w="680" w:type="dxa"/>
            <w:vAlign w:val="bottom"/>
            <w:shd w:val="clear" w:color="auto" w:fill="E6E6E6"/>
          </w:tcPr>
          <w:p>
            <w:pPr>
              <w:spacing w:after="0"/>
              <w:rPr>
                <w:sz w:val="17"/>
                <w:szCs w:val="17"/>
                <w:color w:val="auto"/>
              </w:rPr>
            </w:pPr>
          </w:p>
        </w:tc>
        <w:tc>
          <w:tcPr>
            <w:tcW w:w="640" w:type="dxa"/>
            <w:vAlign w:val="bottom"/>
            <w:shd w:val="clear" w:color="auto" w:fill="E6E6E6"/>
          </w:tcPr>
          <w:p>
            <w:pPr>
              <w:jc w:val="right"/>
              <w:ind w:right="34"/>
              <w:spacing w:after="0" w:line="202" w:lineRule="exact"/>
              <w:rPr>
                <w:sz w:val="20"/>
                <w:szCs w:val="20"/>
                <w:color w:val="auto"/>
              </w:rPr>
            </w:pPr>
            <w:r>
              <w:rPr>
                <w:rFonts w:ascii="Arial" w:cs="Arial" w:eastAsia="Arial" w:hAnsi="Arial"/>
                <w:sz w:val="18"/>
                <w:szCs w:val="18"/>
                <w:color w:val="auto"/>
              </w:rPr>
              <w:t>0.1</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5820" w:type="dxa"/>
            <w:vAlign w:val="bottom"/>
          </w:tcPr>
          <w:p>
            <w:pPr>
              <w:ind w:left="160"/>
              <w:spacing w:after="0" w:line="202" w:lineRule="exact"/>
              <w:rPr>
                <w:sz w:val="20"/>
                <w:szCs w:val="20"/>
                <w:color w:val="auto"/>
              </w:rPr>
            </w:pPr>
            <w:r>
              <w:rPr>
                <w:rFonts w:ascii="Arial" w:cs="Arial" w:eastAsia="Arial" w:hAnsi="Arial"/>
                <w:sz w:val="18"/>
                <w:szCs w:val="18"/>
                <w:color w:val="auto"/>
              </w:rPr>
              <w:t>Interest cost</w:t>
            </w:r>
          </w:p>
        </w:tc>
        <w:tc>
          <w:tcPr>
            <w:tcW w:w="445" w:type="dxa"/>
            <w:vAlign w:val="bottom"/>
          </w:tcPr>
          <w:p>
            <w:pPr>
              <w:spacing w:after="0"/>
              <w:rPr>
                <w:sz w:val="17"/>
                <w:szCs w:val="17"/>
                <w:color w:val="auto"/>
              </w:rPr>
            </w:pPr>
          </w:p>
        </w:tc>
        <w:tc>
          <w:tcPr>
            <w:tcW w:w="1095" w:type="dxa"/>
            <w:vAlign w:val="bottom"/>
          </w:tcPr>
          <w:p>
            <w:pPr>
              <w:jc w:val="right"/>
              <w:ind w:right="115"/>
              <w:spacing w:after="0" w:line="202" w:lineRule="exact"/>
              <w:rPr>
                <w:sz w:val="20"/>
                <w:szCs w:val="20"/>
                <w:color w:val="auto"/>
              </w:rPr>
            </w:pPr>
            <w:r>
              <w:rPr>
                <w:rFonts w:ascii="Arial" w:cs="Arial" w:eastAsia="Arial" w:hAnsi="Arial"/>
                <w:sz w:val="18"/>
                <w:szCs w:val="18"/>
                <w:color w:val="auto"/>
              </w:rPr>
              <w:t>9.7</w:t>
            </w:r>
          </w:p>
        </w:tc>
        <w:tc>
          <w:tcPr>
            <w:tcW w:w="580" w:type="dxa"/>
            <w:vAlign w:val="bottom"/>
          </w:tcPr>
          <w:p>
            <w:pPr>
              <w:spacing w:after="0"/>
              <w:rPr>
                <w:sz w:val="17"/>
                <w:szCs w:val="17"/>
                <w:color w:val="auto"/>
              </w:rPr>
            </w:pPr>
          </w:p>
        </w:tc>
        <w:tc>
          <w:tcPr>
            <w:tcW w:w="780" w:type="dxa"/>
            <w:vAlign w:val="bottom"/>
          </w:tcPr>
          <w:p>
            <w:pPr>
              <w:jc w:val="right"/>
              <w:ind w:right="114"/>
              <w:spacing w:after="0" w:line="202" w:lineRule="exact"/>
              <w:rPr>
                <w:sz w:val="20"/>
                <w:szCs w:val="20"/>
                <w:color w:val="auto"/>
              </w:rPr>
            </w:pPr>
            <w:r>
              <w:rPr>
                <w:rFonts w:ascii="Arial" w:cs="Arial" w:eastAsia="Arial" w:hAnsi="Arial"/>
                <w:sz w:val="18"/>
                <w:szCs w:val="18"/>
                <w:color w:val="auto"/>
              </w:rPr>
              <w:t>10.5</w:t>
            </w:r>
          </w:p>
        </w:tc>
        <w:tc>
          <w:tcPr>
            <w:tcW w:w="540" w:type="dxa"/>
            <w:vAlign w:val="bottom"/>
          </w:tcPr>
          <w:p>
            <w:pPr>
              <w:spacing w:after="0"/>
              <w:rPr>
                <w:sz w:val="17"/>
                <w:szCs w:val="17"/>
                <w:color w:val="auto"/>
              </w:rPr>
            </w:pPr>
          </w:p>
        </w:tc>
        <w:tc>
          <w:tcPr>
            <w:tcW w:w="840" w:type="dxa"/>
            <w:vAlign w:val="bottom"/>
          </w:tcPr>
          <w:p>
            <w:pPr>
              <w:jc w:val="right"/>
              <w:ind w:right="117"/>
              <w:spacing w:after="0" w:line="202" w:lineRule="exact"/>
              <w:rPr>
                <w:sz w:val="20"/>
                <w:szCs w:val="20"/>
                <w:color w:val="auto"/>
              </w:rPr>
            </w:pPr>
            <w:r>
              <w:rPr>
                <w:rFonts w:ascii="Arial" w:cs="Arial" w:eastAsia="Arial" w:hAnsi="Arial"/>
                <w:sz w:val="18"/>
                <w:szCs w:val="18"/>
                <w:color w:val="auto"/>
              </w:rPr>
              <w:t>1.6</w:t>
            </w:r>
          </w:p>
        </w:tc>
        <w:tc>
          <w:tcPr>
            <w:tcW w:w="680" w:type="dxa"/>
            <w:vAlign w:val="bottom"/>
          </w:tcPr>
          <w:p>
            <w:pPr>
              <w:spacing w:after="0"/>
              <w:rPr>
                <w:sz w:val="17"/>
                <w:szCs w:val="17"/>
                <w:color w:val="auto"/>
              </w:rPr>
            </w:pPr>
          </w:p>
        </w:tc>
        <w:tc>
          <w:tcPr>
            <w:tcW w:w="640" w:type="dxa"/>
            <w:vAlign w:val="bottom"/>
          </w:tcPr>
          <w:p>
            <w:pPr>
              <w:jc w:val="right"/>
              <w:ind w:right="34"/>
              <w:spacing w:after="0" w:line="202" w:lineRule="exact"/>
              <w:rPr>
                <w:sz w:val="20"/>
                <w:szCs w:val="20"/>
                <w:color w:val="auto"/>
              </w:rPr>
            </w:pPr>
            <w:r>
              <w:rPr>
                <w:rFonts w:ascii="Arial" w:cs="Arial" w:eastAsia="Arial" w:hAnsi="Arial"/>
                <w:sz w:val="18"/>
                <w:szCs w:val="18"/>
                <w:color w:val="auto"/>
              </w:rPr>
              <w:t>1.5</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5820" w:type="dxa"/>
            <w:vAlign w:val="bottom"/>
            <w:shd w:val="clear" w:color="auto" w:fill="E6E6E6"/>
          </w:tcPr>
          <w:p>
            <w:pPr>
              <w:ind w:left="160"/>
              <w:spacing w:after="0" w:line="202" w:lineRule="exact"/>
              <w:rPr>
                <w:sz w:val="20"/>
                <w:szCs w:val="20"/>
                <w:color w:val="auto"/>
              </w:rPr>
            </w:pPr>
            <w:r>
              <w:rPr>
                <w:rFonts w:ascii="Arial" w:cs="Arial" w:eastAsia="Arial" w:hAnsi="Arial"/>
                <w:sz w:val="18"/>
                <w:szCs w:val="18"/>
                <w:color w:val="auto"/>
              </w:rPr>
              <w:t>Plan participants’ contributions</w:t>
            </w:r>
          </w:p>
        </w:tc>
        <w:tc>
          <w:tcPr>
            <w:tcW w:w="445" w:type="dxa"/>
            <w:vAlign w:val="bottom"/>
            <w:shd w:val="clear" w:color="auto" w:fill="E6E6E6"/>
          </w:tcPr>
          <w:p>
            <w:pPr>
              <w:spacing w:after="0"/>
              <w:rPr>
                <w:sz w:val="17"/>
                <w:szCs w:val="17"/>
                <w:color w:val="auto"/>
              </w:rPr>
            </w:pPr>
          </w:p>
        </w:tc>
        <w:tc>
          <w:tcPr>
            <w:tcW w:w="1095" w:type="dxa"/>
            <w:vAlign w:val="bottom"/>
            <w:shd w:val="clear" w:color="auto" w:fill="E6E6E6"/>
          </w:tcPr>
          <w:p>
            <w:pPr>
              <w:jc w:val="right"/>
              <w:ind w:right="115"/>
              <w:spacing w:after="0" w:line="202" w:lineRule="exact"/>
              <w:rPr>
                <w:sz w:val="20"/>
                <w:szCs w:val="20"/>
                <w:color w:val="auto"/>
              </w:rPr>
            </w:pPr>
            <w:r>
              <w:rPr>
                <w:rFonts w:ascii="Arial" w:cs="Arial" w:eastAsia="Arial" w:hAnsi="Arial"/>
                <w:sz w:val="18"/>
                <w:szCs w:val="18"/>
                <w:color w:val="auto"/>
              </w:rPr>
              <w:t>—</w:t>
            </w:r>
          </w:p>
        </w:tc>
        <w:tc>
          <w:tcPr>
            <w:tcW w:w="580" w:type="dxa"/>
            <w:vAlign w:val="bottom"/>
            <w:shd w:val="clear" w:color="auto" w:fill="E6E6E6"/>
          </w:tcPr>
          <w:p>
            <w:pPr>
              <w:spacing w:after="0"/>
              <w:rPr>
                <w:sz w:val="17"/>
                <w:szCs w:val="17"/>
                <w:color w:val="auto"/>
              </w:rPr>
            </w:pPr>
          </w:p>
        </w:tc>
        <w:tc>
          <w:tcPr>
            <w:tcW w:w="780" w:type="dxa"/>
            <w:vAlign w:val="bottom"/>
            <w:shd w:val="clear" w:color="auto" w:fill="E6E6E6"/>
          </w:tcPr>
          <w:p>
            <w:pPr>
              <w:jc w:val="right"/>
              <w:ind w:right="114"/>
              <w:spacing w:after="0" w:line="202" w:lineRule="exact"/>
              <w:rPr>
                <w:sz w:val="20"/>
                <w:szCs w:val="20"/>
                <w:color w:val="auto"/>
              </w:rPr>
            </w:pPr>
            <w:r>
              <w:rPr>
                <w:rFonts w:ascii="Arial" w:cs="Arial" w:eastAsia="Arial" w:hAnsi="Arial"/>
                <w:sz w:val="18"/>
                <w:szCs w:val="18"/>
                <w:color w:val="auto"/>
              </w:rPr>
              <w:t>—</w:t>
            </w:r>
          </w:p>
        </w:tc>
        <w:tc>
          <w:tcPr>
            <w:tcW w:w="540" w:type="dxa"/>
            <w:vAlign w:val="bottom"/>
            <w:shd w:val="clear" w:color="auto" w:fill="E6E6E6"/>
          </w:tcPr>
          <w:p>
            <w:pPr>
              <w:spacing w:after="0"/>
              <w:rPr>
                <w:sz w:val="17"/>
                <w:szCs w:val="17"/>
                <w:color w:val="auto"/>
              </w:rPr>
            </w:pPr>
          </w:p>
        </w:tc>
        <w:tc>
          <w:tcPr>
            <w:tcW w:w="840" w:type="dxa"/>
            <w:vAlign w:val="bottom"/>
            <w:shd w:val="clear" w:color="auto" w:fill="E6E6E6"/>
          </w:tcPr>
          <w:p>
            <w:pPr>
              <w:jc w:val="right"/>
              <w:ind w:right="117"/>
              <w:spacing w:after="0" w:line="202" w:lineRule="exact"/>
              <w:rPr>
                <w:sz w:val="20"/>
                <w:szCs w:val="20"/>
                <w:color w:val="auto"/>
              </w:rPr>
            </w:pPr>
            <w:r>
              <w:rPr>
                <w:rFonts w:ascii="Arial" w:cs="Arial" w:eastAsia="Arial" w:hAnsi="Arial"/>
                <w:sz w:val="18"/>
                <w:szCs w:val="18"/>
                <w:color w:val="auto"/>
              </w:rPr>
              <w:t>0.4</w:t>
            </w:r>
          </w:p>
        </w:tc>
        <w:tc>
          <w:tcPr>
            <w:tcW w:w="680" w:type="dxa"/>
            <w:vAlign w:val="bottom"/>
            <w:shd w:val="clear" w:color="auto" w:fill="E6E6E6"/>
          </w:tcPr>
          <w:p>
            <w:pPr>
              <w:spacing w:after="0"/>
              <w:rPr>
                <w:sz w:val="17"/>
                <w:szCs w:val="17"/>
                <w:color w:val="auto"/>
              </w:rPr>
            </w:pPr>
          </w:p>
        </w:tc>
        <w:tc>
          <w:tcPr>
            <w:tcW w:w="640" w:type="dxa"/>
            <w:vAlign w:val="bottom"/>
            <w:shd w:val="clear" w:color="auto" w:fill="E6E6E6"/>
          </w:tcPr>
          <w:p>
            <w:pPr>
              <w:jc w:val="right"/>
              <w:ind w:right="34"/>
              <w:spacing w:after="0" w:line="202" w:lineRule="exact"/>
              <w:rPr>
                <w:sz w:val="20"/>
                <w:szCs w:val="20"/>
                <w:color w:val="auto"/>
              </w:rPr>
            </w:pPr>
            <w:r>
              <w:rPr>
                <w:rFonts w:ascii="Arial" w:cs="Arial" w:eastAsia="Arial" w:hAnsi="Arial"/>
                <w:sz w:val="18"/>
                <w:szCs w:val="18"/>
                <w:color w:val="auto"/>
              </w:rPr>
              <w:t>0.3</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5820" w:type="dxa"/>
            <w:vAlign w:val="bottom"/>
          </w:tcPr>
          <w:p>
            <w:pPr>
              <w:ind w:left="160"/>
              <w:spacing w:after="0" w:line="202" w:lineRule="exact"/>
              <w:rPr>
                <w:sz w:val="20"/>
                <w:szCs w:val="20"/>
                <w:color w:val="auto"/>
              </w:rPr>
            </w:pPr>
            <w:r>
              <w:rPr>
                <w:rFonts w:ascii="Arial" w:cs="Arial" w:eastAsia="Arial" w:hAnsi="Arial"/>
                <w:sz w:val="18"/>
                <w:szCs w:val="18"/>
                <w:color w:val="auto"/>
              </w:rPr>
              <w:t>Settlements</w:t>
            </w:r>
          </w:p>
        </w:tc>
        <w:tc>
          <w:tcPr>
            <w:tcW w:w="445" w:type="dxa"/>
            <w:vAlign w:val="bottom"/>
          </w:tcPr>
          <w:p>
            <w:pPr>
              <w:spacing w:after="0"/>
              <w:rPr>
                <w:sz w:val="17"/>
                <w:szCs w:val="17"/>
                <w:color w:val="auto"/>
              </w:rPr>
            </w:pPr>
          </w:p>
        </w:tc>
        <w:tc>
          <w:tcPr>
            <w:tcW w:w="1095" w:type="dxa"/>
            <w:vAlign w:val="bottom"/>
          </w:tcPr>
          <w:p>
            <w:pPr>
              <w:jc w:val="right"/>
              <w:ind w:right="55"/>
              <w:spacing w:after="0" w:line="202" w:lineRule="exact"/>
              <w:rPr>
                <w:sz w:val="20"/>
                <w:szCs w:val="20"/>
                <w:color w:val="auto"/>
              </w:rPr>
            </w:pPr>
            <w:r>
              <w:rPr>
                <w:rFonts w:ascii="Arial" w:cs="Arial" w:eastAsia="Arial" w:hAnsi="Arial"/>
                <w:sz w:val="18"/>
                <w:szCs w:val="18"/>
                <w:color w:val="auto"/>
              </w:rPr>
              <w:t>(1.3)</w:t>
            </w:r>
          </w:p>
        </w:tc>
        <w:tc>
          <w:tcPr>
            <w:tcW w:w="580" w:type="dxa"/>
            <w:vAlign w:val="bottom"/>
          </w:tcPr>
          <w:p>
            <w:pPr>
              <w:spacing w:after="0"/>
              <w:rPr>
                <w:sz w:val="17"/>
                <w:szCs w:val="17"/>
                <w:color w:val="auto"/>
              </w:rPr>
            </w:pPr>
          </w:p>
        </w:tc>
        <w:tc>
          <w:tcPr>
            <w:tcW w:w="780" w:type="dxa"/>
            <w:vAlign w:val="bottom"/>
          </w:tcPr>
          <w:p>
            <w:pPr>
              <w:jc w:val="right"/>
              <w:ind w:right="114"/>
              <w:spacing w:after="0" w:line="202" w:lineRule="exact"/>
              <w:rPr>
                <w:sz w:val="20"/>
                <w:szCs w:val="20"/>
                <w:color w:val="auto"/>
              </w:rPr>
            </w:pPr>
            <w:r>
              <w:rPr>
                <w:rFonts w:ascii="Arial" w:cs="Arial" w:eastAsia="Arial" w:hAnsi="Arial"/>
                <w:sz w:val="18"/>
                <w:szCs w:val="18"/>
                <w:color w:val="auto"/>
              </w:rPr>
              <w:t>—</w:t>
            </w:r>
          </w:p>
        </w:tc>
        <w:tc>
          <w:tcPr>
            <w:tcW w:w="540" w:type="dxa"/>
            <w:vAlign w:val="bottom"/>
          </w:tcPr>
          <w:p>
            <w:pPr>
              <w:spacing w:after="0"/>
              <w:rPr>
                <w:sz w:val="17"/>
                <w:szCs w:val="17"/>
                <w:color w:val="auto"/>
              </w:rPr>
            </w:pPr>
          </w:p>
        </w:tc>
        <w:tc>
          <w:tcPr>
            <w:tcW w:w="840" w:type="dxa"/>
            <w:vAlign w:val="bottom"/>
          </w:tcPr>
          <w:p>
            <w:pPr>
              <w:jc w:val="right"/>
              <w:ind w:right="117"/>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spacing w:after="0"/>
              <w:rPr>
                <w:sz w:val="17"/>
                <w:szCs w:val="17"/>
                <w:color w:val="auto"/>
              </w:rPr>
            </w:pPr>
          </w:p>
        </w:tc>
        <w:tc>
          <w:tcPr>
            <w:tcW w:w="6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r>
      <w:tr>
        <w:trPr>
          <w:trHeight w:val="203"/>
        </w:trPr>
        <w:tc>
          <w:tcPr>
            <w:tcW w:w="5820" w:type="dxa"/>
            <w:vAlign w:val="bottom"/>
            <w:shd w:val="clear" w:color="auto" w:fill="E6E6E6"/>
          </w:tcPr>
          <w:p>
            <w:pPr>
              <w:ind w:left="160"/>
              <w:spacing w:after="0" w:line="202" w:lineRule="exact"/>
              <w:rPr>
                <w:sz w:val="20"/>
                <w:szCs w:val="20"/>
                <w:color w:val="auto"/>
              </w:rPr>
            </w:pPr>
            <w:r>
              <w:rPr>
                <w:rFonts w:ascii="Arial" w:cs="Arial" w:eastAsia="Arial" w:hAnsi="Arial"/>
                <w:sz w:val="18"/>
                <w:szCs w:val="18"/>
                <w:color w:val="auto"/>
              </w:rPr>
              <w:t>Curtailment gain</w:t>
            </w:r>
          </w:p>
        </w:tc>
        <w:tc>
          <w:tcPr>
            <w:tcW w:w="445" w:type="dxa"/>
            <w:vAlign w:val="bottom"/>
            <w:shd w:val="clear" w:color="auto" w:fill="E6E6E6"/>
          </w:tcPr>
          <w:p>
            <w:pPr>
              <w:spacing w:after="0"/>
              <w:rPr>
                <w:sz w:val="17"/>
                <w:szCs w:val="17"/>
                <w:color w:val="auto"/>
              </w:rPr>
            </w:pPr>
          </w:p>
        </w:tc>
        <w:tc>
          <w:tcPr>
            <w:tcW w:w="1095" w:type="dxa"/>
            <w:vAlign w:val="bottom"/>
            <w:shd w:val="clear" w:color="auto" w:fill="E6E6E6"/>
          </w:tcPr>
          <w:p>
            <w:pPr>
              <w:jc w:val="right"/>
              <w:ind w:right="55"/>
              <w:spacing w:after="0" w:line="202" w:lineRule="exact"/>
              <w:rPr>
                <w:sz w:val="20"/>
                <w:szCs w:val="20"/>
                <w:color w:val="auto"/>
              </w:rPr>
            </w:pPr>
            <w:r>
              <w:rPr>
                <w:rFonts w:ascii="Arial" w:cs="Arial" w:eastAsia="Arial" w:hAnsi="Arial"/>
                <w:sz w:val="18"/>
                <w:szCs w:val="18"/>
                <w:color w:val="auto"/>
              </w:rPr>
              <w:t>(0.3)</w:t>
            </w:r>
          </w:p>
        </w:tc>
        <w:tc>
          <w:tcPr>
            <w:tcW w:w="580" w:type="dxa"/>
            <w:vAlign w:val="bottom"/>
            <w:shd w:val="clear" w:color="auto" w:fill="E6E6E6"/>
          </w:tcPr>
          <w:p>
            <w:pPr>
              <w:spacing w:after="0"/>
              <w:rPr>
                <w:sz w:val="17"/>
                <w:szCs w:val="17"/>
                <w:color w:val="auto"/>
              </w:rPr>
            </w:pPr>
          </w:p>
        </w:tc>
        <w:tc>
          <w:tcPr>
            <w:tcW w:w="780" w:type="dxa"/>
            <w:vAlign w:val="bottom"/>
            <w:shd w:val="clear" w:color="auto" w:fill="E6E6E6"/>
          </w:tcPr>
          <w:p>
            <w:pPr>
              <w:jc w:val="right"/>
              <w:ind w:right="54"/>
              <w:spacing w:after="0" w:line="202" w:lineRule="exact"/>
              <w:rPr>
                <w:sz w:val="20"/>
                <w:szCs w:val="20"/>
                <w:color w:val="auto"/>
              </w:rPr>
            </w:pPr>
            <w:r>
              <w:rPr>
                <w:rFonts w:ascii="Arial" w:cs="Arial" w:eastAsia="Arial" w:hAnsi="Arial"/>
                <w:sz w:val="18"/>
                <w:szCs w:val="18"/>
                <w:color w:val="auto"/>
              </w:rPr>
              <w:t>(5.9)</w:t>
            </w:r>
          </w:p>
        </w:tc>
        <w:tc>
          <w:tcPr>
            <w:tcW w:w="540" w:type="dxa"/>
            <w:vAlign w:val="bottom"/>
            <w:shd w:val="clear" w:color="auto" w:fill="E6E6E6"/>
          </w:tcPr>
          <w:p>
            <w:pPr>
              <w:spacing w:after="0"/>
              <w:rPr>
                <w:sz w:val="17"/>
                <w:szCs w:val="17"/>
                <w:color w:val="auto"/>
              </w:rPr>
            </w:pPr>
          </w:p>
        </w:tc>
        <w:tc>
          <w:tcPr>
            <w:tcW w:w="840" w:type="dxa"/>
            <w:vAlign w:val="bottom"/>
            <w:shd w:val="clear" w:color="auto" w:fill="E6E6E6"/>
          </w:tcPr>
          <w:p>
            <w:pPr>
              <w:jc w:val="right"/>
              <w:ind w:right="117"/>
              <w:spacing w:after="0" w:line="202" w:lineRule="exact"/>
              <w:rPr>
                <w:sz w:val="20"/>
                <w:szCs w:val="20"/>
                <w:color w:val="auto"/>
              </w:rPr>
            </w:pPr>
            <w:r>
              <w:rPr>
                <w:rFonts w:ascii="Arial" w:cs="Arial" w:eastAsia="Arial" w:hAnsi="Arial"/>
                <w:sz w:val="18"/>
                <w:szCs w:val="18"/>
                <w:color w:val="auto"/>
              </w:rPr>
              <w:t>—</w:t>
            </w:r>
          </w:p>
        </w:tc>
        <w:tc>
          <w:tcPr>
            <w:tcW w:w="680" w:type="dxa"/>
            <w:vAlign w:val="bottom"/>
            <w:shd w:val="clear" w:color="auto" w:fill="E6E6E6"/>
          </w:tcPr>
          <w:p>
            <w:pPr>
              <w:spacing w:after="0"/>
              <w:rPr>
                <w:sz w:val="17"/>
                <w:szCs w:val="17"/>
                <w:color w:val="auto"/>
              </w:rPr>
            </w:pPr>
          </w:p>
        </w:tc>
        <w:tc>
          <w:tcPr>
            <w:tcW w:w="64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(0.5)</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5820" w:type="dxa"/>
            <w:vAlign w:val="bottom"/>
          </w:tcPr>
          <w:p>
            <w:pPr>
              <w:ind w:left="160"/>
              <w:spacing w:after="0" w:line="202" w:lineRule="exact"/>
              <w:rPr>
                <w:sz w:val="20"/>
                <w:szCs w:val="20"/>
                <w:color w:val="auto"/>
              </w:rPr>
            </w:pPr>
            <w:r>
              <w:rPr>
                <w:rFonts w:ascii="Arial" w:cs="Arial" w:eastAsia="Arial" w:hAnsi="Arial"/>
                <w:sz w:val="18"/>
                <w:szCs w:val="18"/>
                <w:color w:val="auto"/>
              </w:rPr>
              <w:t>Special termination benefits</w:t>
            </w:r>
          </w:p>
        </w:tc>
        <w:tc>
          <w:tcPr>
            <w:tcW w:w="445" w:type="dxa"/>
            <w:vAlign w:val="bottom"/>
          </w:tcPr>
          <w:p>
            <w:pPr>
              <w:spacing w:after="0"/>
              <w:rPr>
                <w:sz w:val="17"/>
                <w:szCs w:val="17"/>
                <w:color w:val="auto"/>
              </w:rPr>
            </w:pPr>
          </w:p>
        </w:tc>
        <w:tc>
          <w:tcPr>
            <w:tcW w:w="1095" w:type="dxa"/>
            <w:vAlign w:val="bottom"/>
          </w:tcPr>
          <w:p>
            <w:pPr>
              <w:jc w:val="right"/>
              <w:ind w:right="115"/>
              <w:spacing w:after="0" w:line="202" w:lineRule="exact"/>
              <w:rPr>
                <w:sz w:val="20"/>
                <w:szCs w:val="20"/>
                <w:color w:val="auto"/>
              </w:rPr>
            </w:pPr>
            <w:r>
              <w:rPr>
                <w:rFonts w:ascii="Arial" w:cs="Arial" w:eastAsia="Arial" w:hAnsi="Arial"/>
                <w:sz w:val="18"/>
                <w:szCs w:val="18"/>
                <w:color w:val="auto"/>
              </w:rPr>
              <w:t>—</w:t>
            </w:r>
          </w:p>
        </w:tc>
        <w:tc>
          <w:tcPr>
            <w:tcW w:w="580" w:type="dxa"/>
            <w:vAlign w:val="bottom"/>
          </w:tcPr>
          <w:p>
            <w:pPr>
              <w:spacing w:after="0"/>
              <w:rPr>
                <w:sz w:val="17"/>
                <w:szCs w:val="17"/>
                <w:color w:val="auto"/>
              </w:rPr>
            </w:pPr>
          </w:p>
        </w:tc>
        <w:tc>
          <w:tcPr>
            <w:tcW w:w="780" w:type="dxa"/>
            <w:vAlign w:val="bottom"/>
          </w:tcPr>
          <w:p>
            <w:pPr>
              <w:jc w:val="right"/>
              <w:ind w:right="94"/>
              <w:spacing w:after="0" w:line="202" w:lineRule="exact"/>
              <w:rPr>
                <w:sz w:val="20"/>
                <w:szCs w:val="20"/>
                <w:color w:val="auto"/>
              </w:rPr>
            </w:pPr>
            <w:r>
              <w:rPr>
                <w:rFonts w:ascii="Arial" w:cs="Arial" w:eastAsia="Arial" w:hAnsi="Arial"/>
                <w:sz w:val="18"/>
                <w:szCs w:val="18"/>
                <w:color w:val="auto"/>
              </w:rPr>
              <w:t>0.7</w:t>
            </w:r>
          </w:p>
        </w:tc>
        <w:tc>
          <w:tcPr>
            <w:tcW w:w="540" w:type="dxa"/>
            <w:vAlign w:val="bottom"/>
          </w:tcPr>
          <w:p>
            <w:pPr>
              <w:spacing w:after="0"/>
              <w:rPr>
                <w:sz w:val="17"/>
                <w:szCs w:val="17"/>
                <w:color w:val="auto"/>
              </w:rPr>
            </w:pPr>
          </w:p>
        </w:tc>
        <w:tc>
          <w:tcPr>
            <w:tcW w:w="840" w:type="dxa"/>
            <w:vAlign w:val="bottom"/>
          </w:tcPr>
          <w:p>
            <w:pPr>
              <w:jc w:val="right"/>
              <w:ind w:right="117"/>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spacing w:after="0"/>
              <w:rPr>
                <w:sz w:val="17"/>
                <w:szCs w:val="17"/>
                <w:color w:val="auto"/>
              </w:rPr>
            </w:pPr>
          </w:p>
        </w:tc>
        <w:tc>
          <w:tcPr>
            <w:tcW w:w="6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r>
      <w:tr>
        <w:trPr>
          <w:trHeight w:val="203"/>
        </w:trPr>
        <w:tc>
          <w:tcPr>
            <w:tcW w:w="5820" w:type="dxa"/>
            <w:vAlign w:val="bottom"/>
            <w:shd w:val="clear" w:color="auto" w:fill="E6E6E6"/>
          </w:tcPr>
          <w:p>
            <w:pPr>
              <w:ind w:left="160"/>
              <w:spacing w:after="0" w:line="202" w:lineRule="exact"/>
              <w:rPr>
                <w:sz w:val="20"/>
                <w:szCs w:val="20"/>
                <w:color w:val="auto"/>
              </w:rPr>
            </w:pPr>
            <w:r>
              <w:rPr>
                <w:rFonts w:ascii="Arial" w:cs="Arial" w:eastAsia="Arial" w:hAnsi="Arial"/>
                <w:sz w:val="18"/>
                <w:szCs w:val="18"/>
                <w:color w:val="auto"/>
              </w:rPr>
              <w:t>Actuarial (gains) losses</w:t>
            </w:r>
          </w:p>
        </w:tc>
        <w:tc>
          <w:tcPr>
            <w:tcW w:w="445" w:type="dxa"/>
            <w:vAlign w:val="bottom"/>
            <w:shd w:val="clear" w:color="auto" w:fill="E6E6E6"/>
          </w:tcPr>
          <w:p>
            <w:pPr>
              <w:spacing w:after="0"/>
              <w:rPr>
                <w:sz w:val="17"/>
                <w:szCs w:val="17"/>
                <w:color w:val="auto"/>
              </w:rPr>
            </w:pPr>
          </w:p>
        </w:tc>
        <w:tc>
          <w:tcPr>
            <w:tcW w:w="1095" w:type="dxa"/>
            <w:vAlign w:val="bottom"/>
            <w:shd w:val="clear" w:color="auto" w:fill="E6E6E6"/>
          </w:tcPr>
          <w:p>
            <w:pPr>
              <w:jc w:val="right"/>
              <w:ind w:right="115"/>
              <w:spacing w:after="0" w:line="202" w:lineRule="exact"/>
              <w:rPr>
                <w:sz w:val="20"/>
                <w:szCs w:val="20"/>
                <w:color w:val="auto"/>
              </w:rPr>
            </w:pPr>
            <w:r>
              <w:rPr>
                <w:rFonts w:ascii="Arial" w:cs="Arial" w:eastAsia="Arial" w:hAnsi="Arial"/>
                <w:sz w:val="18"/>
                <w:szCs w:val="18"/>
                <w:color w:val="auto"/>
              </w:rPr>
              <w:t>21.4</w:t>
            </w:r>
          </w:p>
        </w:tc>
        <w:tc>
          <w:tcPr>
            <w:tcW w:w="580" w:type="dxa"/>
            <w:vAlign w:val="bottom"/>
            <w:shd w:val="clear" w:color="auto" w:fill="E6E6E6"/>
          </w:tcPr>
          <w:p>
            <w:pPr>
              <w:spacing w:after="0"/>
              <w:rPr>
                <w:sz w:val="17"/>
                <w:szCs w:val="17"/>
                <w:color w:val="auto"/>
              </w:rPr>
            </w:pPr>
          </w:p>
        </w:tc>
        <w:tc>
          <w:tcPr>
            <w:tcW w:w="780" w:type="dxa"/>
            <w:vAlign w:val="bottom"/>
            <w:shd w:val="clear" w:color="auto" w:fill="E6E6E6"/>
          </w:tcPr>
          <w:p>
            <w:pPr>
              <w:jc w:val="right"/>
              <w:ind w:right="54"/>
              <w:spacing w:after="0" w:line="202" w:lineRule="exact"/>
              <w:rPr>
                <w:sz w:val="20"/>
                <w:szCs w:val="20"/>
                <w:color w:val="auto"/>
              </w:rPr>
            </w:pPr>
            <w:r>
              <w:rPr>
                <w:rFonts w:ascii="Arial" w:cs="Arial" w:eastAsia="Arial" w:hAnsi="Arial"/>
                <w:sz w:val="18"/>
                <w:szCs w:val="18"/>
                <w:color w:val="auto"/>
              </w:rPr>
              <w:t>(5.3)</w:t>
            </w:r>
          </w:p>
        </w:tc>
        <w:tc>
          <w:tcPr>
            <w:tcW w:w="540" w:type="dxa"/>
            <w:vAlign w:val="bottom"/>
            <w:shd w:val="clear" w:color="auto" w:fill="E6E6E6"/>
          </w:tcPr>
          <w:p>
            <w:pPr>
              <w:spacing w:after="0"/>
              <w:rPr>
                <w:sz w:val="17"/>
                <w:szCs w:val="17"/>
                <w:color w:val="auto"/>
              </w:rPr>
            </w:pPr>
          </w:p>
        </w:tc>
        <w:tc>
          <w:tcPr>
            <w:tcW w:w="840" w:type="dxa"/>
            <w:vAlign w:val="bottom"/>
            <w:shd w:val="clear" w:color="auto" w:fill="E6E6E6"/>
          </w:tcPr>
          <w:p>
            <w:pPr>
              <w:jc w:val="right"/>
              <w:ind w:right="117"/>
              <w:spacing w:after="0" w:line="202" w:lineRule="exact"/>
              <w:rPr>
                <w:sz w:val="20"/>
                <w:szCs w:val="20"/>
                <w:color w:val="auto"/>
              </w:rPr>
            </w:pPr>
            <w:r>
              <w:rPr>
                <w:rFonts w:ascii="Arial" w:cs="Arial" w:eastAsia="Arial" w:hAnsi="Arial"/>
                <w:sz w:val="18"/>
                <w:szCs w:val="18"/>
                <w:color w:val="auto"/>
              </w:rPr>
              <w:t>12.0</w:t>
            </w:r>
          </w:p>
        </w:tc>
        <w:tc>
          <w:tcPr>
            <w:tcW w:w="680" w:type="dxa"/>
            <w:vAlign w:val="bottom"/>
            <w:shd w:val="clear" w:color="auto" w:fill="E6E6E6"/>
          </w:tcPr>
          <w:p>
            <w:pPr>
              <w:spacing w:after="0"/>
              <w:rPr>
                <w:sz w:val="17"/>
                <w:szCs w:val="17"/>
                <w:color w:val="auto"/>
              </w:rPr>
            </w:pPr>
          </w:p>
        </w:tc>
        <w:tc>
          <w:tcPr>
            <w:tcW w:w="64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(7.0)</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5820" w:type="dxa"/>
            <w:vAlign w:val="bottom"/>
          </w:tcPr>
          <w:p>
            <w:pPr>
              <w:ind w:left="160"/>
              <w:spacing w:after="0" w:line="202" w:lineRule="exact"/>
              <w:rPr>
                <w:sz w:val="20"/>
                <w:szCs w:val="20"/>
                <w:color w:val="auto"/>
              </w:rPr>
            </w:pPr>
            <w:r>
              <w:rPr>
                <w:rFonts w:ascii="Arial" w:cs="Arial" w:eastAsia="Arial" w:hAnsi="Arial"/>
                <w:sz w:val="18"/>
                <w:szCs w:val="18"/>
                <w:color w:val="auto"/>
              </w:rPr>
              <w:t>Foreign currency translation</w:t>
            </w:r>
          </w:p>
        </w:tc>
        <w:tc>
          <w:tcPr>
            <w:tcW w:w="445" w:type="dxa"/>
            <w:vAlign w:val="bottom"/>
          </w:tcPr>
          <w:p>
            <w:pPr>
              <w:spacing w:after="0"/>
              <w:rPr>
                <w:sz w:val="17"/>
                <w:szCs w:val="17"/>
                <w:color w:val="auto"/>
              </w:rPr>
            </w:pPr>
          </w:p>
        </w:tc>
        <w:tc>
          <w:tcPr>
            <w:tcW w:w="1095" w:type="dxa"/>
            <w:vAlign w:val="bottom"/>
          </w:tcPr>
          <w:p>
            <w:pPr>
              <w:jc w:val="right"/>
              <w:ind w:right="55"/>
              <w:spacing w:after="0" w:line="202" w:lineRule="exact"/>
              <w:rPr>
                <w:sz w:val="20"/>
                <w:szCs w:val="20"/>
                <w:color w:val="auto"/>
              </w:rPr>
            </w:pPr>
            <w:r>
              <w:rPr>
                <w:rFonts w:ascii="Arial" w:cs="Arial" w:eastAsia="Arial" w:hAnsi="Arial"/>
                <w:sz w:val="18"/>
                <w:szCs w:val="18"/>
                <w:color w:val="auto"/>
              </w:rPr>
              <w:t>(2.6)</w:t>
            </w:r>
          </w:p>
        </w:tc>
        <w:tc>
          <w:tcPr>
            <w:tcW w:w="580" w:type="dxa"/>
            <w:vAlign w:val="bottom"/>
          </w:tcPr>
          <w:p>
            <w:pPr>
              <w:spacing w:after="0"/>
              <w:rPr>
                <w:sz w:val="17"/>
                <w:szCs w:val="17"/>
                <w:color w:val="auto"/>
              </w:rPr>
            </w:pPr>
          </w:p>
        </w:tc>
        <w:tc>
          <w:tcPr>
            <w:tcW w:w="780" w:type="dxa"/>
            <w:vAlign w:val="bottom"/>
          </w:tcPr>
          <w:p>
            <w:pPr>
              <w:jc w:val="right"/>
              <w:ind w:right="54"/>
              <w:spacing w:after="0" w:line="202" w:lineRule="exact"/>
              <w:rPr>
                <w:sz w:val="20"/>
                <w:szCs w:val="20"/>
                <w:color w:val="auto"/>
              </w:rPr>
            </w:pPr>
            <w:r>
              <w:rPr>
                <w:rFonts w:ascii="Arial" w:cs="Arial" w:eastAsia="Arial" w:hAnsi="Arial"/>
                <w:sz w:val="18"/>
                <w:szCs w:val="18"/>
                <w:color w:val="auto"/>
              </w:rPr>
              <w:t>(6.0)</w:t>
            </w:r>
          </w:p>
        </w:tc>
        <w:tc>
          <w:tcPr>
            <w:tcW w:w="540" w:type="dxa"/>
            <w:vAlign w:val="bottom"/>
          </w:tcPr>
          <w:p>
            <w:pPr>
              <w:spacing w:after="0"/>
              <w:rPr>
                <w:sz w:val="17"/>
                <w:szCs w:val="17"/>
                <w:color w:val="auto"/>
              </w:rPr>
            </w:pPr>
          </w:p>
        </w:tc>
        <w:tc>
          <w:tcPr>
            <w:tcW w:w="840" w:type="dxa"/>
            <w:vAlign w:val="bottom"/>
          </w:tcPr>
          <w:p>
            <w:pPr>
              <w:jc w:val="right"/>
              <w:ind w:right="117"/>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spacing w:after="0"/>
              <w:rPr>
                <w:sz w:val="17"/>
                <w:szCs w:val="17"/>
                <w:color w:val="auto"/>
              </w:rPr>
            </w:pPr>
          </w:p>
        </w:tc>
        <w:tc>
          <w:tcPr>
            <w:tcW w:w="6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r>
      <w:tr>
        <w:trPr>
          <w:trHeight w:val="203"/>
        </w:trPr>
        <w:tc>
          <w:tcPr>
            <w:tcW w:w="5820" w:type="dxa"/>
            <w:vAlign w:val="bottom"/>
            <w:shd w:val="clear" w:color="auto" w:fill="E6E6E6"/>
          </w:tcPr>
          <w:p>
            <w:pPr>
              <w:ind w:left="160"/>
              <w:spacing w:after="0" w:line="202" w:lineRule="exact"/>
              <w:rPr>
                <w:sz w:val="20"/>
                <w:szCs w:val="20"/>
                <w:color w:val="auto"/>
              </w:rPr>
            </w:pPr>
            <w:r>
              <w:rPr>
                <w:rFonts w:ascii="Arial" w:cs="Arial" w:eastAsia="Arial" w:hAnsi="Arial"/>
                <w:sz w:val="18"/>
                <w:szCs w:val="18"/>
                <w:color w:val="auto"/>
              </w:rPr>
              <w:t>Benefits paid</w:t>
            </w:r>
          </w:p>
        </w:tc>
        <w:tc>
          <w:tcPr>
            <w:tcW w:w="445" w:type="dxa"/>
            <w:vAlign w:val="bottom"/>
            <w:shd w:val="clear" w:color="auto" w:fill="E6E6E6"/>
          </w:tcPr>
          <w:p>
            <w:pPr>
              <w:spacing w:after="0"/>
              <w:rPr>
                <w:sz w:val="17"/>
                <w:szCs w:val="17"/>
                <w:color w:val="auto"/>
              </w:rPr>
            </w:pPr>
          </w:p>
        </w:tc>
        <w:tc>
          <w:tcPr>
            <w:tcW w:w="1095" w:type="dxa"/>
            <w:vAlign w:val="bottom"/>
            <w:shd w:val="clear" w:color="auto" w:fill="E6E6E6"/>
          </w:tcPr>
          <w:p>
            <w:pPr>
              <w:jc w:val="right"/>
              <w:ind w:right="55"/>
              <w:spacing w:after="0" w:line="202" w:lineRule="exact"/>
              <w:rPr>
                <w:sz w:val="20"/>
                <w:szCs w:val="20"/>
                <w:color w:val="auto"/>
              </w:rPr>
            </w:pPr>
            <w:r>
              <w:rPr>
                <w:rFonts w:ascii="Arial" w:cs="Arial" w:eastAsia="Arial" w:hAnsi="Arial"/>
                <w:sz w:val="18"/>
                <w:szCs w:val="18"/>
                <w:color w:val="auto"/>
              </w:rPr>
              <w:t>(9.8)</w:t>
            </w:r>
          </w:p>
        </w:tc>
        <w:tc>
          <w:tcPr>
            <w:tcW w:w="580" w:type="dxa"/>
            <w:vAlign w:val="bottom"/>
            <w:shd w:val="clear" w:color="auto" w:fill="E6E6E6"/>
          </w:tcPr>
          <w:p>
            <w:pPr>
              <w:spacing w:after="0"/>
              <w:rPr>
                <w:sz w:val="17"/>
                <w:szCs w:val="17"/>
                <w:color w:val="auto"/>
              </w:rPr>
            </w:pPr>
          </w:p>
        </w:tc>
        <w:tc>
          <w:tcPr>
            <w:tcW w:w="780" w:type="dxa"/>
            <w:vAlign w:val="bottom"/>
            <w:shd w:val="clear" w:color="auto" w:fill="E6E6E6"/>
          </w:tcPr>
          <w:p>
            <w:pPr>
              <w:jc w:val="right"/>
              <w:ind w:right="54"/>
              <w:spacing w:after="0" w:line="202" w:lineRule="exact"/>
              <w:rPr>
                <w:sz w:val="20"/>
                <w:szCs w:val="20"/>
                <w:color w:val="auto"/>
              </w:rPr>
            </w:pPr>
            <w:r>
              <w:rPr>
                <w:rFonts w:ascii="Arial" w:cs="Arial" w:eastAsia="Arial" w:hAnsi="Arial"/>
                <w:sz w:val="18"/>
                <w:szCs w:val="18"/>
                <w:color w:val="auto"/>
              </w:rPr>
              <w:t>(21.4)</w:t>
            </w:r>
          </w:p>
        </w:tc>
        <w:tc>
          <w:tcPr>
            <w:tcW w:w="540" w:type="dxa"/>
            <w:vAlign w:val="bottom"/>
            <w:shd w:val="clear" w:color="auto" w:fill="E6E6E6"/>
          </w:tcPr>
          <w:p>
            <w:pPr>
              <w:spacing w:after="0"/>
              <w:rPr>
                <w:sz w:val="17"/>
                <w:szCs w:val="17"/>
                <w:color w:val="auto"/>
              </w:rPr>
            </w:pPr>
          </w:p>
        </w:tc>
        <w:tc>
          <w:tcPr>
            <w:tcW w:w="840" w:type="dxa"/>
            <w:vAlign w:val="bottom"/>
            <w:shd w:val="clear" w:color="auto" w:fill="E6E6E6"/>
          </w:tcPr>
          <w:p>
            <w:pPr>
              <w:jc w:val="right"/>
              <w:ind w:right="57"/>
              <w:spacing w:after="0" w:line="202" w:lineRule="exact"/>
              <w:rPr>
                <w:sz w:val="20"/>
                <w:szCs w:val="20"/>
                <w:color w:val="auto"/>
              </w:rPr>
            </w:pPr>
            <w:r>
              <w:rPr>
                <w:rFonts w:ascii="Arial" w:cs="Arial" w:eastAsia="Arial" w:hAnsi="Arial"/>
                <w:sz w:val="18"/>
                <w:szCs w:val="18"/>
                <w:color w:val="auto"/>
              </w:rPr>
              <w:t>(2.9)</w:t>
            </w:r>
          </w:p>
        </w:tc>
        <w:tc>
          <w:tcPr>
            <w:tcW w:w="680" w:type="dxa"/>
            <w:vAlign w:val="bottom"/>
            <w:shd w:val="clear" w:color="auto" w:fill="E6E6E6"/>
          </w:tcPr>
          <w:p>
            <w:pPr>
              <w:spacing w:after="0"/>
              <w:rPr>
                <w:sz w:val="17"/>
                <w:szCs w:val="17"/>
                <w:color w:val="auto"/>
              </w:rPr>
            </w:pPr>
          </w:p>
        </w:tc>
        <w:tc>
          <w:tcPr>
            <w:tcW w:w="64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(2.7)</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08"/>
        </w:trPr>
        <w:tc>
          <w:tcPr>
            <w:tcW w:w="5820" w:type="dxa"/>
            <w:vAlign w:val="bottom"/>
            <w:tcBorders>
              <w:bottom w:val="single" w:sz="8" w:color="808080"/>
            </w:tcBorders>
          </w:tcPr>
          <w:p>
            <w:pPr>
              <w:spacing w:after="0"/>
              <w:rPr>
                <w:sz w:val="9"/>
                <w:szCs w:val="9"/>
                <w:color w:val="auto"/>
              </w:rPr>
            </w:pPr>
          </w:p>
        </w:tc>
        <w:tc>
          <w:tcPr>
            <w:tcW w:w="445" w:type="dxa"/>
            <w:vAlign w:val="bottom"/>
            <w:tcBorders>
              <w:bottom w:val="single" w:sz="8" w:color="808080"/>
            </w:tcBorders>
          </w:tcPr>
          <w:p>
            <w:pPr>
              <w:spacing w:after="0"/>
              <w:rPr>
                <w:sz w:val="9"/>
                <w:szCs w:val="9"/>
                <w:color w:val="auto"/>
              </w:rPr>
            </w:pPr>
          </w:p>
        </w:tc>
        <w:tc>
          <w:tcPr>
            <w:tcW w:w="1095"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316"/>
        </w:trPr>
        <w:tc>
          <w:tcPr>
            <w:tcW w:w="5820" w:type="dxa"/>
            <w:vAlign w:val="bottom"/>
          </w:tcPr>
          <w:p>
            <w:pPr>
              <w:spacing w:after="0"/>
              <w:rPr>
                <w:sz w:val="20"/>
                <w:szCs w:val="20"/>
                <w:color w:val="auto"/>
              </w:rPr>
            </w:pPr>
            <w:r>
              <w:rPr>
                <w:rFonts w:ascii="Arial" w:cs="Arial" w:eastAsia="Arial" w:hAnsi="Arial"/>
                <w:sz w:val="18"/>
                <w:szCs w:val="18"/>
                <w:b w:val="1"/>
                <w:bCs w:val="1"/>
                <w:color w:val="auto"/>
              </w:rPr>
              <w:t>Benefit obligation at end of year</w:t>
            </w:r>
          </w:p>
        </w:tc>
        <w:tc>
          <w:tcPr>
            <w:tcW w:w="445"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95" w:type="dxa"/>
            <w:vAlign w:val="bottom"/>
          </w:tcPr>
          <w:p>
            <w:pPr>
              <w:jc w:val="right"/>
              <w:ind w:right="115"/>
              <w:spacing w:after="0"/>
              <w:rPr>
                <w:sz w:val="20"/>
                <w:szCs w:val="20"/>
                <w:color w:val="auto"/>
              </w:rPr>
            </w:pPr>
            <w:r>
              <w:rPr>
                <w:rFonts w:ascii="Arial" w:cs="Arial" w:eastAsia="Arial" w:hAnsi="Arial"/>
                <w:sz w:val="18"/>
                <w:szCs w:val="18"/>
                <w:b w:val="1"/>
                <w:bCs w:val="1"/>
                <w:color w:val="auto"/>
              </w:rPr>
              <w:t>171.1</w:t>
            </w:r>
          </w:p>
        </w:tc>
        <w:tc>
          <w:tcPr>
            <w:tcW w:w="580" w:type="dxa"/>
            <w:vAlign w:val="bottom"/>
          </w:tcPr>
          <w:p>
            <w:pPr>
              <w:jc w:val="right"/>
              <w:ind w:right="252"/>
              <w:spacing w:after="0"/>
              <w:rPr>
                <w:sz w:val="20"/>
                <w:szCs w:val="20"/>
                <w:color w:val="auto"/>
              </w:rPr>
            </w:pPr>
            <w:r>
              <w:rPr>
                <w:rFonts w:ascii="Arial" w:cs="Arial" w:eastAsia="Arial" w:hAnsi="Arial"/>
                <w:sz w:val="18"/>
                <w:szCs w:val="18"/>
                <w:b w:val="1"/>
                <w:bCs w:val="1"/>
                <w:color w:val="auto"/>
              </w:rPr>
              <w:t>$</w:t>
            </w:r>
          </w:p>
        </w:tc>
        <w:tc>
          <w:tcPr>
            <w:tcW w:w="780" w:type="dxa"/>
            <w:vAlign w:val="bottom"/>
          </w:tcPr>
          <w:p>
            <w:pPr>
              <w:jc w:val="right"/>
              <w:ind w:right="114"/>
              <w:spacing w:after="0"/>
              <w:rPr>
                <w:sz w:val="20"/>
                <w:szCs w:val="20"/>
                <w:color w:val="auto"/>
              </w:rPr>
            </w:pPr>
            <w:r>
              <w:rPr>
                <w:rFonts w:ascii="Arial" w:cs="Arial" w:eastAsia="Arial" w:hAnsi="Arial"/>
                <w:sz w:val="18"/>
                <w:szCs w:val="18"/>
                <w:b w:val="1"/>
                <w:bCs w:val="1"/>
                <w:color w:val="auto"/>
              </w:rPr>
              <w:t>153.9</w:t>
            </w:r>
          </w:p>
        </w:tc>
        <w:tc>
          <w:tcPr>
            <w:tcW w:w="540" w:type="dxa"/>
            <w:vAlign w:val="bottom"/>
          </w:tcPr>
          <w:p>
            <w:pPr>
              <w:jc w:val="right"/>
              <w:ind w:right="212"/>
              <w:spacing w:after="0"/>
              <w:rPr>
                <w:sz w:val="20"/>
                <w:szCs w:val="20"/>
                <w:color w:val="auto"/>
              </w:rPr>
            </w:pPr>
            <w:r>
              <w:rPr>
                <w:rFonts w:ascii="Arial" w:cs="Arial" w:eastAsia="Arial" w:hAnsi="Arial"/>
                <w:sz w:val="18"/>
                <w:szCs w:val="18"/>
                <w:b w:val="1"/>
                <w:bCs w:val="1"/>
                <w:color w:val="auto"/>
              </w:rPr>
              <w:t>$</w:t>
            </w:r>
          </w:p>
        </w:tc>
        <w:tc>
          <w:tcPr>
            <w:tcW w:w="840" w:type="dxa"/>
            <w:vAlign w:val="bottom"/>
          </w:tcPr>
          <w:p>
            <w:pPr>
              <w:jc w:val="right"/>
              <w:ind w:right="117"/>
              <w:spacing w:after="0"/>
              <w:rPr>
                <w:sz w:val="20"/>
                <w:szCs w:val="20"/>
                <w:color w:val="auto"/>
              </w:rPr>
            </w:pPr>
            <w:r>
              <w:rPr>
                <w:rFonts w:ascii="Arial" w:cs="Arial" w:eastAsia="Arial" w:hAnsi="Arial"/>
                <w:sz w:val="18"/>
                <w:szCs w:val="18"/>
                <w:b w:val="1"/>
                <w:bCs w:val="1"/>
                <w:color w:val="auto"/>
              </w:rPr>
              <w:t>34.4</w:t>
            </w:r>
          </w:p>
        </w:tc>
        <w:tc>
          <w:tcPr>
            <w:tcW w:w="680" w:type="dxa"/>
            <w:vAlign w:val="bottom"/>
          </w:tcPr>
          <w:p>
            <w:pPr>
              <w:jc w:val="right"/>
              <w:ind w:right="352"/>
              <w:spacing w:after="0"/>
              <w:rPr>
                <w:sz w:val="20"/>
                <w:szCs w:val="20"/>
                <w:color w:val="auto"/>
              </w:rPr>
            </w:pPr>
            <w:r>
              <w:rPr>
                <w:rFonts w:ascii="Arial" w:cs="Arial" w:eastAsia="Arial" w:hAnsi="Arial"/>
                <w:sz w:val="18"/>
                <w:szCs w:val="18"/>
                <w:b w:val="1"/>
                <w:bCs w:val="1"/>
                <w:color w:val="auto"/>
              </w:rPr>
              <w:t>$</w:t>
            </w:r>
          </w:p>
        </w:tc>
        <w:tc>
          <w:tcPr>
            <w:tcW w:w="640" w:type="dxa"/>
            <w:vAlign w:val="bottom"/>
          </w:tcPr>
          <w:p>
            <w:pPr>
              <w:jc w:val="right"/>
              <w:ind w:right="34"/>
              <w:spacing w:after="0"/>
              <w:rPr>
                <w:sz w:val="20"/>
                <w:szCs w:val="20"/>
                <w:color w:val="auto"/>
              </w:rPr>
            </w:pPr>
            <w:r>
              <w:rPr>
                <w:rFonts w:ascii="Arial" w:cs="Arial" w:eastAsia="Arial" w:hAnsi="Arial"/>
                <w:sz w:val="18"/>
                <w:szCs w:val="18"/>
                <w:b w:val="1"/>
                <w:bCs w:val="1"/>
                <w:color w:val="auto"/>
              </w:rPr>
              <w:t>23.3</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20"/>
        </w:trPr>
        <w:tc>
          <w:tcPr>
            <w:tcW w:w="5820" w:type="dxa"/>
            <w:vAlign w:val="bottom"/>
            <w:tcBorders>
              <w:bottom w:val="single" w:sz="8" w:color="808080"/>
            </w:tcBorders>
          </w:tcPr>
          <w:p>
            <w:pPr>
              <w:spacing w:after="0"/>
              <w:rPr>
                <w:sz w:val="10"/>
                <w:szCs w:val="10"/>
                <w:color w:val="auto"/>
              </w:rPr>
            </w:pPr>
          </w:p>
        </w:tc>
        <w:tc>
          <w:tcPr>
            <w:tcW w:w="445" w:type="dxa"/>
            <w:vAlign w:val="bottom"/>
            <w:tcBorders>
              <w:bottom w:val="single" w:sz="8" w:color="808080"/>
            </w:tcBorders>
          </w:tcPr>
          <w:p>
            <w:pPr>
              <w:spacing w:after="0"/>
              <w:rPr>
                <w:sz w:val="10"/>
                <w:szCs w:val="10"/>
                <w:color w:val="auto"/>
              </w:rPr>
            </w:pPr>
          </w:p>
        </w:tc>
        <w:tc>
          <w:tcPr>
            <w:tcW w:w="1095"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-29210</wp:posOffset>
            </wp:positionV>
            <wp:extent cx="12700" cy="29845"/>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3896360</wp:posOffset>
            </wp:positionH>
            <wp:positionV relativeFrom="paragraph">
              <wp:posOffset>-29210</wp:posOffset>
            </wp:positionV>
            <wp:extent cx="12700" cy="29845"/>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3964940</wp:posOffset>
            </wp:positionH>
            <wp:positionV relativeFrom="paragraph">
              <wp:posOffset>-29210</wp:posOffset>
            </wp:positionV>
            <wp:extent cx="12700" cy="29845"/>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-29210</wp:posOffset>
            </wp:positionV>
            <wp:extent cx="12700" cy="29845"/>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-29210</wp:posOffset>
            </wp:positionV>
            <wp:extent cx="12700" cy="29845"/>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-29210</wp:posOffset>
            </wp:positionV>
            <wp:extent cx="12700" cy="29845"/>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5414645</wp:posOffset>
            </wp:positionH>
            <wp:positionV relativeFrom="paragraph">
              <wp:posOffset>-29210</wp:posOffset>
            </wp:positionV>
            <wp:extent cx="12700" cy="29845"/>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-29210</wp:posOffset>
            </wp:positionV>
            <wp:extent cx="12700" cy="29845"/>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-29210</wp:posOffset>
            </wp:positionV>
            <wp:extent cx="12700" cy="29845"/>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-29210</wp:posOffset>
            </wp:positionV>
            <wp:extent cx="12700" cy="29845"/>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6503670</wp:posOffset>
            </wp:positionH>
            <wp:positionV relativeFrom="paragraph">
              <wp:posOffset>-29210</wp:posOffset>
            </wp:positionV>
            <wp:extent cx="12700" cy="29845"/>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-29210</wp:posOffset>
            </wp:positionV>
            <wp:extent cx="12700" cy="29845"/>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-29210</wp:posOffset>
            </wp:positionV>
            <wp:extent cx="12700" cy="29845"/>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2663825</wp:posOffset>
            </wp:positionH>
            <wp:positionV relativeFrom="paragraph">
              <wp:posOffset>203835</wp:posOffset>
            </wp:positionV>
            <wp:extent cx="1929765" cy="231775"/>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1929765"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38735"/>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60"/>
          </w:cols>
          <w:pgMar w:left="240" w:top="833" w:right="199" w:bottom="1440" w:gutter="0" w:footer="0" w:header="0"/>
          <w:type w:val="continuous"/>
        </w:sectPr>
      </w:pPr>
    </w:p>
    <w:bookmarkStart w:id="73" w:name="page74"/>
    <w:bookmarkEnd w:id="7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7263765" cy="8890"/>
                    </a:xfrm>
                    <a:prstGeom prst="rect">
                      <a:avLst/>
                    </a:prstGeom>
                    <a:noFill/>
                  </pic:spPr>
                </pic:pic>
              </a:graphicData>
            </a:graphic>
          </wp:anchor>
        </w:drawing>
        <w:t>The following table sets forth the change in plan assets for the Pension Plans and Post-Retirement Benefits at May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263765" cy="8890"/>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70" w:type="dxa"/>
            <w:vAlign w:val="bottom"/>
          </w:tcPr>
          <w:p>
            <w:pPr>
              <w:spacing w:after="0"/>
              <w:rPr>
                <w:sz w:val="14"/>
                <w:szCs w:val="14"/>
                <w:color w:val="auto"/>
              </w:rPr>
            </w:pPr>
          </w:p>
        </w:tc>
        <w:tc>
          <w:tcPr>
            <w:tcW w:w="1830" w:type="dxa"/>
            <w:vAlign w:val="bottom"/>
            <w:gridSpan w:val="2"/>
          </w:tcPr>
          <w:p>
            <w:pPr>
              <w:jc w:val="right"/>
              <w:ind w:right="132"/>
              <w:spacing w:after="0"/>
              <w:rPr>
                <w:sz w:val="20"/>
                <w:szCs w:val="20"/>
                <w:color w:val="auto"/>
              </w:rPr>
            </w:pPr>
            <w:r>
              <w:rPr>
                <w:rFonts w:ascii="Arial" w:cs="Arial" w:eastAsia="Arial" w:hAnsi="Arial"/>
                <w:sz w:val="14"/>
                <w:szCs w:val="14"/>
                <w:b w:val="1"/>
                <w:bCs w:val="1"/>
                <w:color w:val="auto"/>
              </w:rPr>
              <w:t>Post-Retirement</w:t>
            </w: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8"/>
        </w:trPr>
        <w:tc>
          <w:tcPr>
            <w:tcW w:w="49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680" w:type="dxa"/>
            <w:vAlign w:val="bottom"/>
            <w:gridSpan w:val="2"/>
          </w:tcPr>
          <w:p>
            <w:pPr>
              <w:jc w:val="right"/>
              <w:ind w:right="52"/>
              <w:spacing w:after="0"/>
              <w:rPr>
                <w:sz w:val="20"/>
                <w:szCs w:val="20"/>
                <w:color w:val="auto"/>
              </w:rPr>
            </w:pPr>
            <w:r>
              <w:rPr>
                <w:rFonts w:ascii="Arial" w:cs="Arial" w:eastAsia="Arial" w:hAnsi="Arial"/>
                <w:sz w:val="14"/>
                <w:szCs w:val="14"/>
                <w:b w:val="1"/>
                <w:bCs w:val="1"/>
                <w:color w:val="auto"/>
              </w:rPr>
              <w:t>Pension Plans</w:t>
            </w:r>
          </w:p>
        </w:tc>
        <w:tc>
          <w:tcPr>
            <w:tcW w:w="780" w:type="dxa"/>
            <w:vAlign w:val="bottom"/>
          </w:tcPr>
          <w:p>
            <w:pPr>
              <w:spacing w:after="0"/>
              <w:rPr>
                <w:sz w:val="15"/>
                <w:szCs w:val="15"/>
                <w:color w:val="auto"/>
              </w:rPr>
            </w:pPr>
          </w:p>
        </w:tc>
        <w:tc>
          <w:tcPr>
            <w:tcW w:w="270" w:type="dxa"/>
            <w:vAlign w:val="bottom"/>
          </w:tcPr>
          <w:p>
            <w:pPr>
              <w:spacing w:after="0"/>
              <w:rPr>
                <w:sz w:val="15"/>
                <w:szCs w:val="15"/>
                <w:color w:val="auto"/>
              </w:rPr>
            </w:pPr>
          </w:p>
        </w:tc>
        <w:tc>
          <w:tcPr>
            <w:tcW w:w="1830" w:type="dxa"/>
            <w:vAlign w:val="bottom"/>
            <w:gridSpan w:val="2"/>
          </w:tcPr>
          <w:p>
            <w:pPr>
              <w:jc w:val="right"/>
              <w:ind w:right="392"/>
              <w:spacing w:after="0"/>
              <w:rPr>
                <w:sz w:val="20"/>
                <w:szCs w:val="20"/>
                <w:color w:val="auto"/>
              </w:rPr>
            </w:pPr>
            <w:r>
              <w:rPr>
                <w:rFonts w:ascii="Arial" w:cs="Arial" w:eastAsia="Arial" w:hAnsi="Arial"/>
                <w:sz w:val="14"/>
                <w:szCs w:val="14"/>
                <w:b w:val="1"/>
                <w:bCs w:val="1"/>
                <w:color w:val="auto"/>
              </w:rPr>
              <w:t>Benefits</w:t>
            </w: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95"/>
        </w:trPr>
        <w:tc>
          <w:tcPr>
            <w:tcW w:w="4900" w:type="dxa"/>
            <w:vAlign w:val="bottom"/>
            <w:tcBorders>
              <w:bottom w:val="single" w:sz="8" w:color="auto"/>
            </w:tcBorders>
          </w:tcPr>
          <w:p>
            <w:pPr>
              <w:spacing w:after="0"/>
              <w:rPr>
                <w:sz w:val="8"/>
                <w:szCs w:val="8"/>
                <w:color w:val="auto"/>
              </w:rPr>
            </w:pPr>
          </w:p>
        </w:tc>
        <w:tc>
          <w:tcPr>
            <w:tcW w:w="136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70" w:type="dxa"/>
            <w:vAlign w:val="bottom"/>
            <w:tcBorders>
              <w:bottom w:val="single" w:sz="8" w:color="auto"/>
            </w:tcBorders>
          </w:tcPr>
          <w:p>
            <w:pPr>
              <w:spacing w:after="0"/>
              <w:rPr>
                <w:sz w:val="8"/>
                <w:szCs w:val="8"/>
                <w:color w:val="auto"/>
              </w:rPr>
            </w:pPr>
          </w:p>
        </w:tc>
        <w:tc>
          <w:tcPr>
            <w:tcW w:w="111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r>
      <w:tr>
        <w:trPr>
          <w:trHeight w:val="263"/>
        </w:trPr>
        <w:tc>
          <w:tcPr>
            <w:tcW w:w="49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100" w:type="dxa"/>
            <w:vAlign w:val="bottom"/>
          </w:tcPr>
          <w:p>
            <w:pPr>
              <w:jc w:val="right"/>
              <w:ind w:right="117"/>
              <w:spacing w:after="0"/>
              <w:rPr>
                <w:sz w:val="20"/>
                <w:szCs w:val="20"/>
                <w:color w:val="auto"/>
              </w:rPr>
            </w:pPr>
            <w:r>
              <w:rPr>
                <w:rFonts w:ascii="Arial" w:cs="Arial" w:eastAsia="Arial" w:hAnsi="Arial"/>
                <w:sz w:val="14"/>
                <w:szCs w:val="14"/>
                <w:b w:val="1"/>
                <w:bCs w:val="1"/>
                <w:color w:val="auto"/>
              </w:rPr>
              <w:t>2010</w:t>
            </w:r>
          </w:p>
        </w:tc>
        <w:tc>
          <w:tcPr>
            <w:tcW w:w="580" w:type="dxa"/>
            <w:vAlign w:val="bottom"/>
          </w:tcPr>
          <w:p>
            <w:pPr>
              <w:spacing w:after="0"/>
              <w:rPr>
                <w:sz w:val="22"/>
                <w:szCs w:val="22"/>
                <w:color w:val="auto"/>
              </w:rPr>
            </w:pPr>
          </w:p>
        </w:tc>
        <w:tc>
          <w:tcPr>
            <w:tcW w:w="780" w:type="dxa"/>
            <w:vAlign w:val="bottom"/>
          </w:tcPr>
          <w:p>
            <w:pPr>
              <w:jc w:val="right"/>
              <w:ind w:right="115"/>
              <w:spacing w:after="0"/>
              <w:rPr>
                <w:sz w:val="20"/>
                <w:szCs w:val="20"/>
                <w:color w:val="auto"/>
              </w:rPr>
            </w:pPr>
            <w:r>
              <w:rPr>
                <w:rFonts w:ascii="Arial" w:cs="Arial" w:eastAsia="Arial" w:hAnsi="Arial"/>
                <w:sz w:val="14"/>
                <w:szCs w:val="14"/>
                <w:b w:val="1"/>
                <w:bCs w:val="1"/>
                <w:color w:val="auto"/>
              </w:rPr>
              <w:t>2009</w:t>
            </w:r>
          </w:p>
        </w:tc>
        <w:tc>
          <w:tcPr>
            <w:tcW w:w="270" w:type="dxa"/>
            <w:vAlign w:val="bottom"/>
          </w:tcPr>
          <w:p>
            <w:pPr>
              <w:spacing w:after="0"/>
              <w:rPr>
                <w:sz w:val="22"/>
                <w:szCs w:val="22"/>
                <w:color w:val="auto"/>
              </w:rPr>
            </w:pPr>
          </w:p>
        </w:tc>
        <w:tc>
          <w:tcPr>
            <w:tcW w:w="1110" w:type="dxa"/>
            <w:vAlign w:val="bottom"/>
          </w:tcPr>
          <w:p>
            <w:pPr>
              <w:jc w:val="right"/>
              <w:ind w:right="119"/>
              <w:spacing w:after="0"/>
              <w:rPr>
                <w:sz w:val="20"/>
                <w:szCs w:val="20"/>
                <w:color w:val="auto"/>
              </w:rPr>
            </w:pPr>
            <w:r>
              <w:rPr>
                <w:rFonts w:ascii="Arial" w:cs="Arial" w:eastAsia="Arial" w:hAnsi="Arial"/>
                <w:sz w:val="14"/>
                <w:szCs w:val="14"/>
                <w:b w:val="1"/>
                <w:bCs w:val="1"/>
                <w:color w:val="auto"/>
              </w:rPr>
              <w:t>2010</w:t>
            </w:r>
          </w:p>
        </w:tc>
        <w:tc>
          <w:tcPr>
            <w:tcW w:w="720" w:type="dxa"/>
            <w:vAlign w:val="bottom"/>
          </w:tcPr>
          <w:p>
            <w:pPr>
              <w:spacing w:after="0"/>
              <w:rPr>
                <w:sz w:val="22"/>
                <w:szCs w:val="22"/>
                <w:color w:val="auto"/>
              </w:rPr>
            </w:pPr>
          </w:p>
        </w:tc>
        <w:tc>
          <w:tcPr>
            <w:tcW w:w="600" w:type="dxa"/>
            <w:vAlign w:val="bottom"/>
          </w:tcPr>
          <w:p>
            <w:pPr>
              <w:jc w:val="right"/>
              <w:ind w:right="35"/>
              <w:spacing w:after="0"/>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95"/>
        </w:trPr>
        <w:tc>
          <w:tcPr>
            <w:tcW w:w="4900" w:type="dxa"/>
            <w:vAlign w:val="bottom"/>
            <w:tcBorders>
              <w:bottom w:val="single" w:sz="8" w:color="auto"/>
            </w:tcBorders>
          </w:tcPr>
          <w:p>
            <w:pPr>
              <w:spacing w:after="0"/>
              <w:rPr>
                <w:sz w:val="8"/>
                <w:szCs w:val="8"/>
                <w:color w:val="auto"/>
              </w:rPr>
            </w:pPr>
          </w:p>
        </w:tc>
        <w:tc>
          <w:tcPr>
            <w:tcW w:w="136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70" w:type="dxa"/>
            <w:vAlign w:val="bottom"/>
            <w:tcBorders>
              <w:bottom w:val="single" w:sz="8" w:color="auto"/>
            </w:tcBorders>
          </w:tcPr>
          <w:p>
            <w:pPr>
              <w:spacing w:after="0"/>
              <w:rPr>
                <w:sz w:val="8"/>
                <w:szCs w:val="8"/>
                <w:color w:val="auto"/>
              </w:rPr>
            </w:pPr>
          </w:p>
        </w:tc>
        <w:tc>
          <w:tcPr>
            <w:tcW w:w="111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r>
      <w:tr>
        <w:trPr>
          <w:trHeight w:val="102"/>
        </w:trPr>
        <w:tc>
          <w:tcPr>
            <w:tcW w:w="490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70" w:type="dxa"/>
            <w:vAlign w:val="bottom"/>
          </w:tcPr>
          <w:p>
            <w:pPr>
              <w:spacing w:after="0"/>
              <w:rPr>
                <w:sz w:val="8"/>
                <w:szCs w:val="8"/>
                <w:color w:val="auto"/>
              </w:rPr>
            </w:pPr>
          </w:p>
        </w:tc>
        <w:tc>
          <w:tcPr>
            <w:tcW w:w="111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203"/>
        </w:trPr>
        <w:tc>
          <w:tcPr>
            <w:tcW w:w="490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Change in plan assets:</w:t>
            </w:r>
          </w:p>
        </w:tc>
        <w:tc>
          <w:tcPr>
            <w:tcW w:w="1360" w:type="dxa"/>
            <w:vAlign w:val="bottom"/>
            <w:shd w:val="clear" w:color="auto" w:fill="E6E6E6"/>
          </w:tcPr>
          <w:p>
            <w:pPr>
              <w:spacing w:after="0"/>
              <w:rPr>
                <w:sz w:val="17"/>
                <w:szCs w:val="17"/>
                <w:color w:val="auto"/>
              </w:rPr>
            </w:pPr>
          </w:p>
        </w:tc>
        <w:tc>
          <w:tcPr>
            <w:tcW w:w="1100" w:type="dxa"/>
            <w:vAlign w:val="bottom"/>
            <w:shd w:val="clear" w:color="auto" w:fill="E6E6E6"/>
          </w:tcPr>
          <w:p>
            <w:pPr>
              <w:spacing w:after="0"/>
              <w:rPr>
                <w:sz w:val="17"/>
                <w:szCs w:val="17"/>
                <w:color w:val="auto"/>
              </w:rPr>
            </w:pPr>
          </w:p>
        </w:tc>
        <w:tc>
          <w:tcPr>
            <w:tcW w:w="580" w:type="dxa"/>
            <w:vAlign w:val="bottom"/>
            <w:shd w:val="clear" w:color="auto" w:fill="E6E6E6"/>
          </w:tcPr>
          <w:p>
            <w:pPr>
              <w:spacing w:after="0"/>
              <w:rPr>
                <w:sz w:val="17"/>
                <w:szCs w:val="17"/>
                <w:color w:val="auto"/>
              </w:rPr>
            </w:pPr>
          </w:p>
        </w:tc>
        <w:tc>
          <w:tcPr>
            <w:tcW w:w="780" w:type="dxa"/>
            <w:vAlign w:val="bottom"/>
            <w:shd w:val="clear" w:color="auto" w:fill="E6E6E6"/>
          </w:tcPr>
          <w:p>
            <w:pPr>
              <w:spacing w:after="0"/>
              <w:rPr>
                <w:sz w:val="17"/>
                <w:szCs w:val="17"/>
                <w:color w:val="auto"/>
              </w:rPr>
            </w:pPr>
          </w:p>
        </w:tc>
        <w:tc>
          <w:tcPr>
            <w:tcW w:w="270" w:type="dxa"/>
            <w:vAlign w:val="bottom"/>
            <w:shd w:val="clear" w:color="auto" w:fill="E6E6E6"/>
          </w:tcPr>
          <w:p>
            <w:pPr>
              <w:spacing w:after="0"/>
              <w:rPr>
                <w:sz w:val="17"/>
                <w:szCs w:val="17"/>
                <w:color w:val="auto"/>
              </w:rPr>
            </w:pPr>
          </w:p>
        </w:tc>
        <w:tc>
          <w:tcPr>
            <w:tcW w:w="1110" w:type="dxa"/>
            <w:vAlign w:val="bottom"/>
            <w:shd w:val="clear" w:color="auto" w:fill="E6E6E6"/>
          </w:tcPr>
          <w:p>
            <w:pPr>
              <w:spacing w:after="0"/>
              <w:rPr>
                <w:sz w:val="17"/>
                <w:szCs w:val="17"/>
                <w:color w:val="auto"/>
              </w:rPr>
            </w:pPr>
          </w:p>
        </w:tc>
        <w:tc>
          <w:tcPr>
            <w:tcW w:w="720" w:type="dxa"/>
            <w:vAlign w:val="bottom"/>
            <w:shd w:val="clear" w:color="auto" w:fill="E6E6E6"/>
          </w:tcPr>
          <w:p>
            <w:pPr>
              <w:spacing w:after="0"/>
              <w:rPr>
                <w:sz w:val="17"/>
                <w:szCs w:val="17"/>
                <w:color w:val="auto"/>
              </w:rPr>
            </w:pPr>
          </w:p>
        </w:tc>
        <w:tc>
          <w:tcPr>
            <w:tcW w:w="600" w:type="dxa"/>
            <w:vAlign w:val="bottom"/>
            <w:shd w:val="clear" w:color="auto" w:fill="E6E6E6"/>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4900" w:type="dxa"/>
            <w:vAlign w:val="bottom"/>
          </w:tcPr>
          <w:p>
            <w:pPr>
              <w:ind w:left="160"/>
              <w:spacing w:after="0" w:line="202" w:lineRule="exact"/>
              <w:rPr>
                <w:sz w:val="20"/>
                <w:szCs w:val="20"/>
                <w:color w:val="auto"/>
              </w:rPr>
            </w:pPr>
            <w:r>
              <w:rPr>
                <w:rFonts w:ascii="Arial" w:cs="Arial" w:eastAsia="Arial" w:hAnsi="Arial"/>
                <w:sz w:val="18"/>
                <w:szCs w:val="18"/>
                <w:color w:val="auto"/>
              </w:rPr>
              <w:t>Fair value of plan assets at beginning of year</w:t>
            </w: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100" w:type="dxa"/>
            <w:vAlign w:val="bottom"/>
          </w:tcPr>
          <w:p>
            <w:pPr>
              <w:jc w:val="right"/>
              <w:ind w:right="117"/>
              <w:spacing w:after="0" w:line="202" w:lineRule="exact"/>
              <w:rPr>
                <w:sz w:val="20"/>
                <w:szCs w:val="20"/>
                <w:color w:val="auto"/>
              </w:rPr>
            </w:pPr>
            <w:r>
              <w:rPr>
                <w:rFonts w:ascii="Arial" w:cs="Arial" w:eastAsia="Arial" w:hAnsi="Arial"/>
                <w:sz w:val="18"/>
                <w:szCs w:val="18"/>
                <w:color w:val="auto"/>
              </w:rPr>
              <w:t>105.3</w:t>
            </w:r>
          </w:p>
        </w:tc>
        <w:tc>
          <w:tcPr>
            <w:tcW w:w="580" w:type="dxa"/>
            <w:vAlign w:val="bottom"/>
          </w:tcPr>
          <w:p>
            <w:pPr>
              <w:jc w:val="right"/>
              <w:ind w:right="252"/>
              <w:spacing w:after="0" w:line="202" w:lineRule="exact"/>
              <w:rPr>
                <w:sz w:val="20"/>
                <w:szCs w:val="20"/>
                <w:color w:val="auto"/>
              </w:rPr>
            </w:pPr>
            <w:r>
              <w:rPr>
                <w:rFonts w:ascii="Arial" w:cs="Arial" w:eastAsia="Arial" w:hAnsi="Arial"/>
                <w:sz w:val="18"/>
                <w:szCs w:val="18"/>
                <w:color w:val="auto"/>
              </w:rPr>
              <w:t>$</w:t>
            </w:r>
          </w:p>
        </w:tc>
        <w:tc>
          <w:tcPr>
            <w:tcW w:w="780" w:type="dxa"/>
            <w:vAlign w:val="bottom"/>
          </w:tcPr>
          <w:p>
            <w:pPr>
              <w:jc w:val="right"/>
              <w:ind w:right="115"/>
              <w:spacing w:after="0" w:line="202" w:lineRule="exact"/>
              <w:rPr>
                <w:sz w:val="20"/>
                <w:szCs w:val="20"/>
                <w:color w:val="auto"/>
              </w:rPr>
            </w:pPr>
            <w:r>
              <w:rPr>
                <w:rFonts w:ascii="Arial" w:cs="Arial" w:eastAsia="Arial" w:hAnsi="Arial"/>
                <w:sz w:val="18"/>
                <w:szCs w:val="18"/>
                <w:color w:val="auto"/>
              </w:rPr>
              <w:t>144.0</w:t>
            </w:r>
          </w:p>
        </w:tc>
        <w:tc>
          <w:tcPr>
            <w:tcW w:w="27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110" w:type="dxa"/>
            <w:vAlign w:val="bottom"/>
          </w:tcPr>
          <w:p>
            <w:pPr>
              <w:jc w:val="right"/>
              <w:ind w:right="119"/>
              <w:spacing w:after="0" w:line="202" w:lineRule="exact"/>
              <w:rPr>
                <w:sz w:val="20"/>
                <w:szCs w:val="20"/>
                <w:color w:val="auto"/>
              </w:rPr>
            </w:pPr>
            <w:r>
              <w:rPr>
                <w:rFonts w:ascii="Arial" w:cs="Arial" w:eastAsia="Arial" w:hAnsi="Arial"/>
                <w:sz w:val="18"/>
                <w:szCs w:val="18"/>
                <w:color w:val="auto"/>
              </w:rPr>
              <w:t>—</w:t>
            </w:r>
          </w:p>
        </w:tc>
        <w:tc>
          <w:tcPr>
            <w:tcW w:w="720" w:type="dxa"/>
            <w:vAlign w:val="bottom"/>
          </w:tcPr>
          <w:p>
            <w:pPr>
              <w:jc w:val="right"/>
              <w:ind w:right="392"/>
              <w:spacing w:after="0" w:line="202" w:lineRule="exact"/>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r>
      <w:tr>
        <w:trPr>
          <w:trHeight w:val="203"/>
        </w:trPr>
        <w:tc>
          <w:tcPr>
            <w:tcW w:w="4900" w:type="dxa"/>
            <w:vAlign w:val="bottom"/>
            <w:shd w:val="clear" w:color="auto" w:fill="E6E6E6"/>
          </w:tcPr>
          <w:p>
            <w:pPr>
              <w:ind w:left="160"/>
              <w:spacing w:after="0" w:line="202" w:lineRule="exact"/>
              <w:rPr>
                <w:sz w:val="20"/>
                <w:szCs w:val="20"/>
                <w:color w:val="auto"/>
              </w:rPr>
            </w:pPr>
            <w:r>
              <w:rPr>
                <w:rFonts w:ascii="Arial" w:cs="Arial" w:eastAsia="Arial" w:hAnsi="Arial"/>
                <w:sz w:val="18"/>
                <w:szCs w:val="18"/>
                <w:color w:val="auto"/>
              </w:rPr>
              <w:t>Actual return on plan assets</w:t>
            </w:r>
          </w:p>
        </w:tc>
        <w:tc>
          <w:tcPr>
            <w:tcW w:w="1360" w:type="dxa"/>
            <w:vAlign w:val="bottom"/>
            <w:shd w:val="clear" w:color="auto" w:fill="E6E6E6"/>
          </w:tcPr>
          <w:p>
            <w:pPr>
              <w:spacing w:after="0"/>
              <w:rPr>
                <w:sz w:val="17"/>
                <w:szCs w:val="17"/>
                <w:color w:val="auto"/>
              </w:rPr>
            </w:pPr>
          </w:p>
        </w:tc>
        <w:tc>
          <w:tcPr>
            <w:tcW w:w="1100" w:type="dxa"/>
            <w:vAlign w:val="bottom"/>
            <w:shd w:val="clear" w:color="auto" w:fill="E6E6E6"/>
          </w:tcPr>
          <w:p>
            <w:pPr>
              <w:jc w:val="right"/>
              <w:ind w:right="117"/>
              <w:spacing w:after="0" w:line="202" w:lineRule="exact"/>
              <w:rPr>
                <w:sz w:val="20"/>
                <w:szCs w:val="20"/>
                <w:color w:val="auto"/>
              </w:rPr>
            </w:pPr>
            <w:r>
              <w:rPr>
                <w:rFonts w:ascii="Arial" w:cs="Arial" w:eastAsia="Arial" w:hAnsi="Arial"/>
                <w:sz w:val="18"/>
                <w:szCs w:val="18"/>
                <w:color w:val="auto"/>
              </w:rPr>
              <w:t>18.1</w:t>
            </w:r>
          </w:p>
        </w:tc>
        <w:tc>
          <w:tcPr>
            <w:tcW w:w="580" w:type="dxa"/>
            <w:vAlign w:val="bottom"/>
            <w:shd w:val="clear" w:color="auto" w:fill="E6E6E6"/>
          </w:tcPr>
          <w:p>
            <w:pPr>
              <w:spacing w:after="0"/>
              <w:rPr>
                <w:sz w:val="17"/>
                <w:szCs w:val="17"/>
                <w:color w:val="auto"/>
              </w:rPr>
            </w:pPr>
          </w:p>
        </w:tc>
        <w:tc>
          <w:tcPr>
            <w:tcW w:w="780" w:type="dxa"/>
            <w:vAlign w:val="bottom"/>
            <w:shd w:val="clear" w:color="auto" w:fill="E6E6E6"/>
          </w:tcPr>
          <w:p>
            <w:pPr>
              <w:jc w:val="right"/>
              <w:ind w:right="55"/>
              <w:spacing w:after="0" w:line="202" w:lineRule="exact"/>
              <w:rPr>
                <w:sz w:val="20"/>
                <w:szCs w:val="20"/>
                <w:color w:val="auto"/>
              </w:rPr>
            </w:pPr>
            <w:r>
              <w:rPr>
                <w:rFonts w:ascii="Arial" w:cs="Arial" w:eastAsia="Arial" w:hAnsi="Arial"/>
                <w:sz w:val="18"/>
                <w:szCs w:val="18"/>
                <w:color w:val="auto"/>
              </w:rPr>
              <w:t>(25.7)</w:t>
            </w:r>
          </w:p>
        </w:tc>
        <w:tc>
          <w:tcPr>
            <w:tcW w:w="270" w:type="dxa"/>
            <w:vAlign w:val="bottom"/>
            <w:shd w:val="clear" w:color="auto" w:fill="E6E6E6"/>
          </w:tcPr>
          <w:p>
            <w:pPr>
              <w:spacing w:after="0"/>
              <w:rPr>
                <w:sz w:val="17"/>
                <w:szCs w:val="17"/>
                <w:color w:val="auto"/>
              </w:rPr>
            </w:pPr>
          </w:p>
        </w:tc>
        <w:tc>
          <w:tcPr>
            <w:tcW w:w="1110" w:type="dxa"/>
            <w:vAlign w:val="bottom"/>
            <w:shd w:val="clear" w:color="auto" w:fill="E6E6E6"/>
          </w:tcPr>
          <w:p>
            <w:pPr>
              <w:jc w:val="right"/>
              <w:ind w:right="119"/>
              <w:spacing w:after="0" w:line="202" w:lineRule="exact"/>
              <w:rPr>
                <w:sz w:val="20"/>
                <w:szCs w:val="20"/>
                <w:color w:val="auto"/>
              </w:rPr>
            </w:pPr>
            <w:r>
              <w:rPr>
                <w:rFonts w:ascii="Arial" w:cs="Arial" w:eastAsia="Arial" w:hAnsi="Arial"/>
                <w:sz w:val="18"/>
                <w:szCs w:val="18"/>
                <w:color w:val="auto"/>
              </w:rPr>
              <w:t>—</w:t>
            </w:r>
          </w:p>
        </w:tc>
        <w:tc>
          <w:tcPr>
            <w:tcW w:w="720" w:type="dxa"/>
            <w:vAlign w:val="bottom"/>
            <w:shd w:val="clear" w:color="auto" w:fill="E6E6E6"/>
          </w:tcPr>
          <w:p>
            <w:pPr>
              <w:spacing w:after="0"/>
              <w:rPr>
                <w:sz w:val="17"/>
                <w:szCs w:val="17"/>
                <w:color w:val="auto"/>
              </w:rPr>
            </w:pPr>
          </w:p>
        </w:tc>
        <w:tc>
          <w:tcPr>
            <w:tcW w:w="600" w:type="dxa"/>
            <w:vAlign w:val="bottom"/>
            <w:shd w:val="clear" w:color="auto" w:fill="E6E6E6"/>
          </w:tcPr>
          <w:p>
            <w:pPr>
              <w:jc w:val="right"/>
              <w:ind w:right="35"/>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4900" w:type="dxa"/>
            <w:vAlign w:val="bottom"/>
          </w:tcPr>
          <w:p>
            <w:pPr>
              <w:ind w:left="160"/>
              <w:spacing w:after="0" w:line="202" w:lineRule="exact"/>
              <w:rPr>
                <w:sz w:val="20"/>
                <w:szCs w:val="20"/>
                <w:color w:val="auto"/>
              </w:rPr>
            </w:pPr>
            <w:r>
              <w:rPr>
                <w:rFonts w:ascii="Arial" w:cs="Arial" w:eastAsia="Arial" w:hAnsi="Arial"/>
                <w:sz w:val="18"/>
                <w:szCs w:val="18"/>
                <w:color w:val="auto"/>
              </w:rPr>
              <w:t>Employer contributions</w:t>
            </w:r>
          </w:p>
        </w:tc>
        <w:tc>
          <w:tcPr>
            <w:tcW w:w="1360" w:type="dxa"/>
            <w:vAlign w:val="bottom"/>
          </w:tcPr>
          <w:p>
            <w:pPr>
              <w:spacing w:after="0"/>
              <w:rPr>
                <w:sz w:val="17"/>
                <w:szCs w:val="17"/>
                <w:color w:val="auto"/>
              </w:rPr>
            </w:pPr>
          </w:p>
        </w:tc>
        <w:tc>
          <w:tcPr>
            <w:tcW w:w="1100" w:type="dxa"/>
            <w:vAlign w:val="bottom"/>
          </w:tcPr>
          <w:p>
            <w:pPr>
              <w:jc w:val="right"/>
              <w:ind w:right="117"/>
              <w:spacing w:after="0" w:line="202" w:lineRule="exact"/>
              <w:rPr>
                <w:sz w:val="20"/>
                <w:szCs w:val="20"/>
                <w:color w:val="auto"/>
              </w:rPr>
            </w:pPr>
            <w:r>
              <w:rPr>
                <w:rFonts w:ascii="Arial" w:cs="Arial" w:eastAsia="Arial" w:hAnsi="Arial"/>
                <w:sz w:val="18"/>
                <w:szCs w:val="18"/>
                <w:color w:val="auto"/>
              </w:rPr>
              <w:t>15.9</w:t>
            </w:r>
          </w:p>
        </w:tc>
        <w:tc>
          <w:tcPr>
            <w:tcW w:w="580" w:type="dxa"/>
            <w:vAlign w:val="bottom"/>
          </w:tcPr>
          <w:p>
            <w:pPr>
              <w:spacing w:after="0"/>
              <w:rPr>
                <w:sz w:val="17"/>
                <w:szCs w:val="17"/>
                <w:color w:val="auto"/>
              </w:rPr>
            </w:pPr>
          </w:p>
        </w:tc>
        <w:tc>
          <w:tcPr>
            <w:tcW w:w="780" w:type="dxa"/>
            <w:vAlign w:val="bottom"/>
          </w:tcPr>
          <w:p>
            <w:pPr>
              <w:jc w:val="right"/>
              <w:ind w:right="115"/>
              <w:spacing w:after="0" w:line="202" w:lineRule="exact"/>
              <w:rPr>
                <w:sz w:val="20"/>
                <w:szCs w:val="20"/>
                <w:color w:val="auto"/>
              </w:rPr>
            </w:pPr>
            <w:r>
              <w:rPr>
                <w:rFonts w:ascii="Arial" w:cs="Arial" w:eastAsia="Arial" w:hAnsi="Arial"/>
                <w:sz w:val="18"/>
                <w:szCs w:val="18"/>
                <w:color w:val="auto"/>
              </w:rPr>
              <w:t>13.6</w:t>
            </w:r>
          </w:p>
        </w:tc>
        <w:tc>
          <w:tcPr>
            <w:tcW w:w="270" w:type="dxa"/>
            <w:vAlign w:val="bottom"/>
          </w:tcPr>
          <w:p>
            <w:pPr>
              <w:spacing w:after="0"/>
              <w:rPr>
                <w:sz w:val="17"/>
                <w:szCs w:val="17"/>
                <w:color w:val="auto"/>
              </w:rPr>
            </w:pPr>
          </w:p>
        </w:tc>
        <w:tc>
          <w:tcPr>
            <w:tcW w:w="1110" w:type="dxa"/>
            <w:vAlign w:val="bottom"/>
          </w:tcPr>
          <w:p>
            <w:pPr>
              <w:jc w:val="right"/>
              <w:ind w:right="119"/>
              <w:spacing w:after="0" w:line="202" w:lineRule="exact"/>
              <w:rPr>
                <w:sz w:val="20"/>
                <w:szCs w:val="20"/>
                <w:color w:val="auto"/>
              </w:rPr>
            </w:pPr>
            <w:r>
              <w:rPr>
                <w:rFonts w:ascii="Arial" w:cs="Arial" w:eastAsia="Arial" w:hAnsi="Arial"/>
                <w:sz w:val="18"/>
                <w:szCs w:val="18"/>
                <w:color w:val="auto"/>
              </w:rPr>
              <w:t>2.5</w:t>
            </w:r>
          </w:p>
        </w:tc>
        <w:tc>
          <w:tcPr>
            <w:tcW w:w="720" w:type="dxa"/>
            <w:vAlign w:val="bottom"/>
          </w:tcPr>
          <w:p>
            <w:pPr>
              <w:spacing w:after="0"/>
              <w:rPr>
                <w:sz w:val="17"/>
                <w:szCs w:val="17"/>
                <w:color w:val="auto"/>
              </w:rPr>
            </w:pPr>
          </w:p>
        </w:tc>
        <w:tc>
          <w:tcPr>
            <w:tcW w:w="600" w:type="dxa"/>
            <w:vAlign w:val="bottom"/>
          </w:tcPr>
          <w:p>
            <w:pPr>
              <w:jc w:val="right"/>
              <w:ind w:right="35"/>
              <w:spacing w:after="0" w:line="202" w:lineRule="exact"/>
              <w:rPr>
                <w:sz w:val="20"/>
                <w:szCs w:val="20"/>
                <w:color w:val="auto"/>
              </w:rPr>
            </w:pPr>
            <w:r>
              <w:rPr>
                <w:rFonts w:ascii="Arial" w:cs="Arial" w:eastAsia="Arial" w:hAnsi="Arial"/>
                <w:sz w:val="18"/>
                <w:szCs w:val="18"/>
                <w:color w:val="auto"/>
              </w:rPr>
              <w:t>2.4</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4900" w:type="dxa"/>
            <w:vAlign w:val="bottom"/>
            <w:shd w:val="clear" w:color="auto" w:fill="E6E6E6"/>
          </w:tcPr>
          <w:p>
            <w:pPr>
              <w:ind w:left="160"/>
              <w:spacing w:after="0" w:line="202" w:lineRule="exact"/>
              <w:rPr>
                <w:sz w:val="20"/>
                <w:szCs w:val="20"/>
                <w:color w:val="auto"/>
              </w:rPr>
            </w:pPr>
            <w:r>
              <w:rPr>
                <w:rFonts w:ascii="Arial" w:cs="Arial" w:eastAsia="Arial" w:hAnsi="Arial"/>
                <w:sz w:val="18"/>
                <w:szCs w:val="18"/>
                <w:color w:val="auto"/>
              </w:rPr>
              <w:t>Benefits paid, including expenses</w:t>
            </w:r>
          </w:p>
        </w:tc>
        <w:tc>
          <w:tcPr>
            <w:tcW w:w="1360" w:type="dxa"/>
            <w:vAlign w:val="bottom"/>
            <w:shd w:val="clear" w:color="auto" w:fill="E6E6E6"/>
          </w:tcPr>
          <w:p>
            <w:pPr>
              <w:spacing w:after="0"/>
              <w:rPr>
                <w:sz w:val="17"/>
                <w:szCs w:val="17"/>
                <w:color w:val="auto"/>
              </w:rPr>
            </w:pPr>
          </w:p>
        </w:tc>
        <w:tc>
          <w:tcPr>
            <w:tcW w:w="1100" w:type="dxa"/>
            <w:vAlign w:val="bottom"/>
            <w:shd w:val="clear" w:color="auto" w:fill="E6E6E6"/>
          </w:tcPr>
          <w:p>
            <w:pPr>
              <w:jc w:val="right"/>
              <w:ind w:right="57"/>
              <w:spacing w:after="0" w:line="202" w:lineRule="exact"/>
              <w:rPr>
                <w:sz w:val="20"/>
                <w:szCs w:val="20"/>
                <w:color w:val="auto"/>
              </w:rPr>
            </w:pPr>
            <w:r>
              <w:rPr>
                <w:rFonts w:ascii="Arial" w:cs="Arial" w:eastAsia="Arial" w:hAnsi="Arial"/>
                <w:sz w:val="18"/>
                <w:szCs w:val="18"/>
                <w:color w:val="auto"/>
              </w:rPr>
              <w:t>(9.7)</w:t>
            </w:r>
          </w:p>
        </w:tc>
        <w:tc>
          <w:tcPr>
            <w:tcW w:w="580" w:type="dxa"/>
            <w:vAlign w:val="bottom"/>
            <w:shd w:val="clear" w:color="auto" w:fill="E6E6E6"/>
          </w:tcPr>
          <w:p>
            <w:pPr>
              <w:spacing w:after="0"/>
              <w:rPr>
                <w:sz w:val="17"/>
                <w:szCs w:val="17"/>
                <w:color w:val="auto"/>
              </w:rPr>
            </w:pPr>
          </w:p>
        </w:tc>
        <w:tc>
          <w:tcPr>
            <w:tcW w:w="780" w:type="dxa"/>
            <w:vAlign w:val="bottom"/>
            <w:shd w:val="clear" w:color="auto" w:fill="E6E6E6"/>
          </w:tcPr>
          <w:p>
            <w:pPr>
              <w:jc w:val="right"/>
              <w:ind w:right="55"/>
              <w:spacing w:after="0" w:line="202" w:lineRule="exact"/>
              <w:rPr>
                <w:sz w:val="20"/>
                <w:szCs w:val="20"/>
                <w:color w:val="auto"/>
              </w:rPr>
            </w:pPr>
            <w:r>
              <w:rPr>
                <w:rFonts w:ascii="Arial" w:cs="Arial" w:eastAsia="Arial" w:hAnsi="Arial"/>
                <w:sz w:val="18"/>
                <w:szCs w:val="18"/>
                <w:color w:val="auto"/>
              </w:rPr>
              <w:t>(21.6)</w:t>
            </w:r>
          </w:p>
        </w:tc>
        <w:tc>
          <w:tcPr>
            <w:tcW w:w="270" w:type="dxa"/>
            <w:vAlign w:val="bottom"/>
            <w:shd w:val="clear" w:color="auto" w:fill="E6E6E6"/>
          </w:tcPr>
          <w:p>
            <w:pPr>
              <w:spacing w:after="0"/>
              <w:rPr>
                <w:sz w:val="17"/>
                <w:szCs w:val="17"/>
                <w:color w:val="auto"/>
              </w:rPr>
            </w:pPr>
          </w:p>
        </w:tc>
        <w:tc>
          <w:tcPr>
            <w:tcW w:w="1110" w:type="dxa"/>
            <w:vAlign w:val="bottom"/>
            <w:shd w:val="clear" w:color="auto" w:fill="E6E6E6"/>
          </w:tcPr>
          <w:p>
            <w:pPr>
              <w:jc w:val="right"/>
              <w:ind w:right="59"/>
              <w:spacing w:after="0" w:line="202" w:lineRule="exact"/>
              <w:rPr>
                <w:sz w:val="20"/>
                <w:szCs w:val="20"/>
                <w:color w:val="auto"/>
              </w:rPr>
            </w:pPr>
            <w:r>
              <w:rPr>
                <w:rFonts w:ascii="Arial" w:cs="Arial" w:eastAsia="Arial" w:hAnsi="Arial"/>
                <w:sz w:val="18"/>
                <w:szCs w:val="18"/>
                <w:color w:val="auto"/>
              </w:rPr>
              <w:t>(2.9)</w:t>
            </w:r>
          </w:p>
        </w:tc>
        <w:tc>
          <w:tcPr>
            <w:tcW w:w="720" w:type="dxa"/>
            <w:vAlign w:val="bottom"/>
            <w:shd w:val="clear" w:color="auto" w:fill="E6E6E6"/>
          </w:tcPr>
          <w:p>
            <w:pPr>
              <w:spacing w:after="0"/>
              <w:rPr>
                <w:sz w:val="17"/>
                <w:szCs w:val="17"/>
                <w:color w:val="auto"/>
              </w:rPr>
            </w:pPr>
          </w:p>
        </w:tc>
        <w:tc>
          <w:tcPr>
            <w:tcW w:w="60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(2.7)</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4900" w:type="dxa"/>
            <w:vAlign w:val="bottom"/>
          </w:tcPr>
          <w:p>
            <w:pPr>
              <w:ind w:left="160"/>
              <w:spacing w:after="0" w:line="202" w:lineRule="exact"/>
              <w:rPr>
                <w:sz w:val="20"/>
                <w:szCs w:val="20"/>
                <w:color w:val="auto"/>
              </w:rPr>
            </w:pPr>
            <w:r>
              <w:rPr>
                <w:rFonts w:ascii="Arial" w:cs="Arial" w:eastAsia="Arial" w:hAnsi="Arial"/>
                <w:sz w:val="18"/>
                <w:szCs w:val="18"/>
                <w:color w:val="auto"/>
              </w:rPr>
              <w:t>Settlements</w:t>
            </w:r>
          </w:p>
        </w:tc>
        <w:tc>
          <w:tcPr>
            <w:tcW w:w="1360" w:type="dxa"/>
            <w:vAlign w:val="bottom"/>
          </w:tcPr>
          <w:p>
            <w:pPr>
              <w:spacing w:after="0"/>
              <w:rPr>
                <w:sz w:val="17"/>
                <w:szCs w:val="17"/>
                <w:color w:val="auto"/>
              </w:rPr>
            </w:pPr>
          </w:p>
        </w:tc>
        <w:tc>
          <w:tcPr>
            <w:tcW w:w="1100" w:type="dxa"/>
            <w:vAlign w:val="bottom"/>
          </w:tcPr>
          <w:p>
            <w:pPr>
              <w:jc w:val="right"/>
              <w:ind w:right="57"/>
              <w:spacing w:after="0" w:line="202" w:lineRule="exact"/>
              <w:rPr>
                <w:sz w:val="20"/>
                <w:szCs w:val="20"/>
                <w:color w:val="auto"/>
              </w:rPr>
            </w:pPr>
            <w:r>
              <w:rPr>
                <w:rFonts w:ascii="Arial" w:cs="Arial" w:eastAsia="Arial" w:hAnsi="Arial"/>
                <w:sz w:val="18"/>
                <w:szCs w:val="18"/>
                <w:color w:val="auto"/>
              </w:rPr>
              <w:t>(1.3)</w:t>
            </w:r>
          </w:p>
        </w:tc>
        <w:tc>
          <w:tcPr>
            <w:tcW w:w="580" w:type="dxa"/>
            <w:vAlign w:val="bottom"/>
          </w:tcPr>
          <w:p>
            <w:pPr>
              <w:spacing w:after="0"/>
              <w:rPr>
                <w:sz w:val="17"/>
                <w:szCs w:val="17"/>
                <w:color w:val="auto"/>
              </w:rPr>
            </w:pPr>
          </w:p>
        </w:tc>
        <w:tc>
          <w:tcPr>
            <w:tcW w:w="780" w:type="dxa"/>
            <w:vAlign w:val="bottom"/>
          </w:tcPr>
          <w:p>
            <w:pPr>
              <w:jc w:val="right"/>
              <w:ind w:right="115"/>
              <w:spacing w:after="0" w:line="202" w:lineRule="exact"/>
              <w:rPr>
                <w:sz w:val="20"/>
                <w:szCs w:val="20"/>
                <w:color w:val="auto"/>
              </w:rPr>
            </w:pPr>
            <w:r>
              <w:rPr>
                <w:rFonts w:ascii="Arial" w:cs="Arial" w:eastAsia="Arial" w:hAnsi="Arial"/>
                <w:sz w:val="18"/>
                <w:szCs w:val="18"/>
                <w:color w:val="auto"/>
              </w:rPr>
              <w:t>—</w:t>
            </w:r>
          </w:p>
        </w:tc>
        <w:tc>
          <w:tcPr>
            <w:tcW w:w="270" w:type="dxa"/>
            <w:vAlign w:val="bottom"/>
          </w:tcPr>
          <w:p>
            <w:pPr>
              <w:spacing w:after="0"/>
              <w:rPr>
                <w:sz w:val="17"/>
                <w:szCs w:val="17"/>
                <w:color w:val="auto"/>
              </w:rPr>
            </w:pPr>
          </w:p>
        </w:tc>
        <w:tc>
          <w:tcPr>
            <w:tcW w:w="111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4900" w:type="dxa"/>
            <w:vAlign w:val="bottom"/>
            <w:shd w:val="clear" w:color="auto" w:fill="E6E6E6"/>
          </w:tcPr>
          <w:p>
            <w:pPr>
              <w:ind w:left="160"/>
              <w:spacing w:after="0" w:line="202" w:lineRule="exact"/>
              <w:rPr>
                <w:sz w:val="20"/>
                <w:szCs w:val="20"/>
                <w:color w:val="auto"/>
              </w:rPr>
            </w:pPr>
            <w:r>
              <w:rPr>
                <w:rFonts w:ascii="Arial" w:cs="Arial" w:eastAsia="Arial" w:hAnsi="Arial"/>
                <w:sz w:val="18"/>
                <w:szCs w:val="18"/>
                <w:color w:val="auto"/>
              </w:rPr>
              <w:t>Measurement change and other adjustments</w:t>
            </w:r>
          </w:p>
        </w:tc>
        <w:tc>
          <w:tcPr>
            <w:tcW w:w="1360" w:type="dxa"/>
            <w:vAlign w:val="bottom"/>
            <w:shd w:val="clear" w:color="auto" w:fill="E6E6E6"/>
          </w:tcPr>
          <w:p>
            <w:pPr>
              <w:spacing w:after="0"/>
              <w:rPr>
                <w:sz w:val="17"/>
                <w:szCs w:val="17"/>
                <w:color w:val="auto"/>
              </w:rPr>
            </w:pPr>
          </w:p>
        </w:tc>
        <w:tc>
          <w:tcPr>
            <w:tcW w:w="1100" w:type="dxa"/>
            <w:vAlign w:val="bottom"/>
            <w:shd w:val="clear" w:color="auto" w:fill="E6E6E6"/>
          </w:tcPr>
          <w:p>
            <w:pPr>
              <w:jc w:val="right"/>
              <w:ind w:right="57"/>
              <w:spacing w:after="0" w:line="202" w:lineRule="exact"/>
              <w:rPr>
                <w:sz w:val="20"/>
                <w:szCs w:val="20"/>
                <w:color w:val="auto"/>
              </w:rPr>
            </w:pPr>
            <w:r>
              <w:rPr>
                <w:rFonts w:ascii="Arial" w:cs="Arial" w:eastAsia="Arial" w:hAnsi="Arial"/>
                <w:sz w:val="18"/>
                <w:szCs w:val="18"/>
                <w:color w:val="auto"/>
              </w:rPr>
              <w:t>(0.2)</w:t>
            </w:r>
          </w:p>
        </w:tc>
        <w:tc>
          <w:tcPr>
            <w:tcW w:w="580" w:type="dxa"/>
            <w:vAlign w:val="bottom"/>
            <w:shd w:val="clear" w:color="auto" w:fill="E6E6E6"/>
          </w:tcPr>
          <w:p>
            <w:pPr>
              <w:spacing w:after="0"/>
              <w:rPr>
                <w:sz w:val="17"/>
                <w:szCs w:val="17"/>
                <w:color w:val="auto"/>
              </w:rPr>
            </w:pPr>
          </w:p>
        </w:tc>
        <w:tc>
          <w:tcPr>
            <w:tcW w:w="780" w:type="dxa"/>
            <w:vAlign w:val="bottom"/>
            <w:shd w:val="clear" w:color="auto" w:fill="E6E6E6"/>
          </w:tcPr>
          <w:p>
            <w:pPr>
              <w:jc w:val="right"/>
              <w:ind w:right="95"/>
              <w:spacing w:after="0" w:line="202" w:lineRule="exact"/>
              <w:rPr>
                <w:sz w:val="20"/>
                <w:szCs w:val="20"/>
                <w:color w:val="auto"/>
              </w:rPr>
            </w:pPr>
            <w:r>
              <w:rPr>
                <w:rFonts w:ascii="Arial" w:cs="Arial" w:eastAsia="Arial" w:hAnsi="Arial"/>
                <w:sz w:val="18"/>
                <w:szCs w:val="18"/>
                <w:color w:val="auto"/>
              </w:rPr>
              <w:t>0.1</w:t>
            </w:r>
          </w:p>
        </w:tc>
        <w:tc>
          <w:tcPr>
            <w:tcW w:w="270" w:type="dxa"/>
            <w:vAlign w:val="bottom"/>
            <w:shd w:val="clear" w:color="auto" w:fill="E6E6E6"/>
          </w:tcPr>
          <w:p>
            <w:pPr>
              <w:spacing w:after="0"/>
              <w:rPr>
                <w:sz w:val="17"/>
                <w:szCs w:val="17"/>
                <w:color w:val="auto"/>
              </w:rPr>
            </w:pPr>
          </w:p>
        </w:tc>
        <w:tc>
          <w:tcPr>
            <w:tcW w:w="1110" w:type="dxa"/>
            <w:vAlign w:val="bottom"/>
            <w:shd w:val="clear" w:color="auto" w:fill="E6E6E6"/>
          </w:tcPr>
          <w:p>
            <w:pPr>
              <w:jc w:val="right"/>
              <w:ind w:right="119"/>
              <w:spacing w:after="0" w:line="202" w:lineRule="exact"/>
              <w:rPr>
                <w:sz w:val="20"/>
                <w:szCs w:val="20"/>
                <w:color w:val="auto"/>
              </w:rPr>
            </w:pPr>
            <w:r>
              <w:rPr>
                <w:rFonts w:ascii="Arial" w:cs="Arial" w:eastAsia="Arial" w:hAnsi="Arial"/>
                <w:sz w:val="18"/>
                <w:szCs w:val="18"/>
                <w:color w:val="auto"/>
              </w:rPr>
              <w:t>—</w:t>
            </w:r>
          </w:p>
        </w:tc>
        <w:tc>
          <w:tcPr>
            <w:tcW w:w="720" w:type="dxa"/>
            <w:vAlign w:val="bottom"/>
            <w:shd w:val="clear" w:color="auto" w:fill="E6E6E6"/>
          </w:tcPr>
          <w:p>
            <w:pPr>
              <w:spacing w:after="0"/>
              <w:rPr>
                <w:sz w:val="17"/>
                <w:szCs w:val="17"/>
                <w:color w:val="auto"/>
              </w:rPr>
            </w:pPr>
          </w:p>
        </w:tc>
        <w:tc>
          <w:tcPr>
            <w:tcW w:w="600" w:type="dxa"/>
            <w:vAlign w:val="bottom"/>
            <w:shd w:val="clear" w:color="auto" w:fill="E6E6E6"/>
          </w:tcPr>
          <w:p>
            <w:pPr>
              <w:jc w:val="right"/>
              <w:ind w:right="35"/>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4900" w:type="dxa"/>
            <w:vAlign w:val="bottom"/>
          </w:tcPr>
          <w:p>
            <w:pPr>
              <w:ind w:left="160"/>
              <w:spacing w:after="0" w:line="202" w:lineRule="exact"/>
              <w:rPr>
                <w:sz w:val="20"/>
                <w:szCs w:val="20"/>
                <w:color w:val="auto"/>
              </w:rPr>
            </w:pPr>
            <w:r>
              <w:rPr>
                <w:rFonts w:ascii="Arial" w:cs="Arial" w:eastAsia="Arial" w:hAnsi="Arial"/>
                <w:sz w:val="18"/>
                <w:szCs w:val="18"/>
                <w:color w:val="auto"/>
              </w:rPr>
              <w:t>Plan participants’ contributions</w:t>
            </w:r>
          </w:p>
        </w:tc>
        <w:tc>
          <w:tcPr>
            <w:tcW w:w="1360" w:type="dxa"/>
            <w:vAlign w:val="bottom"/>
          </w:tcPr>
          <w:p>
            <w:pPr>
              <w:spacing w:after="0"/>
              <w:rPr>
                <w:sz w:val="17"/>
                <w:szCs w:val="17"/>
                <w:color w:val="auto"/>
              </w:rPr>
            </w:pPr>
          </w:p>
        </w:tc>
        <w:tc>
          <w:tcPr>
            <w:tcW w:w="1100" w:type="dxa"/>
            <w:vAlign w:val="bottom"/>
          </w:tcPr>
          <w:p>
            <w:pPr>
              <w:jc w:val="right"/>
              <w:ind w:right="117"/>
              <w:spacing w:after="0" w:line="202" w:lineRule="exact"/>
              <w:rPr>
                <w:sz w:val="20"/>
                <w:szCs w:val="20"/>
                <w:color w:val="auto"/>
              </w:rPr>
            </w:pPr>
            <w:r>
              <w:rPr>
                <w:rFonts w:ascii="Arial" w:cs="Arial" w:eastAsia="Arial" w:hAnsi="Arial"/>
                <w:sz w:val="18"/>
                <w:szCs w:val="18"/>
                <w:color w:val="auto"/>
              </w:rPr>
              <w:t>—</w:t>
            </w:r>
          </w:p>
        </w:tc>
        <w:tc>
          <w:tcPr>
            <w:tcW w:w="580" w:type="dxa"/>
            <w:vAlign w:val="bottom"/>
          </w:tcPr>
          <w:p>
            <w:pPr>
              <w:spacing w:after="0"/>
              <w:rPr>
                <w:sz w:val="17"/>
                <w:szCs w:val="17"/>
                <w:color w:val="auto"/>
              </w:rPr>
            </w:pPr>
          </w:p>
        </w:tc>
        <w:tc>
          <w:tcPr>
            <w:tcW w:w="780" w:type="dxa"/>
            <w:vAlign w:val="bottom"/>
          </w:tcPr>
          <w:p>
            <w:pPr>
              <w:jc w:val="right"/>
              <w:ind w:right="115"/>
              <w:spacing w:after="0" w:line="202" w:lineRule="exact"/>
              <w:rPr>
                <w:sz w:val="20"/>
                <w:szCs w:val="20"/>
                <w:color w:val="auto"/>
              </w:rPr>
            </w:pPr>
            <w:r>
              <w:rPr>
                <w:rFonts w:ascii="Arial" w:cs="Arial" w:eastAsia="Arial" w:hAnsi="Arial"/>
                <w:sz w:val="18"/>
                <w:szCs w:val="18"/>
                <w:color w:val="auto"/>
              </w:rPr>
              <w:t>—</w:t>
            </w:r>
          </w:p>
        </w:tc>
        <w:tc>
          <w:tcPr>
            <w:tcW w:w="270" w:type="dxa"/>
            <w:vAlign w:val="bottom"/>
          </w:tcPr>
          <w:p>
            <w:pPr>
              <w:spacing w:after="0"/>
              <w:rPr>
                <w:sz w:val="17"/>
                <w:szCs w:val="17"/>
                <w:color w:val="auto"/>
              </w:rPr>
            </w:pPr>
          </w:p>
        </w:tc>
        <w:tc>
          <w:tcPr>
            <w:tcW w:w="1110" w:type="dxa"/>
            <w:vAlign w:val="bottom"/>
          </w:tcPr>
          <w:p>
            <w:pPr>
              <w:jc w:val="right"/>
              <w:ind w:right="119"/>
              <w:spacing w:after="0" w:line="202" w:lineRule="exact"/>
              <w:rPr>
                <w:sz w:val="20"/>
                <w:szCs w:val="20"/>
                <w:color w:val="auto"/>
              </w:rPr>
            </w:pPr>
            <w:r>
              <w:rPr>
                <w:rFonts w:ascii="Arial" w:cs="Arial" w:eastAsia="Arial" w:hAnsi="Arial"/>
                <w:sz w:val="18"/>
                <w:szCs w:val="18"/>
                <w:color w:val="auto"/>
              </w:rPr>
              <w:t>0.4</w:t>
            </w:r>
          </w:p>
        </w:tc>
        <w:tc>
          <w:tcPr>
            <w:tcW w:w="720" w:type="dxa"/>
            <w:vAlign w:val="bottom"/>
          </w:tcPr>
          <w:p>
            <w:pPr>
              <w:spacing w:after="0"/>
              <w:rPr>
                <w:sz w:val="17"/>
                <w:szCs w:val="17"/>
                <w:color w:val="auto"/>
              </w:rPr>
            </w:pPr>
          </w:p>
        </w:tc>
        <w:tc>
          <w:tcPr>
            <w:tcW w:w="600" w:type="dxa"/>
            <w:vAlign w:val="bottom"/>
          </w:tcPr>
          <w:p>
            <w:pPr>
              <w:jc w:val="right"/>
              <w:ind w:right="35"/>
              <w:spacing w:after="0" w:line="202" w:lineRule="exact"/>
              <w:rPr>
                <w:sz w:val="20"/>
                <w:szCs w:val="20"/>
                <w:color w:val="auto"/>
              </w:rPr>
            </w:pPr>
            <w:r>
              <w:rPr>
                <w:rFonts w:ascii="Arial" w:cs="Arial" w:eastAsia="Arial" w:hAnsi="Arial"/>
                <w:sz w:val="18"/>
                <w:szCs w:val="18"/>
                <w:color w:val="auto"/>
              </w:rPr>
              <w:t>0.3</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4900" w:type="dxa"/>
            <w:vAlign w:val="bottom"/>
            <w:shd w:val="clear" w:color="auto" w:fill="E6E6E6"/>
          </w:tcPr>
          <w:p>
            <w:pPr>
              <w:ind w:left="160"/>
              <w:spacing w:after="0" w:line="202" w:lineRule="exact"/>
              <w:rPr>
                <w:sz w:val="20"/>
                <w:szCs w:val="20"/>
                <w:color w:val="auto"/>
              </w:rPr>
            </w:pPr>
            <w:r>
              <w:rPr>
                <w:rFonts w:ascii="Arial" w:cs="Arial" w:eastAsia="Arial" w:hAnsi="Arial"/>
                <w:sz w:val="18"/>
                <w:szCs w:val="18"/>
                <w:color w:val="auto"/>
              </w:rPr>
              <w:t>Foreign currency translation</w:t>
            </w:r>
          </w:p>
        </w:tc>
        <w:tc>
          <w:tcPr>
            <w:tcW w:w="1360" w:type="dxa"/>
            <w:vAlign w:val="bottom"/>
            <w:shd w:val="clear" w:color="auto" w:fill="E6E6E6"/>
          </w:tcPr>
          <w:p>
            <w:pPr>
              <w:spacing w:after="0"/>
              <w:rPr>
                <w:sz w:val="17"/>
                <w:szCs w:val="17"/>
                <w:color w:val="auto"/>
              </w:rPr>
            </w:pPr>
          </w:p>
        </w:tc>
        <w:tc>
          <w:tcPr>
            <w:tcW w:w="1100" w:type="dxa"/>
            <w:vAlign w:val="bottom"/>
            <w:shd w:val="clear" w:color="auto" w:fill="E6E6E6"/>
          </w:tcPr>
          <w:p>
            <w:pPr>
              <w:jc w:val="right"/>
              <w:ind w:right="57"/>
              <w:spacing w:after="0" w:line="202" w:lineRule="exact"/>
              <w:rPr>
                <w:sz w:val="20"/>
                <w:szCs w:val="20"/>
                <w:color w:val="auto"/>
              </w:rPr>
            </w:pPr>
            <w:r>
              <w:rPr>
                <w:rFonts w:ascii="Arial" w:cs="Arial" w:eastAsia="Arial" w:hAnsi="Arial"/>
                <w:sz w:val="18"/>
                <w:szCs w:val="18"/>
                <w:color w:val="auto"/>
              </w:rPr>
              <w:t>(1.6)</w:t>
            </w:r>
          </w:p>
        </w:tc>
        <w:tc>
          <w:tcPr>
            <w:tcW w:w="580" w:type="dxa"/>
            <w:vAlign w:val="bottom"/>
            <w:shd w:val="clear" w:color="auto" w:fill="E6E6E6"/>
          </w:tcPr>
          <w:p>
            <w:pPr>
              <w:spacing w:after="0"/>
              <w:rPr>
                <w:sz w:val="17"/>
                <w:szCs w:val="17"/>
                <w:color w:val="auto"/>
              </w:rPr>
            </w:pPr>
          </w:p>
        </w:tc>
        <w:tc>
          <w:tcPr>
            <w:tcW w:w="780" w:type="dxa"/>
            <w:vAlign w:val="bottom"/>
            <w:shd w:val="clear" w:color="auto" w:fill="E6E6E6"/>
          </w:tcPr>
          <w:p>
            <w:pPr>
              <w:jc w:val="right"/>
              <w:ind w:right="55"/>
              <w:spacing w:after="0" w:line="202" w:lineRule="exact"/>
              <w:rPr>
                <w:sz w:val="20"/>
                <w:szCs w:val="20"/>
                <w:color w:val="auto"/>
              </w:rPr>
            </w:pPr>
            <w:r>
              <w:rPr>
                <w:rFonts w:ascii="Arial" w:cs="Arial" w:eastAsia="Arial" w:hAnsi="Arial"/>
                <w:sz w:val="18"/>
                <w:szCs w:val="18"/>
                <w:color w:val="auto"/>
              </w:rPr>
              <w:t>(5.1)</w:t>
            </w:r>
          </w:p>
        </w:tc>
        <w:tc>
          <w:tcPr>
            <w:tcW w:w="270" w:type="dxa"/>
            <w:vAlign w:val="bottom"/>
            <w:shd w:val="clear" w:color="auto" w:fill="E6E6E6"/>
          </w:tcPr>
          <w:p>
            <w:pPr>
              <w:spacing w:after="0"/>
              <w:rPr>
                <w:sz w:val="17"/>
                <w:szCs w:val="17"/>
                <w:color w:val="auto"/>
              </w:rPr>
            </w:pPr>
          </w:p>
        </w:tc>
        <w:tc>
          <w:tcPr>
            <w:tcW w:w="1110" w:type="dxa"/>
            <w:vAlign w:val="bottom"/>
            <w:shd w:val="clear" w:color="auto" w:fill="E6E6E6"/>
          </w:tcPr>
          <w:p>
            <w:pPr>
              <w:jc w:val="right"/>
              <w:ind w:right="119"/>
              <w:spacing w:after="0" w:line="202" w:lineRule="exact"/>
              <w:rPr>
                <w:sz w:val="20"/>
                <w:szCs w:val="20"/>
                <w:color w:val="auto"/>
              </w:rPr>
            </w:pPr>
            <w:r>
              <w:rPr>
                <w:rFonts w:ascii="Arial" w:cs="Arial" w:eastAsia="Arial" w:hAnsi="Arial"/>
                <w:sz w:val="18"/>
                <w:szCs w:val="18"/>
                <w:color w:val="auto"/>
              </w:rPr>
              <w:t>—</w:t>
            </w:r>
          </w:p>
        </w:tc>
        <w:tc>
          <w:tcPr>
            <w:tcW w:w="720" w:type="dxa"/>
            <w:vAlign w:val="bottom"/>
            <w:shd w:val="clear" w:color="auto" w:fill="E6E6E6"/>
          </w:tcPr>
          <w:p>
            <w:pPr>
              <w:spacing w:after="0"/>
              <w:rPr>
                <w:sz w:val="17"/>
                <w:szCs w:val="17"/>
                <w:color w:val="auto"/>
              </w:rPr>
            </w:pPr>
          </w:p>
        </w:tc>
        <w:tc>
          <w:tcPr>
            <w:tcW w:w="600" w:type="dxa"/>
            <w:vAlign w:val="bottom"/>
            <w:shd w:val="clear" w:color="auto" w:fill="E6E6E6"/>
          </w:tcPr>
          <w:p>
            <w:pPr>
              <w:jc w:val="right"/>
              <w:ind w:right="35"/>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08"/>
        </w:trPr>
        <w:tc>
          <w:tcPr>
            <w:tcW w:w="4900" w:type="dxa"/>
            <w:vAlign w:val="bottom"/>
            <w:tcBorders>
              <w:bottom w:val="single" w:sz="8" w:color="808080"/>
            </w:tcBorders>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270" w:type="dxa"/>
            <w:vAlign w:val="bottom"/>
            <w:tcBorders>
              <w:bottom w:val="single" w:sz="8" w:color="808080"/>
            </w:tcBorders>
          </w:tcPr>
          <w:p>
            <w:pPr>
              <w:spacing w:after="0"/>
              <w:rPr>
                <w:sz w:val="9"/>
                <w:szCs w:val="9"/>
                <w:color w:val="auto"/>
              </w:rPr>
            </w:pPr>
          </w:p>
        </w:tc>
        <w:tc>
          <w:tcPr>
            <w:tcW w:w="111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gridSpan w:val="2"/>
          </w:tcPr>
          <w:p>
            <w:pPr>
              <w:spacing w:after="0"/>
              <w:rPr>
                <w:sz w:val="9"/>
                <w:szCs w:val="9"/>
                <w:color w:val="auto"/>
              </w:rPr>
            </w:pPr>
          </w:p>
        </w:tc>
        <w:tc>
          <w:tcPr>
            <w:tcW w:w="20" w:type="dxa"/>
            <w:vAlign w:val="bottom"/>
          </w:tcPr>
          <w:p>
            <w:pPr>
              <w:spacing w:after="0"/>
              <w:rPr>
                <w:sz w:val="9"/>
                <w:szCs w:val="9"/>
                <w:color w:val="auto"/>
              </w:rPr>
            </w:pPr>
          </w:p>
        </w:tc>
      </w:tr>
      <w:tr>
        <w:trPr>
          <w:trHeight w:val="316"/>
        </w:trPr>
        <w:tc>
          <w:tcPr>
            <w:tcW w:w="4900" w:type="dxa"/>
            <w:vAlign w:val="bottom"/>
          </w:tcPr>
          <w:p>
            <w:pPr>
              <w:spacing w:after="0"/>
              <w:rPr>
                <w:sz w:val="20"/>
                <w:szCs w:val="20"/>
                <w:color w:val="auto"/>
              </w:rPr>
            </w:pPr>
            <w:r>
              <w:rPr>
                <w:rFonts w:ascii="Arial" w:cs="Arial" w:eastAsia="Arial" w:hAnsi="Arial"/>
                <w:sz w:val="18"/>
                <w:szCs w:val="18"/>
                <w:b w:val="1"/>
                <w:bCs w:val="1"/>
                <w:color w:val="auto"/>
              </w:rPr>
              <w:t>Fair value of plan assets at end of year</w:t>
            </w: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00" w:type="dxa"/>
            <w:vAlign w:val="bottom"/>
          </w:tcPr>
          <w:p>
            <w:pPr>
              <w:jc w:val="right"/>
              <w:ind w:right="117"/>
              <w:spacing w:after="0"/>
              <w:rPr>
                <w:sz w:val="20"/>
                <w:szCs w:val="20"/>
                <w:color w:val="auto"/>
              </w:rPr>
            </w:pPr>
            <w:r>
              <w:rPr>
                <w:rFonts w:ascii="Arial" w:cs="Arial" w:eastAsia="Arial" w:hAnsi="Arial"/>
                <w:sz w:val="18"/>
                <w:szCs w:val="18"/>
                <w:b w:val="1"/>
                <w:bCs w:val="1"/>
                <w:color w:val="auto"/>
              </w:rPr>
              <w:t>126.5</w:t>
            </w:r>
          </w:p>
        </w:tc>
        <w:tc>
          <w:tcPr>
            <w:tcW w:w="580" w:type="dxa"/>
            <w:vAlign w:val="bottom"/>
          </w:tcPr>
          <w:p>
            <w:pPr>
              <w:jc w:val="right"/>
              <w:ind w:right="252"/>
              <w:spacing w:after="0"/>
              <w:rPr>
                <w:sz w:val="20"/>
                <w:szCs w:val="20"/>
                <w:color w:val="auto"/>
              </w:rPr>
            </w:pPr>
            <w:r>
              <w:rPr>
                <w:rFonts w:ascii="Arial" w:cs="Arial" w:eastAsia="Arial" w:hAnsi="Arial"/>
                <w:sz w:val="18"/>
                <w:szCs w:val="18"/>
                <w:b w:val="1"/>
                <w:bCs w:val="1"/>
                <w:color w:val="auto"/>
              </w:rPr>
              <w:t>$</w:t>
            </w:r>
          </w:p>
        </w:tc>
        <w:tc>
          <w:tcPr>
            <w:tcW w:w="780" w:type="dxa"/>
            <w:vAlign w:val="bottom"/>
          </w:tcPr>
          <w:p>
            <w:pPr>
              <w:jc w:val="right"/>
              <w:ind w:right="115"/>
              <w:spacing w:after="0"/>
              <w:rPr>
                <w:sz w:val="20"/>
                <w:szCs w:val="20"/>
                <w:color w:val="auto"/>
              </w:rPr>
            </w:pPr>
            <w:r>
              <w:rPr>
                <w:rFonts w:ascii="Arial" w:cs="Arial" w:eastAsia="Arial" w:hAnsi="Arial"/>
                <w:sz w:val="18"/>
                <w:szCs w:val="18"/>
                <w:b w:val="1"/>
                <w:bCs w:val="1"/>
                <w:color w:val="auto"/>
              </w:rPr>
              <w:t>105.3</w:t>
            </w:r>
          </w:p>
        </w:tc>
        <w:tc>
          <w:tcPr>
            <w:tcW w:w="27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10" w:type="dxa"/>
            <w:vAlign w:val="bottom"/>
          </w:tcPr>
          <w:p>
            <w:pPr>
              <w:jc w:val="right"/>
              <w:ind w:right="119"/>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jc w:val="right"/>
              <w:ind w:right="392"/>
              <w:spacing w:after="0"/>
              <w:rPr>
                <w:sz w:val="20"/>
                <w:szCs w:val="20"/>
                <w:color w:val="auto"/>
              </w:rPr>
            </w:pPr>
            <w:r>
              <w:rPr>
                <w:rFonts w:ascii="Arial" w:cs="Arial" w:eastAsia="Arial" w:hAnsi="Arial"/>
                <w:sz w:val="18"/>
                <w:szCs w:val="18"/>
                <w:b w:val="1"/>
                <w:bCs w:val="1"/>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24"/>
                <w:szCs w:val="24"/>
                <w:color w:val="auto"/>
              </w:rPr>
            </w:pPr>
          </w:p>
        </w:tc>
      </w:tr>
      <w:tr>
        <w:trPr>
          <w:trHeight w:val="120"/>
        </w:trPr>
        <w:tc>
          <w:tcPr>
            <w:tcW w:w="6260" w:type="dxa"/>
            <w:vAlign w:val="bottom"/>
            <w:tcBorders>
              <w:bottom w:val="single" w:sz="8" w:color="808080"/>
            </w:tcBorders>
            <w:gridSpan w:val="2"/>
          </w:tcPr>
          <w:p>
            <w:pPr>
              <w:spacing w:after="0"/>
              <w:rPr>
                <w:sz w:val="10"/>
                <w:szCs w:val="10"/>
                <w:color w:val="auto"/>
              </w:rPr>
            </w:pPr>
          </w:p>
        </w:tc>
        <w:tc>
          <w:tcPr>
            <w:tcW w:w="1680" w:type="dxa"/>
            <w:vAlign w:val="bottom"/>
            <w:tcBorders>
              <w:bottom w:val="single" w:sz="8" w:color="808080"/>
            </w:tcBorders>
            <w:gridSpan w:val="2"/>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270" w:type="dxa"/>
            <w:vAlign w:val="bottom"/>
            <w:tcBorders>
              <w:bottom w:val="single" w:sz="8" w:color="808080"/>
            </w:tcBorders>
          </w:tcPr>
          <w:p>
            <w:pPr>
              <w:spacing w:after="0"/>
              <w:rPr>
                <w:sz w:val="10"/>
                <w:szCs w:val="10"/>
                <w:color w:val="auto"/>
              </w:rPr>
            </w:pPr>
          </w:p>
        </w:tc>
        <w:tc>
          <w:tcPr>
            <w:tcW w:w="111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r>
      <w:tr>
        <w:trPr>
          <w:trHeight w:val="529"/>
        </w:trPr>
        <w:tc>
          <w:tcPr>
            <w:tcW w:w="10820" w:type="dxa"/>
            <w:vAlign w:val="bottom"/>
            <w:gridSpan w:val="8"/>
          </w:tcPr>
          <w:p>
            <w:pPr>
              <w:spacing w:after="0"/>
              <w:rPr>
                <w:sz w:val="20"/>
                <w:szCs w:val="20"/>
                <w:color w:val="auto"/>
              </w:rPr>
            </w:pPr>
            <w:r>
              <w:rPr>
                <w:rFonts w:ascii="Arial" w:cs="Arial" w:eastAsia="Arial" w:hAnsi="Arial"/>
                <w:sz w:val="18"/>
                <w:szCs w:val="18"/>
                <w:color w:val="auto"/>
                <w:w w:val="88"/>
              </w:rPr>
              <w:t>The following table sets forth the funded status of the Pension Plans and Post-Retirement Benefits and the related amounts recognized on the Company’s</w:t>
            </w: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2"/>
        </w:trPr>
        <w:tc>
          <w:tcPr>
            <w:tcW w:w="4900" w:type="dxa"/>
            <w:vAlign w:val="bottom"/>
          </w:tcPr>
          <w:p>
            <w:pPr>
              <w:spacing w:after="0"/>
              <w:rPr>
                <w:sz w:val="20"/>
                <w:szCs w:val="20"/>
                <w:color w:val="auto"/>
              </w:rPr>
            </w:pPr>
            <w:r>
              <w:rPr>
                <w:rFonts w:ascii="Arial" w:cs="Arial" w:eastAsia="Arial" w:hAnsi="Arial"/>
                <w:sz w:val="18"/>
                <w:szCs w:val="18"/>
                <w:color w:val="auto"/>
              </w:rPr>
              <w:t>Consolidated Balance Sheets at May 31:</w:t>
            </w:r>
          </w:p>
        </w:tc>
        <w:tc>
          <w:tcPr>
            <w:tcW w:w="13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70" w:type="dxa"/>
            <w:vAlign w:val="bottom"/>
          </w:tcPr>
          <w:p>
            <w:pPr>
              <w:spacing w:after="0"/>
              <w:rPr>
                <w:sz w:val="19"/>
                <w:szCs w:val="19"/>
                <w:color w:val="auto"/>
              </w:rPr>
            </w:pPr>
          </w:p>
        </w:tc>
        <w:tc>
          <w:tcPr>
            <w:tcW w:w="111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63"/>
        </w:trPr>
        <w:tc>
          <w:tcPr>
            <w:tcW w:w="4900" w:type="dxa"/>
            <w:vAlign w:val="bottom"/>
          </w:tcPr>
          <w:p>
            <w:pPr>
              <w:spacing w:after="0"/>
              <w:rPr>
                <w:sz w:val="20"/>
                <w:szCs w:val="20"/>
                <w:color w:val="auto"/>
              </w:rPr>
            </w:pPr>
            <w:r>
              <w:rPr>
                <w:rFonts w:ascii="Arial" w:cs="Arial" w:eastAsia="Arial" w:hAnsi="Arial"/>
                <w:sz w:val="14"/>
                <w:szCs w:val="14"/>
                <w:b w:val="1"/>
                <w:bCs w:val="1"/>
                <w:color w:val="auto"/>
              </w:rPr>
              <w:t>Amounts recognized in the Consolidated</w:t>
            </w:r>
          </w:p>
        </w:tc>
        <w:tc>
          <w:tcPr>
            <w:tcW w:w="1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70" w:type="dxa"/>
            <w:vAlign w:val="bottom"/>
          </w:tcPr>
          <w:p>
            <w:pPr>
              <w:spacing w:after="0"/>
              <w:rPr>
                <w:sz w:val="24"/>
                <w:szCs w:val="24"/>
                <w:color w:val="auto"/>
              </w:rPr>
            </w:pPr>
          </w:p>
        </w:tc>
        <w:tc>
          <w:tcPr>
            <w:tcW w:w="1830" w:type="dxa"/>
            <w:vAlign w:val="bottom"/>
            <w:gridSpan w:val="2"/>
          </w:tcPr>
          <w:p>
            <w:pPr>
              <w:jc w:val="right"/>
              <w:ind w:right="132"/>
              <w:spacing w:after="0"/>
              <w:rPr>
                <w:sz w:val="20"/>
                <w:szCs w:val="20"/>
                <w:color w:val="auto"/>
              </w:rPr>
            </w:pPr>
            <w:r>
              <w:rPr>
                <w:rFonts w:ascii="Arial" w:cs="Arial" w:eastAsia="Arial" w:hAnsi="Arial"/>
                <w:sz w:val="14"/>
                <w:szCs w:val="14"/>
                <w:b w:val="1"/>
                <w:bCs w:val="1"/>
                <w:color w:val="auto"/>
              </w:rPr>
              <w:t>Post-Retirement</w:t>
            </w: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78"/>
        </w:trPr>
        <w:tc>
          <w:tcPr>
            <w:tcW w:w="4900" w:type="dxa"/>
            <w:vAlign w:val="bottom"/>
          </w:tcPr>
          <w:p>
            <w:pPr>
              <w:spacing w:after="0"/>
              <w:rPr>
                <w:sz w:val="20"/>
                <w:szCs w:val="20"/>
                <w:color w:val="auto"/>
              </w:rPr>
            </w:pPr>
            <w:r>
              <w:rPr>
                <w:rFonts w:ascii="Arial" w:cs="Arial" w:eastAsia="Arial" w:hAnsi="Arial"/>
                <w:sz w:val="14"/>
                <w:szCs w:val="14"/>
                <w:b w:val="1"/>
                <w:bCs w:val="1"/>
                <w:color w:val="auto"/>
              </w:rPr>
              <w:t>Balance Sheets</w:t>
            </w:r>
          </w:p>
        </w:tc>
        <w:tc>
          <w:tcPr>
            <w:tcW w:w="1360" w:type="dxa"/>
            <w:vAlign w:val="bottom"/>
          </w:tcPr>
          <w:p>
            <w:pPr>
              <w:spacing w:after="0"/>
              <w:rPr>
                <w:sz w:val="15"/>
                <w:szCs w:val="15"/>
                <w:color w:val="auto"/>
              </w:rPr>
            </w:pPr>
          </w:p>
        </w:tc>
        <w:tc>
          <w:tcPr>
            <w:tcW w:w="1680" w:type="dxa"/>
            <w:vAlign w:val="bottom"/>
            <w:gridSpan w:val="2"/>
          </w:tcPr>
          <w:p>
            <w:pPr>
              <w:jc w:val="right"/>
              <w:ind w:right="52"/>
              <w:spacing w:after="0"/>
              <w:rPr>
                <w:sz w:val="20"/>
                <w:szCs w:val="20"/>
                <w:color w:val="auto"/>
              </w:rPr>
            </w:pPr>
            <w:r>
              <w:rPr>
                <w:rFonts w:ascii="Arial" w:cs="Arial" w:eastAsia="Arial" w:hAnsi="Arial"/>
                <w:sz w:val="14"/>
                <w:szCs w:val="14"/>
                <w:b w:val="1"/>
                <w:bCs w:val="1"/>
                <w:color w:val="auto"/>
              </w:rPr>
              <w:t>Pension Plans</w:t>
            </w:r>
          </w:p>
        </w:tc>
        <w:tc>
          <w:tcPr>
            <w:tcW w:w="780" w:type="dxa"/>
            <w:vAlign w:val="bottom"/>
          </w:tcPr>
          <w:p>
            <w:pPr>
              <w:spacing w:after="0"/>
              <w:rPr>
                <w:sz w:val="15"/>
                <w:szCs w:val="15"/>
                <w:color w:val="auto"/>
              </w:rPr>
            </w:pPr>
          </w:p>
        </w:tc>
        <w:tc>
          <w:tcPr>
            <w:tcW w:w="270" w:type="dxa"/>
            <w:vAlign w:val="bottom"/>
          </w:tcPr>
          <w:p>
            <w:pPr>
              <w:spacing w:after="0"/>
              <w:rPr>
                <w:sz w:val="15"/>
                <w:szCs w:val="15"/>
                <w:color w:val="auto"/>
              </w:rPr>
            </w:pPr>
          </w:p>
        </w:tc>
        <w:tc>
          <w:tcPr>
            <w:tcW w:w="1830" w:type="dxa"/>
            <w:vAlign w:val="bottom"/>
            <w:gridSpan w:val="2"/>
          </w:tcPr>
          <w:p>
            <w:pPr>
              <w:jc w:val="right"/>
              <w:ind w:right="392"/>
              <w:spacing w:after="0"/>
              <w:rPr>
                <w:sz w:val="20"/>
                <w:szCs w:val="20"/>
                <w:color w:val="auto"/>
              </w:rPr>
            </w:pPr>
            <w:r>
              <w:rPr>
                <w:rFonts w:ascii="Arial" w:cs="Arial" w:eastAsia="Arial" w:hAnsi="Arial"/>
                <w:sz w:val="14"/>
                <w:szCs w:val="14"/>
                <w:b w:val="1"/>
                <w:bCs w:val="1"/>
                <w:color w:val="auto"/>
              </w:rPr>
              <w:t>Benefits</w:t>
            </w: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95"/>
        </w:trPr>
        <w:tc>
          <w:tcPr>
            <w:tcW w:w="4900" w:type="dxa"/>
            <w:vAlign w:val="bottom"/>
            <w:tcBorders>
              <w:bottom w:val="single" w:sz="8" w:color="auto"/>
            </w:tcBorders>
          </w:tcPr>
          <w:p>
            <w:pPr>
              <w:spacing w:after="0"/>
              <w:rPr>
                <w:sz w:val="8"/>
                <w:szCs w:val="8"/>
                <w:color w:val="auto"/>
              </w:rPr>
            </w:pPr>
          </w:p>
        </w:tc>
        <w:tc>
          <w:tcPr>
            <w:tcW w:w="136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70" w:type="dxa"/>
            <w:vAlign w:val="bottom"/>
            <w:tcBorders>
              <w:bottom w:val="single" w:sz="8" w:color="auto"/>
            </w:tcBorders>
          </w:tcPr>
          <w:p>
            <w:pPr>
              <w:spacing w:after="0"/>
              <w:rPr>
                <w:sz w:val="8"/>
                <w:szCs w:val="8"/>
                <w:color w:val="auto"/>
              </w:rPr>
            </w:pPr>
          </w:p>
        </w:tc>
        <w:tc>
          <w:tcPr>
            <w:tcW w:w="111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r>
      <w:tr>
        <w:trPr>
          <w:trHeight w:val="263"/>
        </w:trPr>
        <w:tc>
          <w:tcPr>
            <w:tcW w:w="49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100" w:type="dxa"/>
            <w:vAlign w:val="bottom"/>
          </w:tcPr>
          <w:p>
            <w:pPr>
              <w:jc w:val="right"/>
              <w:ind w:right="117"/>
              <w:spacing w:after="0"/>
              <w:rPr>
                <w:sz w:val="20"/>
                <w:szCs w:val="20"/>
                <w:color w:val="auto"/>
              </w:rPr>
            </w:pPr>
            <w:r>
              <w:rPr>
                <w:rFonts w:ascii="Arial" w:cs="Arial" w:eastAsia="Arial" w:hAnsi="Arial"/>
                <w:sz w:val="14"/>
                <w:szCs w:val="14"/>
                <w:b w:val="1"/>
                <w:bCs w:val="1"/>
                <w:color w:val="auto"/>
              </w:rPr>
              <w:t>2010</w:t>
            </w:r>
          </w:p>
        </w:tc>
        <w:tc>
          <w:tcPr>
            <w:tcW w:w="580" w:type="dxa"/>
            <w:vAlign w:val="bottom"/>
          </w:tcPr>
          <w:p>
            <w:pPr>
              <w:spacing w:after="0"/>
              <w:rPr>
                <w:sz w:val="22"/>
                <w:szCs w:val="22"/>
                <w:color w:val="auto"/>
              </w:rPr>
            </w:pPr>
          </w:p>
        </w:tc>
        <w:tc>
          <w:tcPr>
            <w:tcW w:w="780" w:type="dxa"/>
            <w:vAlign w:val="bottom"/>
          </w:tcPr>
          <w:p>
            <w:pPr>
              <w:jc w:val="right"/>
              <w:ind w:right="115"/>
              <w:spacing w:after="0"/>
              <w:rPr>
                <w:sz w:val="20"/>
                <w:szCs w:val="20"/>
                <w:color w:val="auto"/>
              </w:rPr>
            </w:pPr>
            <w:r>
              <w:rPr>
                <w:rFonts w:ascii="Arial" w:cs="Arial" w:eastAsia="Arial" w:hAnsi="Arial"/>
                <w:sz w:val="14"/>
                <w:szCs w:val="14"/>
                <w:b w:val="1"/>
                <w:bCs w:val="1"/>
                <w:color w:val="auto"/>
              </w:rPr>
              <w:t>2009</w:t>
            </w:r>
          </w:p>
        </w:tc>
        <w:tc>
          <w:tcPr>
            <w:tcW w:w="270" w:type="dxa"/>
            <w:vAlign w:val="bottom"/>
          </w:tcPr>
          <w:p>
            <w:pPr>
              <w:spacing w:after="0"/>
              <w:rPr>
                <w:sz w:val="22"/>
                <w:szCs w:val="22"/>
                <w:color w:val="auto"/>
              </w:rPr>
            </w:pPr>
          </w:p>
        </w:tc>
        <w:tc>
          <w:tcPr>
            <w:tcW w:w="1110" w:type="dxa"/>
            <w:vAlign w:val="bottom"/>
          </w:tcPr>
          <w:p>
            <w:pPr>
              <w:jc w:val="right"/>
              <w:ind w:right="119"/>
              <w:spacing w:after="0"/>
              <w:rPr>
                <w:sz w:val="20"/>
                <w:szCs w:val="20"/>
                <w:color w:val="auto"/>
              </w:rPr>
            </w:pPr>
            <w:r>
              <w:rPr>
                <w:rFonts w:ascii="Arial" w:cs="Arial" w:eastAsia="Arial" w:hAnsi="Arial"/>
                <w:sz w:val="14"/>
                <w:szCs w:val="14"/>
                <w:b w:val="1"/>
                <w:bCs w:val="1"/>
                <w:color w:val="auto"/>
              </w:rPr>
              <w:t>2010</w:t>
            </w:r>
          </w:p>
        </w:tc>
        <w:tc>
          <w:tcPr>
            <w:tcW w:w="720" w:type="dxa"/>
            <w:vAlign w:val="bottom"/>
          </w:tcPr>
          <w:p>
            <w:pPr>
              <w:spacing w:after="0"/>
              <w:rPr>
                <w:sz w:val="22"/>
                <w:szCs w:val="22"/>
                <w:color w:val="auto"/>
              </w:rPr>
            </w:pPr>
          </w:p>
        </w:tc>
        <w:tc>
          <w:tcPr>
            <w:tcW w:w="600" w:type="dxa"/>
            <w:vAlign w:val="bottom"/>
          </w:tcPr>
          <w:p>
            <w:pPr>
              <w:jc w:val="right"/>
              <w:ind w:right="35"/>
              <w:spacing w:after="0"/>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95"/>
        </w:trPr>
        <w:tc>
          <w:tcPr>
            <w:tcW w:w="4900" w:type="dxa"/>
            <w:vAlign w:val="bottom"/>
            <w:tcBorders>
              <w:bottom w:val="single" w:sz="8" w:color="auto"/>
            </w:tcBorders>
          </w:tcPr>
          <w:p>
            <w:pPr>
              <w:spacing w:after="0"/>
              <w:rPr>
                <w:sz w:val="8"/>
                <w:szCs w:val="8"/>
                <w:color w:val="auto"/>
              </w:rPr>
            </w:pPr>
          </w:p>
        </w:tc>
        <w:tc>
          <w:tcPr>
            <w:tcW w:w="136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70" w:type="dxa"/>
            <w:vAlign w:val="bottom"/>
            <w:tcBorders>
              <w:bottom w:val="single" w:sz="8" w:color="auto"/>
            </w:tcBorders>
          </w:tcPr>
          <w:p>
            <w:pPr>
              <w:spacing w:after="0"/>
              <w:rPr>
                <w:sz w:val="8"/>
                <w:szCs w:val="8"/>
                <w:color w:val="auto"/>
              </w:rPr>
            </w:pPr>
          </w:p>
        </w:tc>
        <w:tc>
          <w:tcPr>
            <w:tcW w:w="111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r>
      <w:tr>
        <w:trPr>
          <w:trHeight w:val="102"/>
        </w:trPr>
        <w:tc>
          <w:tcPr>
            <w:tcW w:w="490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70" w:type="dxa"/>
            <w:vAlign w:val="bottom"/>
          </w:tcPr>
          <w:p>
            <w:pPr>
              <w:spacing w:after="0"/>
              <w:rPr>
                <w:sz w:val="8"/>
                <w:szCs w:val="8"/>
                <w:color w:val="auto"/>
              </w:rPr>
            </w:pPr>
          </w:p>
        </w:tc>
        <w:tc>
          <w:tcPr>
            <w:tcW w:w="1110" w:type="dxa"/>
            <w:vAlign w:val="bottom"/>
          </w:tcPr>
          <w:p>
            <w:pPr>
              <w:spacing w:after="0"/>
              <w:rPr>
                <w:sz w:val="8"/>
                <w:szCs w:val="8"/>
                <w:color w:val="auto"/>
              </w:rPr>
            </w:pPr>
          </w:p>
        </w:tc>
        <w:tc>
          <w:tcPr>
            <w:tcW w:w="720" w:type="dxa"/>
            <w:vAlign w:val="bottom"/>
          </w:tcPr>
          <w:p>
            <w:pPr>
              <w:spacing w:after="0"/>
              <w:rPr>
                <w:sz w:val="8"/>
                <w:szCs w:val="8"/>
                <w:color w:val="auto"/>
              </w:rPr>
            </w:pPr>
          </w:p>
        </w:tc>
        <w:tc>
          <w:tcPr>
            <w:tcW w:w="620" w:type="dxa"/>
            <w:vAlign w:val="bottom"/>
            <w:gridSpan w:val="2"/>
          </w:tcPr>
          <w:p>
            <w:pPr>
              <w:spacing w:after="0"/>
              <w:rPr>
                <w:sz w:val="8"/>
                <w:szCs w:val="8"/>
                <w:color w:val="auto"/>
              </w:rPr>
            </w:pPr>
          </w:p>
        </w:tc>
        <w:tc>
          <w:tcPr>
            <w:tcW w:w="20" w:type="dxa"/>
            <w:vAlign w:val="bottom"/>
          </w:tcPr>
          <w:p>
            <w:pPr>
              <w:spacing w:after="0"/>
              <w:rPr>
                <w:sz w:val="8"/>
                <w:szCs w:val="8"/>
                <w:color w:val="auto"/>
              </w:rPr>
            </w:pPr>
          </w:p>
        </w:tc>
      </w:tr>
      <w:tr>
        <w:trPr>
          <w:trHeight w:val="203"/>
        </w:trPr>
        <w:tc>
          <w:tcPr>
            <w:tcW w:w="4900" w:type="dxa"/>
            <w:vAlign w:val="bottom"/>
            <w:shd w:val="clear" w:color="auto" w:fill="E6E6E6"/>
          </w:tcPr>
          <w:p>
            <w:pPr>
              <w:ind w:left="160"/>
              <w:spacing w:after="0" w:line="202" w:lineRule="exact"/>
              <w:rPr>
                <w:sz w:val="20"/>
                <w:szCs w:val="20"/>
                <w:color w:val="auto"/>
              </w:rPr>
            </w:pPr>
            <w:r>
              <w:rPr>
                <w:rFonts w:ascii="Arial" w:cs="Arial" w:eastAsia="Arial" w:hAnsi="Arial"/>
                <w:sz w:val="18"/>
                <w:szCs w:val="18"/>
                <w:color w:val="auto"/>
              </w:rPr>
              <w:t>Current assets</w:t>
            </w:r>
          </w:p>
        </w:tc>
        <w:tc>
          <w:tcPr>
            <w:tcW w:w="136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w:t>
            </w:r>
          </w:p>
        </w:tc>
        <w:tc>
          <w:tcPr>
            <w:tcW w:w="1100" w:type="dxa"/>
            <w:vAlign w:val="bottom"/>
            <w:shd w:val="clear" w:color="auto" w:fill="E6E6E6"/>
          </w:tcPr>
          <w:p>
            <w:pPr>
              <w:jc w:val="right"/>
              <w:ind w:right="117"/>
              <w:spacing w:after="0" w:line="202" w:lineRule="exact"/>
              <w:rPr>
                <w:sz w:val="20"/>
                <w:szCs w:val="20"/>
                <w:color w:val="auto"/>
              </w:rPr>
            </w:pPr>
            <w:r>
              <w:rPr>
                <w:rFonts w:ascii="Arial" w:cs="Arial" w:eastAsia="Arial" w:hAnsi="Arial"/>
                <w:sz w:val="18"/>
                <w:szCs w:val="18"/>
                <w:color w:val="auto"/>
              </w:rPr>
              <w:t>—</w:t>
            </w:r>
          </w:p>
        </w:tc>
        <w:tc>
          <w:tcPr>
            <w:tcW w:w="580" w:type="dxa"/>
            <w:vAlign w:val="bottom"/>
            <w:shd w:val="clear" w:color="auto" w:fill="E6E6E6"/>
          </w:tcPr>
          <w:p>
            <w:pPr>
              <w:jc w:val="right"/>
              <w:ind w:right="252"/>
              <w:spacing w:after="0" w:line="202" w:lineRule="exact"/>
              <w:rPr>
                <w:sz w:val="20"/>
                <w:szCs w:val="20"/>
                <w:color w:val="auto"/>
              </w:rPr>
            </w:pPr>
            <w:r>
              <w:rPr>
                <w:rFonts w:ascii="Arial" w:cs="Arial" w:eastAsia="Arial" w:hAnsi="Arial"/>
                <w:sz w:val="18"/>
                <w:szCs w:val="18"/>
                <w:color w:val="auto"/>
              </w:rPr>
              <w:t>$</w:t>
            </w:r>
          </w:p>
        </w:tc>
        <w:tc>
          <w:tcPr>
            <w:tcW w:w="780" w:type="dxa"/>
            <w:vAlign w:val="bottom"/>
            <w:shd w:val="clear" w:color="auto" w:fill="E6E6E6"/>
          </w:tcPr>
          <w:p>
            <w:pPr>
              <w:jc w:val="right"/>
              <w:ind w:right="115"/>
              <w:spacing w:after="0" w:line="202" w:lineRule="exact"/>
              <w:rPr>
                <w:sz w:val="20"/>
                <w:szCs w:val="20"/>
                <w:color w:val="auto"/>
              </w:rPr>
            </w:pPr>
            <w:r>
              <w:rPr>
                <w:rFonts w:ascii="Arial" w:cs="Arial" w:eastAsia="Arial" w:hAnsi="Arial"/>
                <w:sz w:val="18"/>
                <w:szCs w:val="18"/>
                <w:color w:val="auto"/>
              </w:rPr>
              <w:t>—</w:t>
            </w:r>
          </w:p>
        </w:tc>
        <w:tc>
          <w:tcPr>
            <w:tcW w:w="27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w:t>
            </w:r>
          </w:p>
        </w:tc>
        <w:tc>
          <w:tcPr>
            <w:tcW w:w="1110" w:type="dxa"/>
            <w:vAlign w:val="bottom"/>
            <w:shd w:val="clear" w:color="auto" w:fill="E6E6E6"/>
          </w:tcPr>
          <w:p>
            <w:pPr>
              <w:jc w:val="right"/>
              <w:ind w:right="119"/>
              <w:spacing w:after="0" w:line="202" w:lineRule="exact"/>
              <w:rPr>
                <w:sz w:val="20"/>
                <w:szCs w:val="20"/>
                <w:color w:val="auto"/>
              </w:rPr>
            </w:pPr>
            <w:r>
              <w:rPr>
                <w:rFonts w:ascii="Arial" w:cs="Arial" w:eastAsia="Arial" w:hAnsi="Arial"/>
                <w:sz w:val="18"/>
                <w:szCs w:val="18"/>
                <w:color w:val="auto"/>
              </w:rPr>
              <w:t>—</w:t>
            </w:r>
          </w:p>
        </w:tc>
        <w:tc>
          <w:tcPr>
            <w:tcW w:w="720" w:type="dxa"/>
            <w:vAlign w:val="bottom"/>
            <w:shd w:val="clear" w:color="auto" w:fill="E6E6E6"/>
          </w:tcPr>
          <w:p>
            <w:pPr>
              <w:jc w:val="right"/>
              <w:ind w:right="392"/>
              <w:spacing w:after="0" w:line="202" w:lineRule="exact"/>
              <w:rPr>
                <w:sz w:val="20"/>
                <w:szCs w:val="20"/>
                <w:color w:val="auto"/>
              </w:rPr>
            </w:pPr>
            <w:r>
              <w:rPr>
                <w:rFonts w:ascii="Arial" w:cs="Arial" w:eastAsia="Arial" w:hAnsi="Arial"/>
                <w:sz w:val="18"/>
                <w:szCs w:val="18"/>
                <w:color w:val="auto"/>
              </w:rPr>
              <w:t>$</w:t>
            </w:r>
          </w:p>
        </w:tc>
        <w:tc>
          <w:tcPr>
            <w:tcW w:w="600" w:type="dxa"/>
            <w:vAlign w:val="bottom"/>
            <w:shd w:val="clear" w:color="auto" w:fill="E6E6E6"/>
          </w:tcPr>
          <w:p>
            <w:pPr>
              <w:jc w:val="right"/>
              <w:ind w:right="35"/>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4900" w:type="dxa"/>
            <w:vAlign w:val="bottom"/>
          </w:tcPr>
          <w:p>
            <w:pPr>
              <w:ind w:left="160"/>
              <w:spacing w:after="0" w:line="202" w:lineRule="exact"/>
              <w:rPr>
                <w:sz w:val="20"/>
                <w:szCs w:val="20"/>
                <w:color w:val="auto"/>
              </w:rPr>
            </w:pPr>
            <w:r>
              <w:rPr>
                <w:rFonts w:ascii="Arial" w:cs="Arial" w:eastAsia="Arial" w:hAnsi="Arial"/>
                <w:sz w:val="18"/>
                <w:szCs w:val="18"/>
                <w:color w:val="auto"/>
              </w:rPr>
              <w:t>Current liabilities</w:t>
            </w:r>
          </w:p>
        </w:tc>
        <w:tc>
          <w:tcPr>
            <w:tcW w:w="1360" w:type="dxa"/>
            <w:vAlign w:val="bottom"/>
          </w:tcPr>
          <w:p>
            <w:pPr>
              <w:spacing w:after="0"/>
              <w:rPr>
                <w:sz w:val="17"/>
                <w:szCs w:val="17"/>
                <w:color w:val="auto"/>
              </w:rPr>
            </w:pPr>
          </w:p>
        </w:tc>
        <w:tc>
          <w:tcPr>
            <w:tcW w:w="1100" w:type="dxa"/>
            <w:vAlign w:val="bottom"/>
          </w:tcPr>
          <w:p>
            <w:pPr>
              <w:jc w:val="right"/>
              <w:ind w:right="117"/>
              <w:spacing w:after="0" w:line="202" w:lineRule="exact"/>
              <w:rPr>
                <w:sz w:val="20"/>
                <w:szCs w:val="20"/>
                <w:color w:val="auto"/>
              </w:rPr>
            </w:pPr>
            <w:r>
              <w:rPr>
                <w:rFonts w:ascii="Arial" w:cs="Arial" w:eastAsia="Arial" w:hAnsi="Arial"/>
                <w:sz w:val="18"/>
                <w:szCs w:val="18"/>
                <w:color w:val="auto"/>
              </w:rPr>
              <w:t>—</w:t>
            </w:r>
          </w:p>
        </w:tc>
        <w:tc>
          <w:tcPr>
            <w:tcW w:w="580" w:type="dxa"/>
            <w:vAlign w:val="bottom"/>
          </w:tcPr>
          <w:p>
            <w:pPr>
              <w:spacing w:after="0"/>
              <w:rPr>
                <w:sz w:val="17"/>
                <w:szCs w:val="17"/>
                <w:color w:val="auto"/>
              </w:rPr>
            </w:pPr>
          </w:p>
        </w:tc>
        <w:tc>
          <w:tcPr>
            <w:tcW w:w="780" w:type="dxa"/>
            <w:vAlign w:val="bottom"/>
          </w:tcPr>
          <w:p>
            <w:pPr>
              <w:jc w:val="right"/>
              <w:ind w:right="115"/>
              <w:spacing w:after="0" w:line="202" w:lineRule="exact"/>
              <w:rPr>
                <w:sz w:val="20"/>
                <w:szCs w:val="20"/>
                <w:color w:val="auto"/>
              </w:rPr>
            </w:pPr>
            <w:r>
              <w:rPr>
                <w:rFonts w:ascii="Arial" w:cs="Arial" w:eastAsia="Arial" w:hAnsi="Arial"/>
                <w:sz w:val="18"/>
                <w:szCs w:val="18"/>
                <w:color w:val="auto"/>
              </w:rPr>
              <w:t>—</w:t>
            </w:r>
          </w:p>
        </w:tc>
        <w:tc>
          <w:tcPr>
            <w:tcW w:w="270" w:type="dxa"/>
            <w:vAlign w:val="bottom"/>
          </w:tcPr>
          <w:p>
            <w:pPr>
              <w:spacing w:after="0"/>
              <w:rPr>
                <w:sz w:val="17"/>
                <w:szCs w:val="17"/>
                <w:color w:val="auto"/>
              </w:rPr>
            </w:pPr>
          </w:p>
        </w:tc>
        <w:tc>
          <w:tcPr>
            <w:tcW w:w="1110" w:type="dxa"/>
            <w:vAlign w:val="bottom"/>
          </w:tcPr>
          <w:p>
            <w:pPr>
              <w:jc w:val="right"/>
              <w:ind w:right="59"/>
              <w:spacing w:after="0" w:line="202" w:lineRule="exact"/>
              <w:rPr>
                <w:sz w:val="20"/>
                <w:szCs w:val="20"/>
                <w:color w:val="auto"/>
              </w:rPr>
            </w:pPr>
            <w:r>
              <w:rPr>
                <w:rFonts w:ascii="Arial" w:cs="Arial" w:eastAsia="Arial" w:hAnsi="Arial"/>
                <w:sz w:val="18"/>
                <w:szCs w:val="18"/>
                <w:color w:val="auto"/>
              </w:rPr>
              <w:t>(2.5)</w:t>
            </w:r>
          </w:p>
        </w:tc>
        <w:tc>
          <w:tcPr>
            <w:tcW w:w="72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(2.7)</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4900" w:type="dxa"/>
            <w:vAlign w:val="bottom"/>
            <w:shd w:val="clear" w:color="auto" w:fill="E6E6E6"/>
          </w:tcPr>
          <w:p>
            <w:pPr>
              <w:ind w:left="160"/>
              <w:spacing w:after="0" w:line="202" w:lineRule="exact"/>
              <w:rPr>
                <w:sz w:val="20"/>
                <w:szCs w:val="20"/>
                <w:color w:val="auto"/>
              </w:rPr>
            </w:pPr>
            <w:r>
              <w:rPr>
                <w:rFonts w:ascii="Arial" w:cs="Arial" w:eastAsia="Arial" w:hAnsi="Arial"/>
                <w:sz w:val="18"/>
                <w:szCs w:val="18"/>
                <w:color w:val="auto"/>
              </w:rPr>
              <w:t>Non-current liabilities</w:t>
            </w:r>
          </w:p>
        </w:tc>
        <w:tc>
          <w:tcPr>
            <w:tcW w:w="1360" w:type="dxa"/>
            <w:vAlign w:val="bottom"/>
            <w:shd w:val="clear" w:color="auto" w:fill="E6E6E6"/>
          </w:tcPr>
          <w:p>
            <w:pPr>
              <w:spacing w:after="0"/>
              <w:rPr>
                <w:sz w:val="17"/>
                <w:szCs w:val="17"/>
                <w:color w:val="auto"/>
              </w:rPr>
            </w:pPr>
          </w:p>
        </w:tc>
        <w:tc>
          <w:tcPr>
            <w:tcW w:w="1100" w:type="dxa"/>
            <w:vAlign w:val="bottom"/>
            <w:shd w:val="clear" w:color="auto" w:fill="E6E6E6"/>
          </w:tcPr>
          <w:p>
            <w:pPr>
              <w:jc w:val="right"/>
              <w:ind w:right="57"/>
              <w:spacing w:after="0" w:line="202" w:lineRule="exact"/>
              <w:rPr>
                <w:sz w:val="20"/>
                <w:szCs w:val="20"/>
                <w:color w:val="auto"/>
              </w:rPr>
            </w:pPr>
            <w:r>
              <w:rPr>
                <w:rFonts w:ascii="Arial" w:cs="Arial" w:eastAsia="Arial" w:hAnsi="Arial"/>
                <w:sz w:val="18"/>
                <w:szCs w:val="18"/>
                <w:color w:val="auto"/>
              </w:rPr>
              <w:t>(44.6)</w:t>
            </w:r>
          </w:p>
        </w:tc>
        <w:tc>
          <w:tcPr>
            <w:tcW w:w="580" w:type="dxa"/>
            <w:vAlign w:val="bottom"/>
            <w:shd w:val="clear" w:color="auto" w:fill="E6E6E6"/>
          </w:tcPr>
          <w:p>
            <w:pPr>
              <w:spacing w:after="0"/>
              <w:rPr>
                <w:sz w:val="17"/>
                <w:szCs w:val="17"/>
                <w:color w:val="auto"/>
              </w:rPr>
            </w:pPr>
          </w:p>
        </w:tc>
        <w:tc>
          <w:tcPr>
            <w:tcW w:w="780" w:type="dxa"/>
            <w:vAlign w:val="bottom"/>
            <w:shd w:val="clear" w:color="auto" w:fill="E6E6E6"/>
          </w:tcPr>
          <w:p>
            <w:pPr>
              <w:jc w:val="right"/>
              <w:ind w:right="55"/>
              <w:spacing w:after="0" w:line="202" w:lineRule="exact"/>
              <w:rPr>
                <w:sz w:val="20"/>
                <w:szCs w:val="20"/>
                <w:color w:val="auto"/>
              </w:rPr>
            </w:pPr>
            <w:r>
              <w:rPr>
                <w:rFonts w:ascii="Arial" w:cs="Arial" w:eastAsia="Arial" w:hAnsi="Arial"/>
                <w:sz w:val="18"/>
                <w:szCs w:val="18"/>
                <w:color w:val="auto"/>
              </w:rPr>
              <w:t>(48.6)</w:t>
            </w:r>
          </w:p>
        </w:tc>
        <w:tc>
          <w:tcPr>
            <w:tcW w:w="270" w:type="dxa"/>
            <w:vAlign w:val="bottom"/>
            <w:shd w:val="clear" w:color="auto" w:fill="E6E6E6"/>
          </w:tcPr>
          <w:p>
            <w:pPr>
              <w:spacing w:after="0"/>
              <w:rPr>
                <w:sz w:val="17"/>
                <w:szCs w:val="17"/>
                <w:color w:val="auto"/>
              </w:rPr>
            </w:pPr>
          </w:p>
        </w:tc>
        <w:tc>
          <w:tcPr>
            <w:tcW w:w="1110" w:type="dxa"/>
            <w:vAlign w:val="bottom"/>
            <w:shd w:val="clear" w:color="auto" w:fill="E6E6E6"/>
          </w:tcPr>
          <w:p>
            <w:pPr>
              <w:jc w:val="right"/>
              <w:ind w:right="59"/>
              <w:spacing w:after="0" w:line="202" w:lineRule="exact"/>
              <w:rPr>
                <w:sz w:val="20"/>
                <w:szCs w:val="20"/>
                <w:color w:val="auto"/>
              </w:rPr>
            </w:pPr>
            <w:r>
              <w:rPr>
                <w:rFonts w:ascii="Arial" w:cs="Arial" w:eastAsia="Arial" w:hAnsi="Arial"/>
                <w:sz w:val="18"/>
                <w:szCs w:val="18"/>
                <w:color w:val="auto"/>
              </w:rPr>
              <w:t>(31.9)</w:t>
            </w:r>
          </w:p>
        </w:tc>
        <w:tc>
          <w:tcPr>
            <w:tcW w:w="720" w:type="dxa"/>
            <w:vAlign w:val="bottom"/>
            <w:shd w:val="clear" w:color="auto" w:fill="E6E6E6"/>
          </w:tcPr>
          <w:p>
            <w:pPr>
              <w:spacing w:after="0"/>
              <w:rPr>
                <w:sz w:val="17"/>
                <w:szCs w:val="17"/>
                <w:color w:val="auto"/>
              </w:rPr>
            </w:pPr>
          </w:p>
        </w:tc>
        <w:tc>
          <w:tcPr>
            <w:tcW w:w="60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(20.6)</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08"/>
        </w:trPr>
        <w:tc>
          <w:tcPr>
            <w:tcW w:w="4900" w:type="dxa"/>
            <w:vAlign w:val="bottom"/>
            <w:tcBorders>
              <w:bottom w:val="single" w:sz="8" w:color="808080"/>
            </w:tcBorders>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270" w:type="dxa"/>
            <w:vAlign w:val="bottom"/>
            <w:tcBorders>
              <w:bottom w:val="single" w:sz="8" w:color="808080"/>
            </w:tcBorders>
          </w:tcPr>
          <w:p>
            <w:pPr>
              <w:spacing w:after="0"/>
              <w:rPr>
                <w:sz w:val="9"/>
                <w:szCs w:val="9"/>
                <w:color w:val="auto"/>
              </w:rPr>
            </w:pPr>
          </w:p>
        </w:tc>
        <w:tc>
          <w:tcPr>
            <w:tcW w:w="111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316"/>
        </w:trPr>
        <w:tc>
          <w:tcPr>
            <w:tcW w:w="4900" w:type="dxa"/>
            <w:vAlign w:val="bottom"/>
          </w:tcPr>
          <w:p>
            <w:pPr>
              <w:spacing w:after="0"/>
              <w:rPr>
                <w:sz w:val="20"/>
                <w:szCs w:val="20"/>
                <w:color w:val="auto"/>
              </w:rPr>
            </w:pPr>
            <w:r>
              <w:rPr>
                <w:rFonts w:ascii="Arial" w:cs="Arial" w:eastAsia="Arial" w:hAnsi="Arial"/>
                <w:sz w:val="18"/>
                <w:szCs w:val="18"/>
                <w:b w:val="1"/>
                <w:bCs w:val="1"/>
                <w:color w:val="auto"/>
              </w:rPr>
              <w:t>Net amounts recognized</w:t>
            </w: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00" w:type="dxa"/>
            <w:vAlign w:val="bottom"/>
          </w:tcPr>
          <w:p>
            <w:pPr>
              <w:jc w:val="right"/>
              <w:ind w:right="57"/>
              <w:spacing w:after="0"/>
              <w:rPr>
                <w:sz w:val="20"/>
                <w:szCs w:val="20"/>
                <w:color w:val="auto"/>
              </w:rPr>
            </w:pPr>
            <w:r>
              <w:rPr>
                <w:rFonts w:ascii="Arial" w:cs="Arial" w:eastAsia="Arial" w:hAnsi="Arial"/>
                <w:sz w:val="18"/>
                <w:szCs w:val="18"/>
                <w:b w:val="1"/>
                <w:bCs w:val="1"/>
                <w:color w:val="auto"/>
              </w:rPr>
              <w:t>(44.6)</w:t>
            </w:r>
          </w:p>
        </w:tc>
        <w:tc>
          <w:tcPr>
            <w:tcW w:w="580" w:type="dxa"/>
            <w:vAlign w:val="bottom"/>
          </w:tcPr>
          <w:p>
            <w:pPr>
              <w:jc w:val="right"/>
              <w:ind w:right="252"/>
              <w:spacing w:after="0"/>
              <w:rPr>
                <w:sz w:val="20"/>
                <w:szCs w:val="20"/>
                <w:color w:val="auto"/>
              </w:rPr>
            </w:pPr>
            <w:r>
              <w:rPr>
                <w:rFonts w:ascii="Arial" w:cs="Arial" w:eastAsia="Arial" w:hAnsi="Arial"/>
                <w:sz w:val="18"/>
                <w:szCs w:val="18"/>
                <w:b w:val="1"/>
                <w:bCs w:val="1"/>
                <w:color w:val="auto"/>
              </w:rPr>
              <w:t>$</w:t>
            </w:r>
          </w:p>
        </w:tc>
        <w:tc>
          <w:tcPr>
            <w:tcW w:w="780" w:type="dxa"/>
            <w:vAlign w:val="bottom"/>
          </w:tcPr>
          <w:p>
            <w:pPr>
              <w:jc w:val="right"/>
              <w:ind w:right="55"/>
              <w:spacing w:after="0"/>
              <w:rPr>
                <w:sz w:val="20"/>
                <w:szCs w:val="20"/>
                <w:color w:val="auto"/>
              </w:rPr>
            </w:pPr>
            <w:r>
              <w:rPr>
                <w:rFonts w:ascii="Arial" w:cs="Arial" w:eastAsia="Arial" w:hAnsi="Arial"/>
                <w:sz w:val="18"/>
                <w:szCs w:val="18"/>
                <w:b w:val="1"/>
                <w:bCs w:val="1"/>
                <w:color w:val="auto"/>
              </w:rPr>
              <w:t>(48.6)</w:t>
            </w:r>
          </w:p>
        </w:tc>
        <w:tc>
          <w:tcPr>
            <w:tcW w:w="27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10" w:type="dxa"/>
            <w:vAlign w:val="bottom"/>
          </w:tcPr>
          <w:p>
            <w:pPr>
              <w:jc w:val="right"/>
              <w:ind w:right="59"/>
              <w:spacing w:after="0"/>
              <w:rPr>
                <w:sz w:val="20"/>
                <w:szCs w:val="20"/>
                <w:color w:val="auto"/>
              </w:rPr>
            </w:pPr>
            <w:r>
              <w:rPr>
                <w:rFonts w:ascii="Arial" w:cs="Arial" w:eastAsia="Arial" w:hAnsi="Arial"/>
                <w:sz w:val="18"/>
                <w:szCs w:val="18"/>
                <w:b w:val="1"/>
                <w:bCs w:val="1"/>
                <w:color w:val="auto"/>
              </w:rPr>
              <w:t>(34.4)</w:t>
            </w:r>
          </w:p>
        </w:tc>
        <w:tc>
          <w:tcPr>
            <w:tcW w:w="720" w:type="dxa"/>
            <w:vAlign w:val="bottom"/>
          </w:tcPr>
          <w:p>
            <w:pPr>
              <w:jc w:val="right"/>
              <w:ind w:right="392"/>
              <w:spacing w:after="0"/>
              <w:rPr>
                <w:sz w:val="20"/>
                <w:szCs w:val="20"/>
                <w:color w:val="auto"/>
              </w:rPr>
            </w:pPr>
            <w:r>
              <w:rPr>
                <w:rFonts w:ascii="Arial" w:cs="Arial" w:eastAsia="Arial" w:hAnsi="Arial"/>
                <w:sz w:val="18"/>
                <w:szCs w:val="18"/>
                <w:b w:val="1"/>
                <w:bCs w:val="1"/>
                <w:color w:val="auto"/>
              </w:rPr>
              <w:t>$</w:t>
            </w: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(23.3)</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20"/>
        </w:trPr>
        <w:tc>
          <w:tcPr>
            <w:tcW w:w="490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270" w:type="dxa"/>
            <w:vAlign w:val="bottom"/>
            <w:tcBorders>
              <w:bottom w:val="single" w:sz="8" w:color="808080"/>
            </w:tcBorders>
          </w:tcPr>
          <w:p>
            <w:pPr>
              <w:spacing w:after="0"/>
              <w:rPr>
                <w:sz w:val="10"/>
                <w:szCs w:val="10"/>
                <w:color w:val="auto"/>
              </w:rPr>
            </w:pPr>
          </w:p>
        </w:tc>
        <w:tc>
          <w:tcPr>
            <w:tcW w:w="111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-1984375</wp:posOffset>
            </wp:positionV>
            <wp:extent cx="12700" cy="29845"/>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-1984375</wp:posOffset>
            </wp:positionV>
            <wp:extent cx="12700" cy="29845"/>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3896360</wp:posOffset>
            </wp:positionH>
            <wp:positionV relativeFrom="paragraph">
              <wp:posOffset>-1984375</wp:posOffset>
            </wp:positionV>
            <wp:extent cx="12700" cy="29845"/>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3964940</wp:posOffset>
            </wp:positionH>
            <wp:positionV relativeFrom="paragraph">
              <wp:posOffset>-1984375</wp:posOffset>
            </wp:positionV>
            <wp:extent cx="12700" cy="29845"/>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-1984375</wp:posOffset>
            </wp:positionV>
            <wp:extent cx="12700" cy="29845"/>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-1984375</wp:posOffset>
            </wp:positionV>
            <wp:extent cx="12700" cy="29845"/>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-1984375</wp:posOffset>
            </wp:positionV>
            <wp:extent cx="12700" cy="29845"/>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5414645</wp:posOffset>
            </wp:positionH>
            <wp:positionV relativeFrom="paragraph">
              <wp:posOffset>-1984375</wp:posOffset>
            </wp:positionV>
            <wp:extent cx="12700" cy="29845"/>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-1984375</wp:posOffset>
            </wp:positionV>
            <wp:extent cx="12700" cy="29845"/>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-1984375</wp:posOffset>
            </wp:positionV>
            <wp:extent cx="12700" cy="29845"/>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-1984375</wp:posOffset>
            </wp:positionV>
            <wp:extent cx="12700" cy="29845"/>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6503670</wp:posOffset>
            </wp:positionH>
            <wp:positionV relativeFrom="paragraph">
              <wp:posOffset>-1984375</wp:posOffset>
            </wp:positionV>
            <wp:extent cx="12700" cy="29845"/>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-1984375</wp:posOffset>
            </wp:positionV>
            <wp:extent cx="12700" cy="29845"/>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-1984375</wp:posOffset>
            </wp:positionV>
            <wp:extent cx="12700" cy="29845"/>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-1984375</wp:posOffset>
            </wp:positionV>
            <wp:extent cx="12700" cy="29845"/>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-29210</wp:posOffset>
            </wp:positionV>
            <wp:extent cx="12700" cy="29845"/>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3896360</wp:posOffset>
            </wp:positionH>
            <wp:positionV relativeFrom="paragraph">
              <wp:posOffset>-29210</wp:posOffset>
            </wp:positionV>
            <wp:extent cx="12700" cy="29845"/>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3964940</wp:posOffset>
            </wp:positionH>
            <wp:positionV relativeFrom="paragraph">
              <wp:posOffset>-29210</wp:posOffset>
            </wp:positionV>
            <wp:extent cx="12700" cy="29845"/>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-29210</wp:posOffset>
            </wp:positionV>
            <wp:extent cx="12700" cy="29845"/>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-29210</wp:posOffset>
            </wp:positionV>
            <wp:extent cx="12700" cy="29845"/>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-29210</wp:posOffset>
            </wp:positionV>
            <wp:extent cx="12700" cy="29845"/>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5414645</wp:posOffset>
            </wp:positionH>
            <wp:positionV relativeFrom="paragraph">
              <wp:posOffset>-29210</wp:posOffset>
            </wp:positionV>
            <wp:extent cx="12700" cy="29845"/>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-29210</wp:posOffset>
            </wp:positionV>
            <wp:extent cx="12700" cy="29845"/>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-29210</wp:posOffset>
            </wp:positionV>
            <wp:extent cx="12700" cy="29845"/>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-29210</wp:posOffset>
            </wp:positionV>
            <wp:extent cx="12700" cy="29845"/>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6503670</wp:posOffset>
            </wp:positionH>
            <wp:positionV relativeFrom="paragraph">
              <wp:posOffset>-29210</wp:posOffset>
            </wp:positionV>
            <wp:extent cx="12700" cy="29845"/>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-29210</wp:posOffset>
            </wp:positionV>
            <wp:extent cx="12700" cy="29845"/>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-29210</wp:posOffset>
            </wp:positionV>
            <wp:extent cx="12700" cy="29845"/>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93" w:lineRule="exact"/>
        <w:rPr>
          <w:sz w:val="20"/>
          <w:szCs w:val="20"/>
          <w:color w:val="auto"/>
        </w:rPr>
      </w:pPr>
    </w:p>
    <w:p>
      <w:pPr>
        <w:ind w:right="700"/>
        <w:spacing w:after="0" w:line="268" w:lineRule="auto"/>
        <w:rPr>
          <w:sz w:val="20"/>
          <w:szCs w:val="20"/>
          <w:color w:val="auto"/>
        </w:rPr>
      </w:pPr>
      <w:r>
        <w:rPr>
          <w:rFonts w:ascii="Arial" w:cs="Arial" w:eastAsia="Arial" w:hAnsi="Arial"/>
          <w:sz w:val="18"/>
          <w:szCs w:val="18"/>
          <w:color w:val="auto"/>
        </w:rPr>
        <w:t>The following amounts were recognized in Accumulated other comprehensive loss for the Pension Plans and Post-Retirement Benefits in the Company’s Consolidated Balance Sheets at May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200660</wp:posOffset>
            </wp:positionV>
            <wp:extent cx="7263765" cy="8890"/>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4180" w:type="dxa"/>
            <w:vAlign w:val="bottom"/>
          </w:tcPr>
          <w:p>
            <w:pPr>
              <w:spacing w:after="0"/>
              <w:rPr>
                <w:sz w:val="15"/>
                <w:szCs w:val="15"/>
                <w:color w:val="auto"/>
              </w:rPr>
            </w:pPr>
          </w:p>
        </w:tc>
        <w:tc>
          <w:tcPr>
            <w:tcW w:w="590" w:type="dxa"/>
            <w:vAlign w:val="bottom"/>
          </w:tcPr>
          <w:p>
            <w:pPr>
              <w:spacing w:after="0"/>
              <w:rPr>
                <w:sz w:val="15"/>
                <w:szCs w:val="15"/>
                <w:color w:val="auto"/>
              </w:rPr>
            </w:pPr>
          </w:p>
        </w:tc>
        <w:tc>
          <w:tcPr>
            <w:tcW w:w="91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jc w:val="right"/>
              <w:ind w:right="484"/>
              <w:spacing w:after="0"/>
              <w:rPr>
                <w:sz w:val="20"/>
                <w:szCs w:val="20"/>
                <w:color w:val="auto"/>
              </w:rPr>
            </w:pPr>
            <w:r>
              <w:rPr>
                <w:rFonts w:ascii="Arial" w:cs="Arial" w:eastAsia="Arial" w:hAnsi="Arial"/>
                <w:sz w:val="14"/>
                <w:szCs w:val="14"/>
                <w:b w:val="1"/>
                <w:bCs w:val="1"/>
                <w:color w:val="auto"/>
              </w:rPr>
              <w:t>2010</w:t>
            </w:r>
          </w:p>
        </w:tc>
        <w:tc>
          <w:tcPr>
            <w:tcW w:w="230" w:type="dxa"/>
            <w:vAlign w:val="bottom"/>
          </w:tcPr>
          <w:p>
            <w:pPr>
              <w:spacing w:after="0"/>
              <w:rPr>
                <w:sz w:val="15"/>
                <w:szCs w:val="15"/>
                <w:color w:val="auto"/>
              </w:rPr>
            </w:pPr>
          </w:p>
        </w:tc>
        <w:tc>
          <w:tcPr>
            <w:tcW w:w="79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Pr>
          <w:p>
            <w:pPr>
              <w:jc w:val="right"/>
              <w:ind w:right="504"/>
              <w:spacing w:after="0"/>
              <w:rPr>
                <w:sz w:val="20"/>
                <w:szCs w:val="20"/>
                <w:color w:val="auto"/>
              </w:rPr>
            </w:pPr>
            <w:r>
              <w:rPr>
                <w:rFonts w:ascii="Arial" w:cs="Arial" w:eastAsia="Arial" w:hAnsi="Arial"/>
                <w:sz w:val="14"/>
                <w:szCs w:val="14"/>
                <w:b w:val="1"/>
                <w:bCs w:val="1"/>
                <w:color w:val="auto"/>
              </w:rPr>
              <w:t>2009</w:t>
            </w: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180" w:type="dxa"/>
            <w:vAlign w:val="bottom"/>
            <w:tcBorders>
              <w:bottom w:val="single" w:sz="8" w:color="auto"/>
            </w:tcBorders>
          </w:tcPr>
          <w:p>
            <w:pPr>
              <w:spacing w:after="0"/>
              <w:rPr>
                <w:sz w:val="8"/>
                <w:szCs w:val="8"/>
                <w:color w:val="auto"/>
              </w:rPr>
            </w:pPr>
          </w:p>
        </w:tc>
        <w:tc>
          <w:tcPr>
            <w:tcW w:w="590" w:type="dxa"/>
            <w:vAlign w:val="bottom"/>
            <w:tcBorders>
              <w:bottom w:val="single" w:sz="8" w:color="auto"/>
            </w:tcBorders>
          </w:tcPr>
          <w:p>
            <w:pPr>
              <w:spacing w:after="0"/>
              <w:rPr>
                <w:sz w:val="8"/>
                <w:szCs w:val="8"/>
                <w:color w:val="auto"/>
              </w:rPr>
            </w:pPr>
          </w:p>
        </w:tc>
        <w:tc>
          <w:tcPr>
            <w:tcW w:w="91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230" w:type="dxa"/>
            <w:vAlign w:val="bottom"/>
            <w:tcBorders>
              <w:bottom w:val="single" w:sz="8" w:color="auto"/>
            </w:tcBorders>
          </w:tcPr>
          <w:p>
            <w:pPr>
              <w:spacing w:after="0"/>
              <w:rPr>
                <w:sz w:val="8"/>
                <w:szCs w:val="8"/>
                <w:color w:val="auto"/>
              </w:rPr>
            </w:pPr>
          </w:p>
        </w:tc>
        <w:tc>
          <w:tcPr>
            <w:tcW w:w="79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4180" w:type="dxa"/>
            <w:vAlign w:val="bottom"/>
          </w:tcPr>
          <w:p>
            <w:pPr>
              <w:spacing w:after="0"/>
              <w:rPr>
                <w:sz w:val="20"/>
                <w:szCs w:val="20"/>
                <w:color w:val="auto"/>
              </w:rPr>
            </w:pPr>
          </w:p>
        </w:tc>
        <w:tc>
          <w:tcPr>
            <w:tcW w:w="590" w:type="dxa"/>
            <w:vAlign w:val="bottom"/>
          </w:tcPr>
          <w:p>
            <w:pPr>
              <w:spacing w:after="0"/>
              <w:rPr>
                <w:sz w:val="20"/>
                <w:szCs w:val="20"/>
                <w:color w:val="auto"/>
              </w:rPr>
            </w:pPr>
          </w:p>
        </w:tc>
        <w:tc>
          <w:tcPr>
            <w:tcW w:w="91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center"/>
              <w:ind w:right="184"/>
              <w:spacing w:after="0"/>
              <w:rPr>
                <w:sz w:val="20"/>
                <w:szCs w:val="20"/>
                <w:color w:val="auto"/>
              </w:rPr>
            </w:pPr>
            <w:r>
              <w:rPr>
                <w:rFonts w:ascii="Arial" w:cs="Arial" w:eastAsia="Arial" w:hAnsi="Arial"/>
                <w:sz w:val="14"/>
                <w:szCs w:val="14"/>
                <w:b w:val="1"/>
                <w:bCs w:val="1"/>
                <w:color w:val="auto"/>
                <w:w w:val="97"/>
              </w:rPr>
              <w:t>Post-</w:t>
            </w:r>
          </w:p>
        </w:tc>
        <w:tc>
          <w:tcPr>
            <w:tcW w:w="230" w:type="dxa"/>
            <w:vAlign w:val="bottom"/>
          </w:tcPr>
          <w:p>
            <w:pPr>
              <w:spacing w:after="0"/>
              <w:rPr>
                <w:sz w:val="20"/>
                <w:szCs w:val="20"/>
                <w:color w:val="auto"/>
              </w:rPr>
            </w:pPr>
          </w:p>
        </w:tc>
        <w:tc>
          <w:tcPr>
            <w:tcW w:w="79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jc w:val="center"/>
              <w:ind w:right="204"/>
              <w:spacing w:after="0"/>
              <w:rPr>
                <w:sz w:val="20"/>
                <w:szCs w:val="20"/>
                <w:color w:val="auto"/>
              </w:rPr>
            </w:pPr>
            <w:r>
              <w:rPr>
                <w:rFonts w:ascii="Arial" w:cs="Arial" w:eastAsia="Arial" w:hAnsi="Arial"/>
                <w:sz w:val="14"/>
                <w:szCs w:val="14"/>
                <w:b w:val="1"/>
                <w:bCs w:val="1"/>
                <w:color w:val="auto"/>
                <w:w w:val="97"/>
              </w:rPr>
              <w:t>Post-</w:t>
            </w: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590" w:type="dxa"/>
            <w:vAlign w:val="bottom"/>
          </w:tcPr>
          <w:p>
            <w:pPr>
              <w:spacing w:after="0"/>
              <w:rPr>
                <w:sz w:val="12"/>
                <w:szCs w:val="12"/>
                <w:color w:val="auto"/>
              </w:rPr>
            </w:pPr>
          </w:p>
        </w:tc>
        <w:tc>
          <w:tcPr>
            <w:tcW w:w="910" w:type="dxa"/>
            <w:vAlign w:val="bottom"/>
          </w:tcPr>
          <w:p>
            <w:pPr>
              <w:jc w:val="right"/>
              <w:ind w:right="260"/>
              <w:spacing w:after="0" w:line="149" w:lineRule="exact"/>
              <w:rPr>
                <w:sz w:val="20"/>
                <w:szCs w:val="20"/>
                <w:color w:val="auto"/>
              </w:rPr>
            </w:pPr>
            <w:r>
              <w:rPr>
                <w:rFonts w:ascii="Arial" w:cs="Arial" w:eastAsia="Arial" w:hAnsi="Arial"/>
                <w:sz w:val="14"/>
                <w:szCs w:val="14"/>
                <w:b w:val="1"/>
                <w:bCs w:val="1"/>
                <w:color w:val="auto"/>
                <w:w w:val="99"/>
              </w:rPr>
              <w:t>Pension</w:t>
            </w:r>
          </w:p>
        </w:tc>
        <w:tc>
          <w:tcPr>
            <w:tcW w:w="220" w:type="dxa"/>
            <w:vAlign w:val="bottom"/>
          </w:tcPr>
          <w:p>
            <w:pPr>
              <w:spacing w:after="0"/>
              <w:rPr>
                <w:sz w:val="12"/>
                <w:szCs w:val="12"/>
                <w:color w:val="auto"/>
              </w:rPr>
            </w:pPr>
          </w:p>
        </w:tc>
        <w:tc>
          <w:tcPr>
            <w:tcW w:w="1040" w:type="dxa"/>
            <w:vAlign w:val="bottom"/>
          </w:tcPr>
          <w:p>
            <w:pPr>
              <w:jc w:val="center"/>
              <w:ind w:right="204"/>
              <w:spacing w:after="0" w:line="149" w:lineRule="exact"/>
              <w:rPr>
                <w:sz w:val="20"/>
                <w:szCs w:val="20"/>
                <w:color w:val="auto"/>
              </w:rPr>
            </w:pPr>
            <w:r>
              <w:rPr>
                <w:rFonts w:ascii="Arial" w:cs="Arial" w:eastAsia="Arial" w:hAnsi="Arial"/>
                <w:sz w:val="14"/>
                <w:szCs w:val="14"/>
                <w:b w:val="1"/>
                <w:bCs w:val="1"/>
                <w:color w:val="auto"/>
                <w:w w:val="98"/>
              </w:rPr>
              <w:t>Retirement</w:t>
            </w:r>
          </w:p>
        </w:tc>
        <w:tc>
          <w:tcPr>
            <w:tcW w:w="230" w:type="dxa"/>
            <w:vAlign w:val="bottom"/>
          </w:tcPr>
          <w:p>
            <w:pPr>
              <w:spacing w:after="0"/>
              <w:rPr>
                <w:sz w:val="12"/>
                <w:szCs w:val="12"/>
                <w:color w:val="auto"/>
              </w:rPr>
            </w:pPr>
          </w:p>
        </w:tc>
        <w:tc>
          <w:tcPr>
            <w:tcW w:w="79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jc w:val="right"/>
              <w:ind w:right="260"/>
              <w:spacing w:after="0" w:line="149" w:lineRule="exact"/>
              <w:rPr>
                <w:sz w:val="20"/>
                <w:szCs w:val="20"/>
                <w:color w:val="auto"/>
              </w:rPr>
            </w:pPr>
            <w:r>
              <w:rPr>
                <w:rFonts w:ascii="Arial" w:cs="Arial" w:eastAsia="Arial" w:hAnsi="Arial"/>
                <w:sz w:val="14"/>
                <w:szCs w:val="14"/>
                <w:b w:val="1"/>
                <w:bCs w:val="1"/>
                <w:color w:val="auto"/>
                <w:w w:val="99"/>
              </w:rPr>
              <w:t>Pension</w:t>
            </w:r>
          </w:p>
        </w:tc>
        <w:tc>
          <w:tcPr>
            <w:tcW w:w="220" w:type="dxa"/>
            <w:vAlign w:val="bottom"/>
          </w:tcPr>
          <w:p>
            <w:pPr>
              <w:spacing w:after="0"/>
              <w:rPr>
                <w:sz w:val="12"/>
                <w:szCs w:val="12"/>
                <w:color w:val="auto"/>
              </w:rPr>
            </w:pPr>
          </w:p>
        </w:tc>
        <w:tc>
          <w:tcPr>
            <w:tcW w:w="1060" w:type="dxa"/>
            <w:vAlign w:val="bottom"/>
          </w:tcPr>
          <w:p>
            <w:pPr>
              <w:jc w:val="center"/>
              <w:ind w:right="204"/>
              <w:spacing w:after="0" w:line="149" w:lineRule="exact"/>
              <w:rPr>
                <w:sz w:val="20"/>
                <w:szCs w:val="20"/>
                <w:color w:val="auto"/>
              </w:rPr>
            </w:pPr>
            <w:r>
              <w:rPr>
                <w:rFonts w:ascii="Arial" w:cs="Arial" w:eastAsia="Arial" w:hAnsi="Arial"/>
                <w:sz w:val="14"/>
                <w:szCs w:val="14"/>
                <w:b w:val="1"/>
                <w:bCs w:val="1"/>
                <w:color w:val="auto"/>
                <w:w w:val="95"/>
              </w:rPr>
              <w:t>Retirement</w:t>
            </w: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180" w:type="dxa"/>
            <w:vAlign w:val="bottom"/>
          </w:tcPr>
          <w:p>
            <w:pPr>
              <w:spacing w:after="0"/>
              <w:rPr>
                <w:sz w:val="15"/>
                <w:szCs w:val="15"/>
                <w:color w:val="auto"/>
              </w:rPr>
            </w:pPr>
          </w:p>
        </w:tc>
        <w:tc>
          <w:tcPr>
            <w:tcW w:w="590" w:type="dxa"/>
            <w:vAlign w:val="bottom"/>
          </w:tcPr>
          <w:p>
            <w:pPr>
              <w:spacing w:after="0"/>
              <w:rPr>
                <w:sz w:val="15"/>
                <w:szCs w:val="15"/>
                <w:color w:val="auto"/>
              </w:rPr>
            </w:pPr>
          </w:p>
        </w:tc>
        <w:tc>
          <w:tcPr>
            <w:tcW w:w="910" w:type="dxa"/>
            <w:vAlign w:val="bottom"/>
          </w:tcPr>
          <w:p>
            <w:pPr>
              <w:jc w:val="right"/>
              <w:ind w:right="340"/>
              <w:spacing w:after="0"/>
              <w:rPr>
                <w:sz w:val="20"/>
                <w:szCs w:val="20"/>
                <w:color w:val="auto"/>
              </w:rPr>
            </w:pPr>
            <w:r>
              <w:rPr>
                <w:rFonts w:ascii="Arial" w:cs="Arial" w:eastAsia="Arial" w:hAnsi="Arial"/>
                <w:sz w:val="14"/>
                <w:szCs w:val="14"/>
                <w:b w:val="1"/>
                <w:bCs w:val="1"/>
                <w:color w:val="auto"/>
              </w:rPr>
              <w:t>Plans</w:t>
            </w:r>
          </w:p>
        </w:tc>
        <w:tc>
          <w:tcPr>
            <w:tcW w:w="220" w:type="dxa"/>
            <w:vAlign w:val="bottom"/>
          </w:tcPr>
          <w:p>
            <w:pPr>
              <w:spacing w:after="0"/>
              <w:rPr>
                <w:sz w:val="15"/>
                <w:szCs w:val="15"/>
                <w:color w:val="auto"/>
              </w:rPr>
            </w:pPr>
          </w:p>
        </w:tc>
        <w:tc>
          <w:tcPr>
            <w:tcW w:w="1040" w:type="dxa"/>
            <w:vAlign w:val="bottom"/>
          </w:tcPr>
          <w:p>
            <w:pPr>
              <w:jc w:val="center"/>
              <w:ind w:right="204"/>
              <w:spacing w:after="0"/>
              <w:rPr>
                <w:sz w:val="20"/>
                <w:szCs w:val="20"/>
                <w:color w:val="auto"/>
              </w:rPr>
            </w:pPr>
            <w:r>
              <w:rPr>
                <w:rFonts w:ascii="Arial" w:cs="Arial" w:eastAsia="Arial" w:hAnsi="Arial"/>
                <w:sz w:val="14"/>
                <w:szCs w:val="14"/>
                <w:b w:val="1"/>
                <w:bCs w:val="1"/>
                <w:color w:val="auto"/>
                <w:w w:val="94"/>
              </w:rPr>
              <w:t>Benefits</w:t>
            </w:r>
          </w:p>
        </w:tc>
        <w:tc>
          <w:tcPr>
            <w:tcW w:w="230" w:type="dxa"/>
            <w:vAlign w:val="bottom"/>
          </w:tcPr>
          <w:p>
            <w:pPr>
              <w:spacing w:after="0"/>
              <w:rPr>
                <w:sz w:val="15"/>
                <w:szCs w:val="15"/>
                <w:color w:val="auto"/>
              </w:rPr>
            </w:pPr>
          </w:p>
        </w:tc>
        <w:tc>
          <w:tcPr>
            <w:tcW w:w="790" w:type="dxa"/>
            <w:vAlign w:val="bottom"/>
          </w:tcPr>
          <w:p>
            <w:pPr>
              <w:jc w:val="right"/>
              <w:ind w:right="297"/>
              <w:spacing w:after="0"/>
              <w:rPr>
                <w:sz w:val="20"/>
                <w:szCs w:val="20"/>
                <w:color w:val="auto"/>
              </w:rPr>
            </w:pPr>
            <w:r>
              <w:rPr>
                <w:rFonts w:ascii="Arial" w:cs="Arial" w:eastAsia="Arial" w:hAnsi="Arial"/>
                <w:sz w:val="14"/>
                <w:szCs w:val="14"/>
                <w:b w:val="1"/>
                <w:bCs w:val="1"/>
                <w:color w:val="auto"/>
              </w:rPr>
              <w:t>Total</w:t>
            </w:r>
          </w:p>
        </w:tc>
        <w:tc>
          <w:tcPr>
            <w:tcW w:w="240" w:type="dxa"/>
            <w:vAlign w:val="bottom"/>
          </w:tcPr>
          <w:p>
            <w:pPr>
              <w:spacing w:after="0"/>
              <w:rPr>
                <w:sz w:val="15"/>
                <w:szCs w:val="15"/>
                <w:color w:val="auto"/>
              </w:rPr>
            </w:pPr>
          </w:p>
        </w:tc>
        <w:tc>
          <w:tcPr>
            <w:tcW w:w="900" w:type="dxa"/>
            <w:vAlign w:val="bottom"/>
          </w:tcPr>
          <w:p>
            <w:pPr>
              <w:jc w:val="right"/>
              <w:ind w:right="340"/>
              <w:spacing w:after="0"/>
              <w:rPr>
                <w:sz w:val="20"/>
                <w:szCs w:val="20"/>
                <w:color w:val="auto"/>
              </w:rPr>
            </w:pPr>
            <w:r>
              <w:rPr>
                <w:rFonts w:ascii="Arial" w:cs="Arial" w:eastAsia="Arial" w:hAnsi="Arial"/>
                <w:sz w:val="14"/>
                <w:szCs w:val="14"/>
                <w:b w:val="1"/>
                <w:bCs w:val="1"/>
                <w:color w:val="auto"/>
              </w:rPr>
              <w:t>Plans</w:t>
            </w:r>
          </w:p>
        </w:tc>
        <w:tc>
          <w:tcPr>
            <w:tcW w:w="220" w:type="dxa"/>
            <w:vAlign w:val="bottom"/>
          </w:tcPr>
          <w:p>
            <w:pPr>
              <w:spacing w:after="0"/>
              <w:rPr>
                <w:sz w:val="15"/>
                <w:szCs w:val="15"/>
                <w:color w:val="auto"/>
              </w:rPr>
            </w:pPr>
          </w:p>
        </w:tc>
        <w:tc>
          <w:tcPr>
            <w:tcW w:w="1060" w:type="dxa"/>
            <w:vAlign w:val="bottom"/>
          </w:tcPr>
          <w:p>
            <w:pPr>
              <w:jc w:val="center"/>
              <w:ind w:right="204"/>
              <w:spacing w:after="0"/>
              <w:rPr>
                <w:sz w:val="20"/>
                <w:szCs w:val="20"/>
                <w:color w:val="auto"/>
              </w:rPr>
            </w:pPr>
            <w:r>
              <w:rPr>
                <w:rFonts w:ascii="Arial" w:cs="Arial" w:eastAsia="Arial" w:hAnsi="Arial"/>
                <w:sz w:val="14"/>
                <w:szCs w:val="14"/>
                <w:b w:val="1"/>
                <w:bCs w:val="1"/>
                <w:color w:val="auto"/>
                <w:w w:val="97"/>
              </w:rPr>
              <w:t>Benefits</w:t>
            </w:r>
          </w:p>
        </w:tc>
        <w:tc>
          <w:tcPr>
            <w:tcW w:w="260" w:type="dxa"/>
            <w:vAlign w:val="bottom"/>
          </w:tcPr>
          <w:p>
            <w:pPr>
              <w:spacing w:after="0"/>
              <w:rPr>
                <w:sz w:val="15"/>
                <w:szCs w:val="15"/>
                <w:color w:val="auto"/>
              </w:rPr>
            </w:pPr>
          </w:p>
        </w:tc>
        <w:tc>
          <w:tcPr>
            <w:tcW w:w="780" w:type="dxa"/>
            <w:vAlign w:val="bottom"/>
            <w:gridSpan w:val="2"/>
          </w:tcPr>
          <w:p>
            <w:pPr>
              <w:ind w:left="80"/>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180" w:type="dxa"/>
            <w:vAlign w:val="bottom"/>
            <w:tcBorders>
              <w:bottom w:val="single" w:sz="8" w:color="auto"/>
            </w:tcBorders>
          </w:tcPr>
          <w:p>
            <w:pPr>
              <w:spacing w:after="0"/>
              <w:rPr>
                <w:sz w:val="8"/>
                <w:szCs w:val="8"/>
                <w:color w:val="auto"/>
              </w:rPr>
            </w:pPr>
          </w:p>
        </w:tc>
        <w:tc>
          <w:tcPr>
            <w:tcW w:w="590" w:type="dxa"/>
            <w:vAlign w:val="bottom"/>
            <w:tcBorders>
              <w:bottom w:val="single" w:sz="8" w:color="auto"/>
            </w:tcBorders>
          </w:tcPr>
          <w:p>
            <w:pPr>
              <w:spacing w:after="0"/>
              <w:rPr>
                <w:sz w:val="8"/>
                <w:szCs w:val="8"/>
                <w:color w:val="auto"/>
              </w:rPr>
            </w:pPr>
          </w:p>
        </w:tc>
        <w:tc>
          <w:tcPr>
            <w:tcW w:w="91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230" w:type="dxa"/>
            <w:vAlign w:val="bottom"/>
            <w:tcBorders>
              <w:bottom w:val="single" w:sz="8" w:color="auto"/>
            </w:tcBorders>
          </w:tcPr>
          <w:p>
            <w:pPr>
              <w:spacing w:after="0"/>
              <w:rPr>
                <w:sz w:val="8"/>
                <w:szCs w:val="8"/>
                <w:color w:val="auto"/>
              </w:rPr>
            </w:pPr>
          </w:p>
        </w:tc>
        <w:tc>
          <w:tcPr>
            <w:tcW w:w="79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180" w:type="dxa"/>
            <w:vAlign w:val="bottom"/>
          </w:tcPr>
          <w:p>
            <w:pPr>
              <w:spacing w:after="0"/>
              <w:rPr>
                <w:sz w:val="8"/>
                <w:szCs w:val="8"/>
                <w:color w:val="auto"/>
              </w:rPr>
            </w:pPr>
          </w:p>
        </w:tc>
        <w:tc>
          <w:tcPr>
            <w:tcW w:w="590" w:type="dxa"/>
            <w:vAlign w:val="bottom"/>
          </w:tcPr>
          <w:p>
            <w:pPr>
              <w:spacing w:after="0"/>
              <w:rPr>
                <w:sz w:val="8"/>
                <w:szCs w:val="8"/>
                <w:color w:val="auto"/>
              </w:rPr>
            </w:pPr>
          </w:p>
        </w:tc>
        <w:tc>
          <w:tcPr>
            <w:tcW w:w="91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30" w:type="dxa"/>
            <w:vAlign w:val="bottom"/>
          </w:tcPr>
          <w:p>
            <w:pPr>
              <w:spacing w:after="0"/>
              <w:rPr>
                <w:sz w:val="8"/>
                <w:szCs w:val="8"/>
                <w:color w:val="auto"/>
              </w:rPr>
            </w:pPr>
          </w:p>
        </w:tc>
        <w:tc>
          <w:tcPr>
            <w:tcW w:w="790" w:type="dxa"/>
            <w:vAlign w:val="bottom"/>
          </w:tcPr>
          <w:p>
            <w:pPr>
              <w:spacing w:after="0"/>
              <w:rPr>
                <w:sz w:val="8"/>
                <w:szCs w:val="8"/>
                <w:color w:val="auto"/>
              </w:rPr>
            </w:pPr>
          </w:p>
        </w:tc>
        <w:tc>
          <w:tcPr>
            <w:tcW w:w="240" w:type="dxa"/>
            <w:vAlign w:val="bottom"/>
          </w:tcPr>
          <w:p>
            <w:pPr>
              <w:spacing w:after="0"/>
              <w:rPr>
                <w:sz w:val="8"/>
                <w:szCs w:val="8"/>
                <w:color w:val="auto"/>
              </w:rPr>
            </w:pPr>
          </w:p>
        </w:tc>
        <w:tc>
          <w:tcPr>
            <w:tcW w:w="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80" w:type="dxa"/>
            <w:vAlign w:val="bottom"/>
            <w:shd w:val="clear" w:color="auto" w:fill="E6E6E6"/>
          </w:tcPr>
          <w:p>
            <w:pPr>
              <w:ind w:left="140"/>
              <w:spacing w:after="0" w:line="202" w:lineRule="exact"/>
              <w:rPr>
                <w:sz w:val="20"/>
                <w:szCs w:val="20"/>
                <w:color w:val="auto"/>
              </w:rPr>
            </w:pPr>
            <w:r>
              <w:rPr>
                <w:rFonts w:ascii="Arial" w:cs="Arial" w:eastAsia="Arial" w:hAnsi="Arial"/>
                <w:sz w:val="18"/>
                <w:szCs w:val="18"/>
                <w:color w:val="auto"/>
              </w:rPr>
              <w:t>Net actuarial loss</w:t>
            </w:r>
          </w:p>
        </w:tc>
        <w:tc>
          <w:tcPr>
            <w:tcW w:w="59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w:t>
            </w:r>
          </w:p>
        </w:tc>
        <w:tc>
          <w:tcPr>
            <w:tcW w:w="910" w:type="dxa"/>
            <w:vAlign w:val="bottom"/>
            <w:shd w:val="clear" w:color="auto" w:fill="E6E6E6"/>
          </w:tcPr>
          <w:p>
            <w:pPr>
              <w:jc w:val="right"/>
              <w:ind w:right="20"/>
              <w:spacing w:after="0" w:line="202" w:lineRule="exact"/>
              <w:rPr>
                <w:sz w:val="20"/>
                <w:szCs w:val="20"/>
                <w:color w:val="auto"/>
              </w:rPr>
            </w:pPr>
            <w:r>
              <w:rPr>
                <w:rFonts w:ascii="Arial" w:cs="Arial" w:eastAsia="Arial" w:hAnsi="Arial"/>
                <w:sz w:val="18"/>
                <w:szCs w:val="18"/>
                <w:color w:val="auto"/>
              </w:rPr>
              <w:t>(69.5)</w:t>
            </w:r>
          </w:p>
        </w:tc>
        <w:tc>
          <w:tcPr>
            <w:tcW w:w="22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w:t>
            </w:r>
          </w:p>
        </w:tc>
        <w:tc>
          <w:tcPr>
            <w:tcW w:w="1040" w:type="dxa"/>
            <w:vAlign w:val="bottom"/>
            <w:shd w:val="clear" w:color="auto" w:fill="E6E6E6"/>
          </w:tcPr>
          <w:p>
            <w:pPr>
              <w:jc w:val="right"/>
              <w:ind w:right="4"/>
              <w:spacing w:after="0" w:line="202" w:lineRule="exact"/>
              <w:rPr>
                <w:sz w:val="20"/>
                <w:szCs w:val="20"/>
                <w:color w:val="auto"/>
              </w:rPr>
            </w:pPr>
            <w:r>
              <w:rPr>
                <w:rFonts w:ascii="Arial" w:cs="Arial" w:eastAsia="Arial" w:hAnsi="Arial"/>
                <w:sz w:val="18"/>
                <w:szCs w:val="18"/>
                <w:color w:val="auto"/>
              </w:rPr>
              <w:t>(19.2)</w:t>
            </w:r>
          </w:p>
        </w:tc>
        <w:tc>
          <w:tcPr>
            <w:tcW w:w="23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w:t>
            </w:r>
          </w:p>
        </w:tc>
        <w:tc>
          <w:tcPr>
            <w:tcW w:w="790" w:type="dxa"/>
            <w:vAlign w:val="bottom"/>
            <w:shd w:val="clear" w:color="auto" w:fill="E6E6E6"/>
          </w:tcPr>
          <w:p>
            <w:pPr>
              <w:jc w:val="right"/>
              <w:ind w:right="17"/>
              <w:spacing w:after="0" w:line="202" w:lineRule="exact"/>
              <w:rPr>
                <w:sz w:val="20"/>
                <w:szCs w:val="20"/>
                <w:color w:val="auto"/>
              </w:rPr>
            </w:pPr>
            <w:r>
              <w:rPr>
                <w:rFonts w:ascii="Arial" w:cs="Arial" w:eastAsia="Arial" w:hAnsi="Arial"/>
                <w:sz w:val="18"/>
                <w:szCs w:val="18"/>
                <w:color w:val="auto"/>
              </w:rPr>
              <w:t>(88.7)</w:t>
            </w:r>
          </w:p>
        </w:tc>
        <w:tc>
          <w:tcPr>
            <w:tcW w:w="24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E6E6E6"/>
          </w:tcPr>
          <w:p>
            <w:pPr>
              <w:jc w:val="right"/>
              <w:ind w:right="20"/>
              <w:spacing w:after="0" w:line="202" w:lineRule="exact"/>
              <w:rPr>
                <w:sz w:val="20"/>
                <w:szCs w:val="20"/>
                <w:color w:val="auto"/>
              </w:rPr>
            </w:pPr>
            <w:r>
              <w:rPr>
                <w:rFonts w:ascii="Arial" w:cs="Arial" w:eastAsia="Arial" w:hAnsi="Arial"/>
                <w:sz w:val="18"/>
                <w:szCs w:val="18"/>
                <w:color w:val="auto"/>
              </w:rPr>
              <w:t>(61.3)</w:t>
            </w:r>
          </w:p>
        </w:tc>
        <w:tc>
          <w:tcPr>
            <w:tcW w:w="22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w:t>
            </w:r>
          </w:p>
        </w:tc>
        <w:tc>
          <w:tcPr>
            <w:tcW w:w="1060" w:type="dxa"/>
            <w:vAlign w:val="bottom"/>
            <w:shd w:val="clear" w:color="auto" w:fill="E6E6E6"/>
          </w:tcPr>
          <w:p>
            <w:pPr>
              <w:jc w:val="right"/>
              <w:ind w:right="24"/>
              <w:spacing w:after="0" w:line="202" w:lineRule="exact"/>
              <w:rPr>
                <w:sz w:val="20"/>
                <w:szCs w:val="20"/>
                <w:color w:val="auto"/>
              </w:rPr>
            </w:pPr>
            <w:r>
              <w:rPr>
                <w:rFonts w:ascii="Arial" w:cs="Arial" w:eastAsia="Arial" w:hAnsi="Arial"/>
                <w:sz w:val="18"/>
                <w:szCs w:val="18"/>
                <w:color w:val="auto"/>
              </w:rPr>
              <w:t>(8.4)</w:t>
            </w:r>
          </w:p>
        </w:tc>
        <w:tc>
          <w:tcPr>
            <w:tcW w:w="26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w:t>
            </w:r>
          </w:p>
        </w:tc>
        <w:tc>
          <w:tcPr>
            <w:tcW w:w="76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(69.7)</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180" w:type="dxa"/>
            <w:vAlign w:val="bottom"/>
          </w:tcPr>
          <w:p>
            <w:pPr>
              <w:ind w:left="140"/>
              <w:spacing w:after="0"/>
              <w:rPr>
                <w:sz w:val="20"/>
                <w:szCs w:val="20"/>
                <w:color w:val="auto"/>
              </w:rPr>
            </w:pPr>
            <w:r>
              <w:rPr>
                <w:rFonts w:ascii="Arial" w:cs="Arial" w:eastAsia="Arial" w:hAnsi="Arial"/>
                <w:sz w:val="18"/>
                <w:szCs w:val="18"/>
                <w:color w:val="auto"/>
              </w:rPr>
              <w:t>Net prior service credit (cost)</w:t>
            </w:r>
          </w:p>
        </w:tc>
        <w:tc>
          <w:tcPr>
            <w:tcW w:w="590" w:type="dxa"/>
            <w:vAlign w:val="bottom"/>
          </w:tcPr>
          <w:p>
            <w:pPr>
              <w:spacing w:after="0"/>
              <w:rPr>
                <w:sz w:val="18"/>
                <w:szCs w:val="18"/>
                <w:color w:val="auto"/>
              </w:rPr>
            </w:pPr>
          </w:p>
        </w:tc>
        <w:tc>
          <w:tcPr>
            <w:tcW w:w="910" w:type="dxa"/>
            <w:vAlign w:val="bottom"/>
          </w:tcPr>
          <w:p>
            <w:pPr>
              <w:jc w:val="right"/>
              <w:ind w:right="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40" w:type="dxa"/>
            <w:vAlign w:val="bottom"/>
          </w:tcPr>
          <w:p>
            <w:pPr>
              <w:jc w:val="right"/>
              <w:ind w:right="64"/>
              <w:spacing w:after="0"/>
              <w:rPr>
                <w:sz w:val="20"/>
                <w:szCs w:val="20"/>
                <w:color w:val="auto"/>
              </w:rPr>
            </w:pPr>
            <w:r>
              <w:rPr>
                <w:rFonts w:ascii="Arial" w:cs="Arial" w:eastAsia="Arial" w:hAnsi="Arial"/>
                <w:sz w:val="18"/>
                <w:szCs w:val="18"/>
                <w:color w:val="auto"/>
              </w:rPr>
              <w:t>2.2</w:t>
            </w:r>
          </w:p>
        </w:tc>
        <w:tc>
          <w:tcPr>
            <w:tcW w:w="230" w:type="dxa"/>
            <w:vAlign w:val="bottom"/>
          </w:tcPr>
          <w:p>
            <w:pPr>
              <w:spacing w:after="0"/>
              <w:rPr>
                <w:sz w:val="18"/>
                <w:szCs w:val="18"/>
                <w:color w:val="auto"/>
              </w:rPr>
            </w:pPr>
          </w:p>
        </w:tc>
        <w:tc>
          <w:tcPr>
            <w:tcW w:w="790" w:type="dxa"/>
            <w:vAlign w:val="bottom"/>
          </w:tcPr>
          <w:p>
            <w:pPr>
              <w:jc w:val="right"/>
              <w:ind w:right="77"/>
              <w:spacing w:after="0"/>
              <w:rPr>
                <w:sz w:val="20"/>
                <w:szCs w:val="20"/>
                <w:color w:val="auto"/>
              </w:rPr>
            </w:pPr>
            <w:r>
              <w:rPr>
                <w:rFonts w:ascii="Arial" w:cs="Arial" w:eastAsia="Arial" w:hAnsi="Arial"/>
                <w:sz w:val="18"/>
                <w:szCs w:val="18"/>
                <w:color w:val="auto"/>
              </w:rPr>
              <w:t>2.2</w:t>
            </w:r>
          </w:p>
        </w:tc>
        <w:tc>
          <w:tcPr>
            <w:tcW w:w="240" w:type="dxa"/>
            <w:vAlign w:val="bottom"/>
          </w:tcPr>
          <w:p>
            <w:pPr>
              <w:spacing w:after="0"/>
              <w:rPr>
                <w:sz w:val="18"/>
                <w:szCs w:val="18"/>
                <w:color w:val="auto"/>
              </w:rPr>
            </w:pPr>
          </w:p>
        </w:tc>
        <w:tc>
          <w:tcPr>
            <w:tcW w:w="900" w:type="dxa"/>
            <w:vAlign w:val="bottom"/>
          </w:tcPr>
          <w:p>
            <w:pPr>
              <w:jc w:val="right"/>
              <w:ind w:right="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60" w:type="dxa"/>
            <w:vAlign w:val="bottom"/>
          </w:tcPr>
          <w:p>
            <w:pPr>
              <w:jc w:val="right"/>
              <w:ind w:right="84"/>
              <w:spacing w:after="0"/>
              <w:rPr>
                <w:sz w:val="20"/>
                <w:szCs w:val="20"/>
                <w:color w:val="auto"/>
              </w:rPr>
            </w:pPr>
            <w:r>
              <w:rPr>
                <w:rFonts w:ascii="Arial" w:cs="Arial" w:eastAsia="Arial" w:hAnsi="Arial"/>
                <w:sz w:val="18"/>
                <w:szCs w:val="18"/>
                <w:color w:val="auto"/>
              </w:rPr>
              <w:t>2.8</w:t>
            </w:r>
          </w:p>
        </w:tc>
        <w:tc>
          <w:tcPr>
            <w:tcW w:w="260" w:type="dxa"/>
            <w:vAlign w:val="bottom"/>
          </w:tcPr>
          <w:p>
            <w:pPr>
              <w:spacing w:after="0"/>
              <w:rPr>
                <w:sz w:val="18"/>
                <w:szCs w:val="18"/>
                <w:color w:val="auto"/>
              </w:rPr>
            </w:pPr>
          </w:p>
        </w:tc>
        <w:tc>
          <w:tcPr>
            <w:tcW w:w="760" w:type="dxa"/>
            <w:vAlign w:val="bottom"/>
          </w:tcPr>
          <w:p>
            <w:pPr>
              <w:jc w:val="right"/>
              <w:ind w:right="57"/>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7"/>
        </w:trPr>
        <w:tc>
          <w:tcPr>
            <w:tcW w:w="4200" w:type="dxa"/>
            <w:vAlign w:val="bottom"/>
            <w:gridSpan w:val="2"/>
          </w:tcPr>
          <w:p>
            <w:pPr>
              <w:spacing w:after="0"/>
              <w:rPr>
                <w:sz w:val="8"/>
                <w:szCs w:val="8"/>
                <w:color w:val="auto"/>
              </w:rPr>
            </w:pPr>
          </w:p>
        </w:tc>
        <w:tc>
          <w:tcPr>
            <w:tcW w:w="590" w:type="dxa"/>
            <w:vAlign w:val="bottom"/>
          </w:tcPr>
          <w:p>
            <w:pPr>
              <w:spacing w:after="0"/>
              <w:rPr>
                <w:sz w:val="8"/>
                <w:szCs w:val="8"/>
                <w:color w:val="auto"/>
              </w:rPr>
            </w:pPr>
          </w:p>
        </w:tc>
        <w:tc>
          <w:tcPr>
            <w:tcW w:w="91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30" w:type="dxa"/>
            <w:vAlign w:val="bottom"/>
          </w:tcPr>
          <w:p>
            <w:pPr>
              <w:spacing w:after="0"/>
              <w:rPr>
                <w:sz w:val="8"/>
                <w:szCs w:val="8"/>
                <w:color w:val="auto"/>
              </w:rPr>
            </w:pPr>
          </w:p>
        </w:tc>
        <w:tc>
          <w:tcPr>
            <w:tcW w:w="790" w:type="dxa"/>
            <w:vAlign w:val="bottom"/>
          </w:tcPr>
          <w:p>
            <w:pPr>
              <w:spacing w:after="0"/>
              <w:rPr>
                <w:sz w:val="8"/>
                <w:szCs w:val="8"/>
                <w:color w:val="auto"/>
              </w:rPr>
            </w:pPr>
          </w:p>
        </w:tc>
        <w:tc>
          <w:tcPr>
            <w:tcW w:w="240" w:type="dxa"/>
            <w:vAlign w:val="bottom"/>
          </w:tcPr>
          <w:p>
            <w:pPr>
              <w:spacing w:after="0"/>
              <w:rPr>
                <w:sz w:val="8"/>
                <w:szCs w:val="8"/>
                <w:color w:val="auto"/>
              </w:rPr>
            </w:pPr>
          </w:p>
        </w:tc>
        <w:tc>
          <w:tcPr>
            <w:tcW w:w="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180" w:type="dxa"/>
            <w:vAlign w:val="bottom"/>
            <w:tcBorders>
              <w:top w:val="single" w:sz="8" w:color="808080"/>
            </w:tcBorders>
          </w:tcPr>
          <w:p>
            <w:pPr>
              <w:spacing w:after="0"/>
              <w:rPr>
                <w:sz w:val="8"/>
                <w:szCs w:val="8"/>
                <w:color w:val="auto"/>
              </w:rPr>
            </w:pPr>
          </w:p>
        </w:tc>
        <w:tc>
          <w:tcPr>
            <w:tcW w:w="590" w:type="dxa"/>
            <w:vAlign w:val="bottom"/>
            <w:tcBorders>
              <w:top w:val="single" w:sz="8" w:color="808080"/>
            </w:tcBorders>
          </w:tcPr>
          <w:p>
            <w:pPr>
              <w:spacing w:after="0"/>
              <w:rPr>
                <w:sz w:val="8"/>
                <w:szCs w:val="8"/>
                <w:color w:val="auto"/>
              </w:rPr>
            </w:pPr>
          </w:p>
        </w:tc>
        <w:tc>
          <w:tcPr>
            <w:tcW w:w="910" w:type="dxa"/>
            <w:vAlign w:val="bottom"/>
            <w:tcBorders>
              <w:top w:val="single" w:sz="8" w:color="808080"/>
            </w:tcBorders>
          </w:tcPr>
          <w:p>
            <w:pPr>
              <w:spacing w:after="0"/>
              <w:rPr>
                <w:sz w:val="8"/>
                <w:szCs w:val="8"/>
                <w:color w:val="auto"/>
              </w:rPr>
            </w:pPr>
          </w:p>
        </w:tc>
        <w:tc>
          <w:tcPr>
            <w:tcW w:w="220" w:type="dxa"/>
            <w:vAlign w:val="bottom"/>
            <w:tcBorders>
              <w:top w:val="single" w:sz="8" w:color="808080"/>
            </w:tcBorders>
          </w:tcPr>
          <w:p>
            <w:pPr>
              <w:spacing w:after="0"/>
              <w:rPr>
                <w:sz w:val="8"/>
                <w:szCs w:val="8"/>
                <w:color w:val="auto"/>
              </w:rPr>
            </w:pPr>
          </w:p>
        </w:tc>
        <w:tc>
          <w:tcPr>
            <w:tcW w:w="1040" w:type="dxa"/>
            <w:vAlign w:val="bottom"/>
            <w:tcBorders>
              <w:top w:val="single" w:sz="8" w:color="808080"/>
            </w:tcBorders>
          </w:tcPr>
          <w:p>
            <w:pPr>
              <w:spacing w:after="0"/>
              <w:rPr>
                <w:sz w:val="8"/>
                <w:szCs w:val="8"/>
                <w:color w:val="auto"/>
              </w:rPr>
            </w:pPr>
          </w:p>
        </w:tc>
        <w:tc>
          <w:tcPr>
            <w:tcW w:w="230" w:type="dxa"/>
            <w:vAlign w:val="bottom"/>
            <w:tcBorders>
              <w:top w:val="single" w:sz="8" w:color="808080"/>
            </w:tcBorders>
          </w:tcPr>
          <w:p>
            <w:pPr>
              <w:spacing w:after="0"/>
              <w:rPr>
                <w:sz w:val="8"/>
                <w:szCs w:val="8"/>
                <w:color w:val="auto"/>
              </w:rPr>
            </w:pPr>
          </w:p>
        </w:tc>
        <w:tc>
          <w:tcPr>
            <w:tcW w:w="790" w:type="dxa"/>
            <w:vAlign w:val="bottom"/>
            <w:tcBorders>
              <w:top w:val="single" w:sz="8" w:color="808080"/>
            </w:tcBorders>
          </w:tcPr>
          <w:p>
            <w:pPr>
              <w:spacing w:after="0"/>
              <w:rPr>
                <w:sz w:val="8"/>
                <w:szCs w:val="8"/>
                <w:color w:val="auto"/>
              </w:rPr>
            </w:pPr>
          </w:p>
        </w:tc>
        <w:tc>
          <w:tcPr>
            <w:tcW w:w="240" w:type="dxa"/>
            <w:vAlign w:val="bottom"/>
            <w:tcBorders>
              <w:top w:val="single" w:sz="8" w:color="808080"/>
            </w:tcBorders>
          </w:tcPr>
          <w:p>
            <w:pPr>
              <w:spacing w:after="0"/>
              <w:rPr>
                <w:sz w:val="8"/>
                <w:szCs w:val="8"/>
                <w:color w:val="auto"/>
              </w:rPr>
            </w:pPr>
          </w:p>
        </w:tc>
        <w:tc>
          <w:tcPr>
            <w:tcW w:w="900" w:type="dxa"/>
            <w:vAlign w:val="bottom"/>
            <w:tcBorders>
              <w:top w:val="single" w:sz="8" w:color="808080"/>
            </w:tcBorders>
          </w:tcPr>
          <w:p>
            <w:pPr>
              <w:spacing w:after="0"/>
              <w:rPr>
                <w:sz w:val="8"/>
                <w:szCs w:val="8"/>
                <w:color w:val="auto"/>
              </w:rPr>
            </w:pPr>
          </w:p>
        </w:tc>
        <w:tc>
          <w:tcPr>
            <w:tcW w:w="220" w:type="dxa"/>
            <w:vAlign w:val="bottom"/>
            <w:tcBorders>
              <w:top w:val="single" w:sz="8" w:color="808080"/>
            </w:tcBorders>
          </w:tcPr>
          <w:p>
            <w:pPr>
              <w:spacing w:after="0"/>
              <w:rPr>
                <w:sz w:val="8"/>
                <w:szCs w:val="8"/>
                <w:color w:val="auto"/>
              </w:rPr>
            </w:pPr>
          </w:p>
        </w:tc>
        <w:tc>
          <w:tcPr>
            <w:tcW w:w="1060" w:type="dxa"/>
            <w:vAlign w:val="bottom"/>
            <w:tcBorders>
              <w:top w:val="single" w:sz="8" w:color="808080"/>
            </w:tcBorders>
          </w:tcPr>
          <w:p>
            <w:pPr>
              <w:spacing w:after="0"/>
              <w:rPr>
                <w:sz w:val="8"/>
                <w:szCs w:val="8"/>
                <w:color w:val="auto"/>
              </w:rPr>
            </w:pPr>
          </w:p>
        </w:tc>
        <w:tc>
          <w:tcPr>
            <w:tcW w:w="260" w:type="dxa"/>
            <w:vAlign w:val="bottom"/>
            <w:tcBorders>
              <w:top w:val="single" w:sz="8" w:color="808080"/>
            </w:tcBorders>
          </w:tcPr>
          <w:p>
            <w:pPr>
              <w:spacing w:after="0"/>
              <w:rPr>
                <w:sz w:val="8"/>
                <w:szCs w:val="8"/>
                <w:color w:val="auto"/>
              </w:rPr>
            </w:pPr>
          </w:p>
        </w:tc>
        <w:tc>
          <w:tcPr>
            <w:tcW w:w="760" w:type="dxa"/>
            <w:vAlign w:val="bottom"/>
            <w:tcBorders>
              <w:top w:val="single" w:sz="8" w:color="808080"/>
            </w:tcBorders>
          </w:tcPr>
          <w:p>
            <w:pPr>
              <w:spacing w:after="0"/>
              <w:rPr>
                <w:sz w:val="8"/>
                <w:szCs w:val="8"/>
                <w:color w:val="auto"/>
              </w:rPr>
            </w:pPr>
          </w:p>
        </w:tc>
        <w:tc>
          <w:tcPr>
            <w:tcW w:w="20" w:type="dxa"/>
            <w:vAlign w:val="bottom"/>
            <w:tcBorders>
              <w:top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4"/>
        </w:trPr>
        <w:tc>
          <w:tcPr>
            <w:tcW w:w="20" w:type="dxa"/>
            <w:vAlign w:val="bottom"/>
            <w:vMerge w:val="continue"/>
          </w:tcPr>
          <w:p>
            <w:pPr>
              <w:spacing w:after="0"/>
              <w:rPr>
                <w:sz w:val="15"/>
                <w:szCs w:val="15"/>
                <w:color w:val="auto"/>
              </w:rPr>
            </w:pPr>
          </w:p>
        </w:tc>
        <w:tc>
          <w:tcPr>
            <w:tcW w:w="4180" w:type="dxa"/>
            <w:vAlign w:val="bottom"/>
            <w:shd w:val="clear" w:color="auto" w:fill="E6E6E6"/>
          </w:tcPr>
          <w:p>
            <w:pPr>
              <w:spacing w:after="0" w:line="184" w:lineRule="exact"/>
              <w:rPr>
                <w:sz w:val="20"/>
                <w:szCs w:val="20"/>
                <w:color w:val="auto"/>
              </w:rPr>
            </w:pPr>
            <w:r>
              <w:rPr>
                <w:rFonts w:ascii="Arial" w:cs="Arial" w:eastAsia="Arial" w:hAnsi="Arial"/>
                <w:sz w:val="18"/>
                <w:szCs w:val="18"/>
                <w:b w:val="1"/>
                <w:bCs w:val="1"/>
                <w:color w:val="auto"/>
              </w:rPr>
              <w:t>Net amount recognized in accumulated other</w:t>
            </w:r>
          </w:p>
        </w:tc>
        <w:tc>
          <w:tcPr>
            <w:tcW w:w="590" w:type="dxa"/>
            <w:vAlign w:val="bottom"/>
            <w:shd w:val="clear" w:color="auto" w:fill="E6E6E6"/>
          </w:tcPr>
          <w:p>
            <w:pPr>
              <w:spacing w:after="0"/>
              <w:rPr>
                <w:sz w:val="15"/>
                <w:szCs w:val="15"/>
                <w:color w:val="auto"/>
              </w:rPr>
            </w:pPr>
          </w:p>
        </w:tc>
        <w:tc>
          <w:tcPr>
            <w:tcW w:w="910" w:type="dxa"/>
            <w:vAlign w:val="bottom"/>
            <w:shd w:val="clear" w:color="auto" w:fill="E6E6E6"/>
          </w:tcPr>
          <w:p>
            <w:pPr>
              <w:spacing w:after="0"/>
              <w:rPr>
                <w:sz w:val="15"/>
                <w:szCs w:val="15"/>
                <w:color w:val="auto"/>
              </w:rPr>
            </w:pPr>
          </w:p>
        </w:tc>
        <w:tc>
          <w:tcPr>
            <w:tcW w:w="220" w:type="dxa"/>
            <w:vAlign w:val="bottom"/>
            <w:shd w:val="clear" w:color="auto" w:fill="E6E6E6"/>
          </w:tcPr>
          <w:p>
            <w:pPr>
              <w:spacing w:after="0"/>
              <w:rPr>
                <w:sz w:val="15"/>
                <w:szCs w:val="15"/>
                <w:color w:val="auto"/>
              </w:rPr>
            </w:pPr>
          </w:p>
        </w:tc>
        <w:tc>
          <w:tcPr>
            <w:tcW w:w="1040" w:type="dxa"/>
            <w:vAlign w:val="bottom"/>
            <w:shd w:val="clear" w:color="auto" w:fill="E6E6E6"/>
          </w:tcPr>
          <w:p>
            <w:pPr>
              <w:spacing w:after="0"/>
              <w:rPr>
                <w:sz w:val="15"/>
                <w:szCs w:val="15"/>
                <w:color w:val="auto"/>
              </w:rPr>
            </w:pPr>
          </w:p>
        </w:tc>
        <w:tc>
          <w:tcPr>
            <w:tcW w:w="230" w:type="dxa"/>
            <w:vAlign w:val="bottom"/>
            <w:shd w:val="clear" w:color="auto" w:fill="E6E6E6"/>
          </w:tcPr>
          <w:p>
            <w:pPr>
              <w:spacing w:after="0"/>
              <w:rPr>
                <w:sz w:val="15"/>
                <w:szCs w:val="15"/>
                <w:color w:val="auto"/>
              </w:rPr>
            </w:pPr>
          </w:p>
        </w:tc>
        <w:tc>
          <w:tcPr>
            <w:tcW w:w="790" w:type="dxa"/>
            <w:vAlign w:val="bottom"/>
            <w:shd w:val="clear" w:color="auto" w:fill="E6E6E6"/>
          </w:tcPr>
          <w:p>
            <w:pPr>
              <w:spacing w:after="0"/>
              <w:rPr>
                <w:sz w:val="15"/>
                <w:szCs w:val="15"/>
                <w:color w:val="auto"/>
              </w:rPr>
            </w:pPr>
          </w:p>
        </w:tc>
        <w:tc>
          <w:tcPr>
            <w:tcW w:w="240" w:type="dxa"/>
            <w:vAlign w:val="bottom"/>
            <w:shd w:val="clear" w:color="auto" w:fill="E6E6E6"/>
          </w:tcPr>
          <w:p>
            <w:pPr>
              <w:spacing w:after="0"/>
              <w:rPr>
                <w:sz w:val="15"/>
                <w:szCs w:val="15"/>
                <w:color w:val="auto"/>
              </w:rPr>
            </w:pPr>
          </w:p>
        </w:tc>
        <w:tc>
          <w:tcPr>
            <w:tcW w:w="900" w:type="dxa"/>
            <w:vAlign w:val="bottom"/>
            <w:shd w:val="clear" w:color="auto" w:fill="E6E6E6"/>
          </w:tcPr>
          <w:p>
            <w:pPr>
              <w:spacing w:after="0"/>
              <w:rPr>
                <w:sz w:val="15"/>
                <w:szCs w:val="15"/>
                <w:color w:val="auto"/>
              </w:rPr>
            </w:pPr>
          </w:p>
        </w:tc>
        <w:tc>
          <w:tcPr>
            <w:tcW w:w="220" w:type="dxa"/>
            <w:vAlign w:val="bottom"/>
            <w:shd w:val="clear" w:color="auto" w:fill="E6E6E6"/>
          </w:tcPr>
          <w:p>
            <w:pPr>
              <w:spacing w:after="0"/>
              <w:rPr>
                <w:sz w:val="15"/>
                <w:szCs w:val="15"/>
                <w:color w:val="auto"/>
              </w:rPr>
            </w:pPr>
          </w:p>
        </w:tc>
        <w:tc>
          <w:tcPr>
            <w:tcW w:w="1060" w:type="dxa"/>
            <w:vAlign w:val="bottom"/>
            <w:shd w:val="clear" w:color="auto" w:fill="E6E6E6"/>
          </w:tcPr>
          <w:p>
            <w:pPr>
              <w:spacing w:after="0"/>
              <w:rPr>
                <w:sz w:val="15"/>
                <w:szCs w:val="15"/>
                <w:color w:val="auto"/>
              </w:rPr>
            </w:pPr>
          </w:p>
        </w:tc>
        <w:tc>
          <w:tcPr>
            <w:tcW w:w="260" w:type="dxa"/>
            <w:vAlign w:val="bottom"/>
            <w:shd w:val="clear" w:color="auto" w:fill="E6E6E6"/>
          </w:tcPr>
          <w:p>
            <w:pPr>
              <w:spacing w:after="0"/>
              <w:rPr>
                <w:sz w:val="15"/>
                <w:szCs w:val="15"/>
                <w:color w:val="auto"/>
              </w:rPr>
            </w:pPr>
          </w:p>
        </w:tc>
        <w:tc>
          <w:tcPr>
            <w:tcW w:w="760" w:type="dxa"/>
            <w:vAlign w:val="bottom"/>
            <w:shd w:val="clear" w:color="auto" w:fill="E6E6E6"/>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180" w:type="dxa"/>
            <w:vAlign w:val="bottom"/>
            <w:shd w:val="clear" w:color="auto" w:fill="E6E6E6"/>
          </w:tcPr>
          <w:p>
            <w:pPr>
              <w:ind w:left="140"/>
              <w:spacing w:after="0"/>
              <w:rPr>
                <w:sz w:val="20"/>
                <w:szCs w:val="20"/>
                <w:color w:val="auto"/>
              </w:rPr>
            </w:pPr>
            <w:r>
              <w:rPr>
                <w:rFonts w:ascii="Arial" w:cs="Arial" w:eastAsia="Arial" w:hAnsi="Arial"/>
                <w:sz w:val="18"/>
                <w:szCs w:val="18"/>
                <w:b w:val="1"/>
                <w:bCs w:val="1"/>
                <w:color w:val="auto"/>
              </w:rPr>
              <w:t>comprehensive loss</w:t>
            </w:r>
          </w:p>
        </w:tc>
        <w:tc>
          <w:tcPr>
            <w:tcW w:w="590" w:type="dxa"/>
            <w:vAlign w:val="bottom"/>
            <w:shd w:val="clear" w:color="auto" w:fill="E6E6E6"/>
          </w:tcPr>
          <w:p>
            <w:pPr>
              <w:jc w:val="right"/>
              <w:spacing w:after="0"/>
              <w:rPr>
                <w:sz w:val="20"/>
                <w:szCs w:val="20"/>
                <w:color w:val="auto"/>
              </w:rPr>
            </w:pPr>
            <w:r>
              <w:rPr>
                <w:rFonts w:ascii="Arial" w:cs="Arial" w:eastAsia="Arial" w:hAnsi="Arial"/>
                <w:sz w:val="18"/>
                <w:szCs w:val="18"/>
                <w:b w:val="1"/>
                <w:bCs w:val="1"/>
                <w:color w:val="auto"/>
              </w:rPr>
              <w:t>$</w:t>
            </w:r>
          </w:p>
        </w:tc>
        <w:tc>
          <w:tcPr>
            <w:tcW w:w="910" w:type="dxa"/>
            <w:vAlign w:val="bottom"/>
            <w:shd w:val="clear" w:color="auto" w:fill="E6E6E6"/>
          </w:tcPr>
          <w:p>
            <w:pPr>
              <w:jc w:val="right"/>
              <w:ind w:right="20"/>
              <w:spacing w:after="0"/>
              <w:rPr>
                <w:sz w:val="20"/>
                <w:szCs w:val="20"/>
                <w:color w:val="auto"/>
              </w:rPr>
            </w:pPr>
            <w:r>
              <w:rPr>
                <w:rFonts w:ascii="Arial" w:cs="Arial" w:eastAsia="Arial" w:hAnsi="Arial"/>
                <w:sz w:val="18"/>
                <w:szCs w:val="18"/>
                <w:b w:val="1"/>
                <w:bCs w:val="1"/>
                <w:color w:val="auto"/>
              </w:rPr>
              <w:t>(69.5)</w:t>
            </w:r>
          </w:p>
        </w:tc>
        <w:tc>
          <w:tcPr>
            <w:tcW w:w="220" w:type="dxa"/>
            <w:vAlign w:val="bottom"/>
            <w:shd w:val="clear" w:color="auto" w:fill="E6E6E6"/>
          </w:tcPr>
          <w:p>
            <w:pPr>
              <w:jc w:val="right"/>
              <w:spacing w:after="0"/>
              <w:rPr>
                <w:sz w:val="20"/>
                <w:szCs w:val="20"/>
                <w:color w:val="auto"/>
              </w:rPr>
            </w:pPr>
            <w:r>
              <w:rPr>
                <w:rFonts w:ascii="Arial" w:cs="Arial" w:eastAsia="Arial" w:hAnsi="Arial"/>
                <w:sz w:val="18"/>
                <w:szCs w:val="18"/>
                <w:b w:val="1"/>
                <w:bCs w:val="1"/>
                <w:color w:val="auto"/>
              </w:rPr>
              <w:t>$</w:t>
            </w:r>
          </w:p>
        </w:tc>
        <w:tc>
          <w:tcPr>
            <w:tcW w:w="1040" w:type="dxa"/>
            <w:vAlign w:val="bottom"/>
            <w:shd w:val="clear" w:color="auto" w:fill="E6E6E6"/>
          </w:tcPr>
          <w:p>
            <w:pPr>
              <w:jc w:val="right"/>
              <w:ind w:right="4"/>
              <w:spacing w:after="0"/>
              <w:rPr>
                <w:sz w:val="20"/>
                <w:szCs w:val="20"/>
                <w:color w:val="auto"/>
              </w:rPr>
            </w:pPr>
            <w:r>
              <w:rPr>
                <w:rFonts w:ascii="Arial" w:cs="Arial" w:eastAsia="Arial" w:hAnsi="Arial"/>
                <w:sz w:val="18"/>
                <w:szCs w:val="18"/>
                <w:b w:val="1"/>
                <w:bCs w:val="1"/>
                <w:color w:val="auto"/>
              </w:rPr>
              <w:t>(17.0)</w:t>
            </w:r>
          </w:p>
        </w:tc>
        <w:tc>
          <w:tcPr>
            <w:tcW w:w="230" w:type="dxa"/>
            <w:vAlign w:val="bottom"/>
            <w:shd w:val="clear" w:color="auto" w:fill="E6E6E6"/>
          </w:tcPr>
          <w:p>
            <w:pPr>
              <w:jc w:val="right"/>
              <w:spacing w:after="0"/>
              <w:rPr>
                <w:sz w:val="20"/>
                <w:szCs w:val="20"/>
                <w:color w:val="auto"/>
              </w:rPr>
            </w:pPr>
            <w:r>
              <w:rPr>
                <w:rFonts w:ascii="Arial" w:cs="Arial" w:eastAsia="Arial" w:hAnsi="Arial"/>
                <w:sz w:val="18"/>
                <w:szCs w:val="18"/>
                <w:b w:val="1"/>
                <w:bCs w:val="1"/>
                <w:color w:val="auto"/>
              </w:rPr>
              <w:t>$</w:t>
            </w:r>
          </w:p>
        </w:tc>
        <w:tc>
          <w:tcPr>
            <w:tcW w:w="790" w:type="dxa"/>
            <w:vAlign w:val="bottom"/>
            <w:shd w:val="clear" w:color="auto" w:fill="E6E6E6"/>
          </w:tcPr>
          <w:p>
            <w:pPr>
              <w:jc w:val="right"/>
              <w:ind w:right="17"/>
              <w:spacing w:after="0"/>
              <w:rPr>
                <w:sz w:val="20"/>
                <w:szCs w:val="20"/>
                <w:color w:val="auto"/>
              </w:rPr>
            </w:pPr>
            <w:r>
              <w:rPr>
                <w:rFonts w:ascii="Arial" w:cs="Arial" w:eastAsia="Arial" w:hAnsi="Arial"/>
                <w:sz w:val="18"/>
                <w:szCs w:val="18"/>
                <w:b w:val="1"/>
                <w:bCs w:val="1"/>
                <w:color w:val="auto"/>
              </w:rPr>
              <w:t>(86.5)</w:t>
            </w:r>
          </w:p>
        </w:tc>
        <w:tc>
          <w:tcPr>
            <w:tcW w:w="240" w:type="dxa"/>
            <w:vAlign w:val="bottom"/>
            <w:shd w:val="clear" w:color="auto" w:fill="E6E6E6"/>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E6E6E6"/>
          </w:tcPr>
          <w:p>
            <w:pPr>
              <w:jc w:val="right"/>
              <w:ind w:right="20"/>
              <w:spacing w:after="0"/>
              <w:rPr>
                <w:sz w:val="20"/>
                <w:szCs w:val="20"/>
                <w:color w:val="auto"/>
              </w:rPr>
            </w:pPr>
            <w:r>
              <w:rPr>
                <w:rFonts w:ascii="Arial" w:cs="Arial" w:eastAsia="Arial" w:hAnsi="Arial"/>
                <w:sz w:val="18"/>
                <w:szCs w:val="18"/>
                <w:b w:val="1"/>
                <w:bCs w:val="1"/>
                <w:color w:val="auto"/>
              </w:rPr>
              <w:t>(61.3)</w:t>
            </w:r>
          </w:p>
        </w:tc>
        <w:tc>
          <w:tcPr>
            <w:tcW w:w="220" w:type="dxa"/>
            <w:vAlign w:val="bottom"/>
            <w:shd w:val="clear" w:color="auto" w:fill="E6E6E6"/>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shd w:val="clear" w:color="auto" w:fill="E6E6E6"/>
          </w:tcPr>
          <w:p>
            <w:pPr>
              <w:jc w:val="right"/>
              <w:ind w:right="24"/>
              <w:spacing w:after="0"/>
              <w:rPr>
                <w:sz w:val="20"/>
                <w:szCs w:val="20"/>
                <w:color w:val="auto"/>
              </w:rPr>
            </w:pPr>
            <w:r>
              <w:rPr>
                <w:rFonts w:ascii="Arial" w:cs="Arial" w:eastAsia="Arial" w:hAnsi="Arial"/>
                <w:sz w:val="18"/>
                <w:szCs w:val="18"/>
                <w:b w:val="1"/>
                <w:bCs w:val="1"/>
                <w:color w:val="auto"/>
              </w:rPr>
              <w:t>(5.6)</w:t>
            </w:r>
          </w:p>
        </w:tc>
        <w:tc>
          <w:tcPr>
            <w:tcW w:w="260" w:type="dxa"/>
            <w:vAlign w:val="bottom"/>
            <w:shd w:val="clear" w:color="auto" w:fill="E6E6E6"/>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shd w:val="clear" w:color="auto" w:fill="E6E6E6"/>
          </w:tcPr>
          <w:p>
            <w:pPr>
              <w:jc w:val="right"/>
              <w:spacing w:after="0"/>
              <w:rPr>
                <w:sz w:val="20"/>
                <w:szCs w:val="20"/>
                <w:color w:val="auto"/>
              </w:rPr>
            </w:pPr>
            <w:r>
              <w:rPr>
                <w:rFonts w:ascii="Arial" w:cs="Arial" w:eastAsia="Arial" w:hAnsi="Arial"/>
                <w:sz w:val="18"/>
                <w:szCs w:val="18"/>
                <w:b w:val="1"/>
                <w:bCs w:val="1"/>
                <w:color w:val="auto"/>
              </w:rPr>
              <w:t>(66.9)</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4180" w:type="dxa"/>
            <w:vAlign w:val="bottom"/>
            <w:tcBorders>
              <w:bottom w:val="single" w:sz="8" w:color="808080"/>
            </w:tcBorders>
          </w:tcPr>
          <w:p>
            <w:pPr>
              <w:spacing w:after="0"/>
              <w:rPr>
                <w:sz w:val="11"/>
                <w:szCs w:val="11"/>
                <w:color w:val="auto"/>
              </w:rPr>
            </w:pPr>
          </w:p>
        </w:tc>
        <w:tc>
          <w:tcPr>
            <w:tcW w:w="590" w:type="dxa"/>
            <w:vAlign w:val="bottom"/>
            <w:tcBorders>
              <w:bottom w:val="single" w:sz="8" w:color="808080"/>
            </w:tcBorders>
          </w:tcPr>
          <w:p>
            <w:pPr>
              <w:spacing w:after="0"/>
              <w:rPr>
                <w:sz w:val="11"/>
                <w:szCs w:val="11"/>
                <w:color w:val="auto"/>
              </w:rPr>
            </w:pPr>
          </w:p>
        </w:tc>
        <w:tc>
          <w:tcPr>
            <w:tcW w:w="91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1040" w:type="dxa"/>
            <w:vAlign w:val="bottom"/>
            <w:tcBorders>
              <w:bottom w:val="single" w:sz="8" w:color="808080"/>
            </w:tcBorders>
          </w:tcPr>
          <w:p>
            <w:pPr>
              <w:spacing w:after="0"/>
              <w:rPr>
                <w:sz w:val="11"/>
                <w:szCs w:val="11"/>
                <w:color w:val="auto"/>
              </w:rPr>
            </w:pPr>
          </w:p>
        </w:tc>
        <w:tc>
          <w:tcPr>
            <w:tcW w:w="230" w:type="dxa"/>
            <w:vAlign w:val="bottom"/>
            <w:tcBorders>
              <w:bottom w:val="single" w:sz="8" w:color="808080"/>
            </w:tcBorders>
          </w:tcPr>
          <w:p>
            <w:pPr>
              <w:spacing w:after="0"/>
              <w:rPr>
                <w:sz w:val="11"/>
                <w:szCs w:val="11"/>
                <w:color w:val="auto"/>
              </w:rPr>
            </w:pPr>
          </w:p>
        </w:tc>
        <w:tc>
          <w:tcPr>
            <w:tcW w:w="79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90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106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76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2798445</wp:posOffset>
            </wp:positionH>
            <wp:positionV relativeFrom="paragraph">
              <wp:posOffset>-29210</wp:posOffset>
            </wp:positionV>
            <wp:extent cx="12700" cy="29845"/>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2953385</wp:posOffset>
            </wp:positionH>
            <wp:positionV relativeFrom="paragraph">
              <wp:posOffset>-29210</wp:posOffset>
            </wp:positionV>
            <wp:extent cx="12700" cy="29845"/>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3030220</wp:posOffset>
            </wp:positionH>
            <wp:positionV relativeFrom="paragraph">
              <wp:posOffset>-29210</wp:posOffset>
            </wp:positionV>
            <wp:extent cx="12700" cy="29845"/>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3519170</wp:posOffset>
            </wp:positionH>
            <wp:positionV relativeFrom="paragraph">
              <wp:posOffset>-29210</wp:posOffset>
            </wp:positionV>
            <wp:extent cx="12700" cy="29845"/>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3673475</wp:posOffset>
            </wp:positionH>
            <wp:positionV relativeFrom="paragraph">
              <wp:posOffset>-29210</wp:posOffset>
            </wp:positionV>
            <wp:extent cx="12700" cy="29845"/>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-29210</wp:posOffset>
            </wp:positionV>
            <wp:extent cx="12700" cy="29845"/>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4324985</wp:posOffset>
            </wp:positionH>
            <wp:positionV relativeFrom="paragraph">
              <wp:posOffset>-29210</wp:posOffset>
            </wp:positionV>
            <wp:extent cx="12700" cy="29845"/>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-29210</wp:posOffset>
            </wp:positionV>
            <wp:extent cx="12700" cy="29845"/>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-29210</wp:posOffset>
            </wp:positionV>
            <wp:extent cx="12700" cy="29845"/>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-29210</wp:posOffset>
            </wp:positionV>
            <wp:extent cx="12700" cy="29845"/>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-29210</wp:posOffset>
            </wp:positionV>
            <wp:extent cx="12700" cy="29845"/>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-29210</wp:posOffset>
            </wp:positionV>
            <wp:extent cx="12700" cy="29845"/>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-29210</wp:posOffset>
            </wp:positionV>
            <wp:extent cx="12700" cy="29845"/>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-29210</wp:posOffset>
            </wp:positionV>
            <wp:extent cx="12700" cy="29845"/>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-29210</wp:posOffset>
            </wp:positionV>
            <wp:extent cx="12700" cy="29845"/>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6503670</wp:posOffset>
            </wp:positionH>
            <wp:positionV relativeFrom="paragraph">
              <wp:posOffset>-29210</wp:posOffset>
            </wp:positionV>
            <wp:extent cx="12700" cy="29845"/>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-29210</wp:posOffset>
            </wp:positionV>
            <wp:extent cx="12700" cy="29845"/>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6734810</wp:posOffset>
            </wp:positionH>
            <wp:positionV relativeFrom="paragraph">
              <wp:posOffset>-29210</wp:posOffset>
            </wp:positionV>
            <wp:extent cx="12700" cy="29845"/>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-29210</wp:posOffset>
            </wp:positionV>
            <wp:extent cx="12700" cy="29845"/>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93"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The estimated net loss for the Pension Plans that will be amortized from Accumulated other comprehensive loss into net periodic benefit cost over the Company’s fiscal year ending May 31, 2011 is $1.7 and less than $0.1, respectively. The estimated net loss and prior service credit for the Post-Retirement Benefits that will be amortized from Accumulated other comprehensive loss into net periodic benefit cost over the fiscal year ending May 31, 2011 are $2.2 and $0.7, respectively. Income tax benefits recognized in Accumulated other comprehensive income were $9.1 and $3.4 at May 31, 2010 and 2009,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2663825</wp:posOffset>
            </wp:positionH>
            <wp:positionV relativeFrom="paragraph">
              <wp:posOffset>111125</wp:posOffset>
            </wp:positionV>
            <wp:extent cx="1929765" cy="231775"/>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1929765" cy="231775"/>
                    </a:xfrm>
                    <a:prstGeom prst="rect">
                      <a:avLst/>
                    </a:prstGeom>
                    <a:noFill/>
                  </pic:spPr>
                </pic:pic>
              </a:graphicData>
            </a:graphic>
          </wp:anchor>
        </w:drawing>
      </w:r>
    </w:p>
    <w:p>
      <w:pPr>
        <w:sectPr>
          <w:pgSz w:w="11900" w:h="16838" w:orient="portrait"/>
          <w:cols w:equalWidth="0" w:num="1">
            <w:col w:w="11460"/>
          </w:cols>
          <w:pgMar w:left="240" w:top="833" w:right="1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67575" cy="38735"/>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60"/>
          </w:cols>
          <w:pgMar w:left="240" w:top="833" w:right="199" w:bottom="1440" w:gutter="0" w:footer="0" w:header="0"/>
          <w:type w:val="continuous"/>
        </w:sectPr>
      </w:pPr>
    </w:p>
    <w:bookmarkStart w:id="74" w:name="page75"/>
    <w:bookmarkEnd w:id="74"/>
    <w:p>
      <w:pPr>
        <w:ind w:right="78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7263765" cy="8890"/>
                    </a:xfrm>
                    <a:prstGeom prst="rect">
                      <a:avLst/>
                    </a:prstGeom>
                    <a:noFill/>
                  </pic:spPr>
                </pic:pic>
              </a:graphicData>
            </a:graphic>
          </wp:anchor>
        </w:drawing>
        <w:t>The accumulated benefit obligation for the Pension Plans was $170.3 and $152.8 at May 31, 2010 and 2009, respectively. The following table sets forth information with respect to the Pension Plans with accumulated benefit obligations in excess of plan assets for the fiscal years ended May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170815</wp:posOffset>
            </wp:positionV>
            <wp:extent cx="7263765" cy="8890"/>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700" w:type="dxa"/>
            <w:vAlign w:val="bottom"/>
          </w:tcPr>
          <w:p>
            <w:pPr>
              <w:spacing w:after="0"/>
              <w:rPr>
                <w:sz w:val="15"/>
                <w:szCs w:val="15"/>
                <w:color w:val="auto"/>
              </w:rPr>
            </w:pPr>
          </w:p>
        </w:tc>
        <w:tc>
          <w:tcPr>
            <w:tcW w:w="3310" w:type="dxa"/>
            <w:vAlign w:val="bottom"/>
          </w:tcPr>
          <w:p>
            <w:pPr>
              <w:spacing w:after="0"/>
              <w:rPr>
                <w:sz w:val="15"/>
                <w:szCs w:val="15"/>
                <w:color w:val="auto"/>
              </w:rPr>
            </w:pPr>
          </w:p>
        </w:tc>
        <w:tc>
          <w:tcPr>
            <w:tcW w:w="1250" w:type="dxa"/>
            <w:vAlign w:val="bottom"/>
          </w:tcPr>
          <w:p>
            <w:pPr>
              <w:jc w:val="right"/>
              <w:ind w:right="257"/>
              <w:spacing w:after="0"/>
              <w:rPr>
                <w:sz w:val="20"/>
                <w:szCs w:val="20"/>
                <w:color w:val="auto"/>
              </w:rPr>
            </w:pPr>
            <w:r>
              <w:rPr>
                <w:rFonts w:ascii="Arial" w:cs="Arial" w:eastAsia="Arial" w:hAnsi="Arial"/>
                <w:sz w:val="14"/>
                <w:szCs w:val="14"/>
                <w:b w:val="1"/>
                <w:bCs w:val="1"/>
                <w:color w:val="auto"/>
              </w:rPr>
              <w:t>2010</w:t>
            </w:r>
          </w:p>
        </w:tc>
        <w:tc>
          <w:tcPr>
            <w:tcW w:w="340" w:type="dxa"/>
            <w:vAlign w:val="bottom"/>
          </w:tcPr>
          <w:p>
            <w:pPr>
              <w:spacing w:after="0"/>
              <w:rPr>
                <w:sz w:val="15"/>
                <w:szCs w:val="15"/>
                <w:color w:val="auto"/>
              </w:rPr>
            </w:pPr>
          </w:p>
        </w:tc>
        <w:tc>
          <w:tcPr>
            <w:tcW w:w="820" w:type="dxa"/>
            <w:vAlign w:val="bottom"/>
          </w:tcPr>
          <w:p>
            <w:pPr>
              <w:jc w:val="right"/>
              <w:ind w:right="37"/>
              <w:spacing w:after="0"/>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95"/>
        </w:trPr>
        <w:tc>
          <w:tcPr>
            <w:tcW w:w="5700" w:type="dxa"/>
            <w:vAlign w:val="bottom"/>
            <w:tcBorders>
              <w:bottom w:val="single" w:sz="8" w:color="auto"/>
            </w:tcBorders>
          </w:tcPr>
          <w:p>
            <w:pPr>
              <w:spacing w:after="0"/>
              <w:rPr>
                <w:sz w:val="8"/>
                <w:szCs w:val="8"/>
                <w:color w:val="auto"/>
              </w:rPr>
            </w:pPr>
          </w:p>
        </w:tc>
        <w:tc>
          <w:tcPr>
            <w:tcW w:w="3310" w:type="dxa"/>
            <w:vAlign w:val="bottom"/>
            <w:tcBorders>
              <w:bottom w:val="single" w:sz="8" w:color="auto"/>
            </w:tcBorders>
          </w:tcPr>
          <w:p>
            <w:pPr>
              <w:spacing w:after="0"/>
              <w:rPr>
                <w:sz w:val="8"/>
                <w:szCs w:val="8"/>
                <w:color w:val="auto"/>
              </w:rPr>
            </w:pPr>
          </w:p>
        </w:tc>
        <w:tc>
          <w:tcPr>
            <w:tcW w:w="125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r>
      <w:tr>
        <w:trPr>
          <w:trHeight w:val="102"/>
        </w:trPr>
        <w:tc>
          <w:tcPr>
            <w:tcW w:w="5700" w:type="dxa"/>
            <w:vAlign w:val="bottom"/>
          </w:tcPr>
          <w:p>
            <w:pPr>
              <w:spacing w:after="0"/>
              <w:rPr>
                <w:sz w:val="8"/>
                <w:szCs w:val="8"/>
                <w:color w:val="auto"/>
              </w:rPr>
            </w:pPr>
          </w:p>
        </w:tc>
        <w:tc>
          <w:tcPr>
            <w:tcW w:w="3310" w:type="dxa"/>
            <w:vAlign w:val="bottom"/>
          </w:tcPr>
          <w:p>
            <w:pPr>
              <w:spacing w:after="0"/>
              <w:rPr>
                <w:sz w:val="8"/>
                <w:szCs w:val="8"/>
                <w:color w:val="auto"/>
              </w:rPr>
            </w:pPr>
          </w:p>
        </w:tc>
        <w:tc>
          <w:tcPr>
            <w:tcW w:w="1250" w:type="dxa"/>
            <w:vAlign w:val="bottom"/>
          </w:tcPr>
          <w:p>
            <w:pPr>
              <w:spacing w:after="0"/>
              <w:rPr>
                <w:sz w:val="8"/>
                <w:szCs w:val="8"/>
                <w:color w:val="auto"/>
              </w:rPr>
            </w:pPr>
          </w:p>
        </w:tc>
        <w:tc>
          <w:tcPr>
            <w:tcW w:w="3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203"/>
        </w:trPr>
        <w:tc>
          <w:tcPr>
            <w:tcW w:w="570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Projected benefit obligations</w:t>
            </w:r>
          </w:p>
        </w:tc>
        <w:tc>
          <w:tcPr>
            <w:tcW w:w="331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w:t>
            </w:r>
          </w:p>
        </w:tc>
        <w:tc>
          <w:tcPr>
            <w:tcW w:w="1250" w:type="dxa"/>
            <w:vAlign w:val="bottom"/>
            <w:shd w:val="clear" w:color="auto" w:fill="E6E6E6"/>
          </w:tcPr>
          <w:p>
            <w:pPr>
              <w:jc w:val="right"/>
              <w:ind w:right="257"/>
              <w:spacing w:after="0" w:line="202" w:lineRule="exact"/>
              <w:rPr>
                <w:sz w:val="20"/>
                <w:szCs w:val="20"/>
                <w:color w:val="auto"/>
              </w:rPr>
            </w:pPr>
            <w:r>
              <w:rPr>
                <w:rFonts w:ascii="Arial" w:cs="Arial" w:eastAsia="Arial" w:hAnsi="Arial"/>
                <w:sz w:val="18"/>
                <w:szCs w:val="18"/>
                <w:color w:val="auto"/>
              </w:rPr>
              <w:t>171.1</w:t>
            </w:r>
          </w:p>
        </w:tc>
        <w:tc>
          <w:tcPr>
            <w:tcW w:w="340" w:type="dxa"/>
            <w:vAlign w:val="bottom"/>
            <w:shd w:val="clear" w:color="auto" w:fill="E6E6E6"/>
          </w:tcPr>
          <w:p>
            <w:pPr>
              <w:jc w:val="right"/>
              <w:ind w:right="152"/>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shd w:val="clear" w:color="auto" w:fill="E6E6E6"/>
          </w:tcPr>
          <w:p>
            <w:pPr>
              <w:jc w:val="right"/>
              <w:ind w:right="37"/>
              <w:spacing w:after="0" w:line="202" w:lineRule="exact"/>
              <w:rPr>
                <w:sz w:val="20"/>
                <w:szCs w:val="20"/>
                <w:color w:val="auto"/>
              </w:rPr>
            </w:pPr>
            <w:r>
              <w:rPr>
                <w:rFonts w:ascii="Arial" w:cs="Arial" w:eastAsia="Arial" w:hAnsi="Arial"/>
                <w:sz w:val="18"/>
                <w:szCs w:val="18"/>
                <w:color w:val="auto"/>
              </w:rPr>
              <w:t>153.9</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5700" w:type="dxa"/>
            <w:vAlign w:val="bottom"/>
          </w:tcPr>
          <w:p>
            <w:pPr>
              <w:spacing w:after="0" w:line="202" w:lineRule="exact"/>
              <w:rPr>
                <w:sz w:val="20"/>
                <w:szCs w:val="20"/>
                <w:color w:val="auto"/>
              </w:rPr>
            </w:pPr>
            <w:r>
              <w:rPr>
                <w:rFonts w:ascii="Arial" w:cs="Arial" w:eastAsia="Arial" w:hAnsi="Arial"/>
                <w:sz w:val="18"/>
                <w:szCs w:val="18"/>
                <w:color w:val="auto"/>
              </w:rPr>
              <w:t>Accumulated benefit obligations</w:t>
            </w:r>
          </w:p>
        </w:tc>
        <w:tc>
          <w:tcPr>
            <w:tcW w:w="3310" w:type="dxa"/>
            <w:vAlign w:val="bottom"/>
          </w:tcPr>
          <w:p>
            <w:pPr>
              <w:spacing w:after="0"/>
              <w:rPr>
                <w:sz w:val="17"/>
                <w:szCs w:val="17"/>
                <w:color w:val="auto"/>
              </w:rPr>
            </w:pPr>
          </w:p>
        </w:tc>
        <w:tc>
          <w:tcPr>
            <w:tcW w:w="1250" w:type="dxa"/>
            <w:vAlign w:val="bottom"/>
          </w:tcPr>
          <w:p>
            <w:pPr>
              <w:jc w:val="right"/>
              <w:ind w:right="257"/>
              <w:spacing w:after="0" w:line="202" w:lineRule="exact"/>
              <w:rPr>
                <w:sz w:val="20"/>
                <w:szCs w:val="20"/>
                <w:color w:val="auto"/>
              </w:rPr>
            </w:pPr>
            <w:r>
              <w:rPr>
                <w:rFonts w:ascii="Arial" w:cs="Arial" w:eastAsia="Arial" w:hAnsi="Arial"/>
                <w:sz w:val="18"/>
                <w:szCs w:val="18"/>
                <w:color w:val="auto"/>
              </w:rPr>
              <w:t>170.3</w:t>
            </w:r>
          </w:p>
        </w:tc>
        <w:tc>
          <w:tcPr>
            <w:tcW w:w="340" w:type="dxa"/>
            <w:vAlign w:val="bottom"/>
          </w:tcPr>
          <w:p>
            <w:pPr>
              <w:spacing w:after="0"/>
              <w:rPr>
                <w:sz w:val="17"/>
                <w:szCs w:val="17"/>
                <w:color w:val="auto"/>
              </w:rPr>
            </w:pPr>
          </w:p>
        </w:tc>
        <w:tc>
          <w:tcPr>
            <w:tcW w:w="820" w:type="dxa"/>
            <w:vAlign w:val="bottom"/>
          </w:tcPr>
          <w:p>
            <w:pPr>
              <w:jc w:val="right"/>
              <w:ind w:right="37"/>
              <w:spacing w:after="0" w:line="202" w:lineRule="exact"/>
              <w:rPr>
                <w:sz w:val="20"/>
                <w:szCs w:val="20"/>
                <w:color w:val="auto"/>
              </w:rPr>
            </w:pPr>
            <w:r>
              <w:rPr>
                <w:rFonts w:ascii="Arial" w:cs="Arial" w:eastAsia="Arial" w:hAnsi="Arial"/>
                <w:sz w:val="18"/>
                <w:szCs w:val="18"/>
                <w:color w:val="auto"/>
              </w:rPr>
              <w:t>152.8</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570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Fair value of plan assets</w:t>
            </w:r>
          </w:p>
        </w:tc>
        <w:tc>
          <w:tcPr>
            <w:tcW w:w="3310" w:type="dxa"/>
            <w:vAlign w:val="bottom"/>
            <w:shd w:val="clear" w:color="auto" w:fill="E6E6E6"/>
          </w:tcPr>
          <w:p>
            <w:pPr>
              <w:spacing w:after="0"/>
              <w:rPr>
                <w:sz w:val="17"/>
                <w:szCs w:val="17"/>
                <w:color w:val="auto"/>
              </w:rPr>
            </w:pPr>
          </w:p>
        </w:tc>
        <w:tc>
          <w:tcPr>
            <w:tcW w:w="1250" w:type="dxa"/>
            <w:vAlign w:val="bottom"/>
            <w:shd w:val="clear" w:color="auto" w:fill="E6E6E6"/>
          </w:tcPr>
          <w:p>
            <w:pPr>
              <w:jc w:val="right"/>
              <w:ind w:right="257"/>
              <w:spacing w:after="0" w:line="202" w:lineRule="exact"/>
              <w:rPr>
                <w:sz w:val="20"/>
                <w:szCs w:val="20"/>
                <w:color w:val="auto"/>
              </w:rPr>
            </w:pPr>
            <w:r>
              <w:rPr>
                <w:rFonts w:ascii="Arial" w:cs="Arial" w:eastAsia="Arial" w:hAnsi="Arial"/>
                <w:sz w:val="18"/>
                <w:szCs w:val="18"/>
                <w:color w:val="auto"/>
              </w:rPr>
              <w:t>126.5</w:t>
            </w:r>
          </w:p>
        </w:tc>
        <w:tc>
          <w:tcPr>
            <w:tcW w:w="340" w:type="dxa"/>
            <w:vAlign w:val="bottom"/>
            <w:shd w:val="clear" w:color="auto" w:fill="E6E6E6"/>
          </w:tcPr>
          <w:p>
            <w:pPr>
              <w:spacing w:after="0"/>
              <w:rPr>
                <w:sz w:val="17"/>
                <w:szCs w:val="17"/>
                <w:color w:val="auto"/>
              </w:rPr>
            </w:pPr>
          </w:p>
        </w:tc>
        <w:tc>
          <w:tcPr>
            <w:tcW w:w="820" w:type="dxa"/>
            <w:vAlign w:val="bottom"/>
            <w:shd w:val="clear" w:color="auto" w:fill="E6E6E6"/>
          </w:tcPr>
          <w:p>
            <w:pPr>
              <w:jc w:val="right"/>
              <w:ind w:right="37"/>
              <w:spacing w:after="0" w:line="202" w:lineRule="exact"/>
              <w:rPr>
                <w:sz w:val="20"/>
                <w:szCs w:val="20"/>
                <w:color w:val="auto"/>
              </w:rPr>
            </w:pPr>
            <w:r>
              <w:rPr>
                <w:rFonts w:ascii="Arial" w:cs="Arial" w:eastAsia="Arial" w:hAnsi="Arial"/>
                <w:sz w:val="18"/>
                <w:szCs w:val="18"/>
                <w:color w:val="auto"/>
              </w:rPr>
              <w:t>105.3</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32"/>
        </w:trPr>
        <w:tc>
          <w:tcPr>
            <w:tcW w:w="5700" w:type="dxa"/>
            <w:vAlign w:val="bottom"/>
            <w:tcBorders>
              <w:bottom w:val="single" w:sz="8" w:color="808080"/>
            </w:tcBorders>
          </w:tcPr>
          <w:p>
            <w:pPr>
              <w:spacing w:after="0"/>
              <w:rPr>
                <w:sz w:val="11"/>
                <w:szCs w:val="11"/>
                <w:color w:val="auto"/>
              </w:rPr>
            </w:pPr>
          </w:p>
        </w:tc>
        <w:tc>
          <w:tcPr>
            <w:tcW w:w="3310" w:type="dxa"/>
            <w:vAlign w:val="bottom"/>
            <w:tcBorders>
              <w:bottom w:val="single" w:sz="8" w:color="808080"/>
            </w:tcBorders>
          </w:tcPr>
          <w:p>
            <w:pPr>
              <w:spacing w:after="0"/>
              <w:rPr>
                <w:sz w:val="11"/>
                <w:szCs w:val="11"/>
                <w:color w:val="auto"/>
              </w:rPr>
            </w:pPr>
          </w:p>
        </w:tc>
        <w:tc>
          <w:tcPr>
            <w:tcW w:w="125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8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-29210</wp:posOffset>
            </wp:positionV>
            <wp:extent cx="12700" cy="29845"/>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-29210</wp:posOffset>
            </wp:positionV>
            <wp:extent cx="12700" cy="29845"/>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-29210</wp:posOffset>
            </wp:positionV>
            <wp:extent cx="12700" cy="29845"/>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-29210</wp:posOffset>
            </wp:positionV>
            <wp:extent cx="12700" cy="29845"/>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-29210</wp:posOffset>
            </wp:positionV>
            <wp:extent cx="12700" cy="29845"/>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-29210</wp:posOffset>
            </wp:positionV>
            <wp:extent cx="12700" cy="29845"/>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-29210</wp:posOffset>
            </wp:positionV>
            <wp:extent cx="12700" cy="29845"/>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7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net periodic cost for the Pension Plans and Post-Retirement Benefits for the fiscal years ended May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263765" cy="8890"/>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2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180" w:type="dxa"/>
            <w:vAlign w:val="bottom"/>
            <w:gridSpan w:val="2"/>
          </w:tcPr>
          <w:p>
            <w:pPr>
              <w:jc w:val="right"/>
              <w:ind w:right="114"/>
              <w:spacing w:after="0"/>
              <w:rPr>
                <w:sz w:val="20"/>
                <w:szCs w:val="20"/>
                <w:color w:val="auto"/>
              </w:rPr>
            </w:pPr>
            <w:r>
              <w:rPr>
                <w:rFonts w:ascii="Arial" w:cs="Arial" w:eastAsia="Arial" w:hAnsi="Arial"/>
                <w:sz w:val="14"/>
                <w:szCs w:val="14"/>
                <w:b w:val="1"/>
                <w:bCs w:val="1"/>
                <w:color w:val="auto"/>
              </w:rPr>
              <w:t>Pension Plans</w:t>
            </w: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160" w:type="dxa"/>
            <w:vAlign w:val="bottom"/>
            <w:gridSpan w:val="4"/>
          </w:tcPr>
          <w:p>
            <w:pPr>
              <w:jc w:val="right"/>
              <w:ind w:right="72"/>
              <w:spacing w:after="0"/>
              <w:rPr>
                <w:sz w:val="20"/>
                <w:szCs w:val="20"/>
                <w:color w:val="auto"/>
              </w:rPr>
            </w:pPr>
            <w:r>
              <w:rPr>
                <w:rFonts w:ascii="Arial" w:cs="Arial" w:eastAsia="Arial" w:hAnsi="Arial"/>
                <w:sz w:val="14"/>
                <w:szCs w:val="14"/>
                <w:b w:val="1"/>
                <w:bCs w:val="1"/>
                <w:color w:val="auto"/>
              </w:rPr>
              <w:t>Post-Retirement Benefits</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95"/>
        </w:trPr>
        <w:tc>
          <w:tcPr>
            <w:tcW w:w="4260" w:type="dxa"/>
            <w:vAlign w:val="bottom"/>
            <w:tcBorders>
              <w:bottom w:val="single" w:sz="8" w:color="auto"/>
            </w:tcBorders>
          </w:tcPr>
          <w:p>
            <w:pPr>
              <w:spacing w:after="0"/>
              <w:rPr>
                <w:sz w:val="8"/>
                <w:szCs w:val="8"/>
                <w:color w:val="auto"/>
              </w:rPr>
            </w:pPr>
          </w:p>
        </w:tc>
        <w:tc>
          <w:tcPr>
            <w:tcW w:w="14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70" w:type="dxa"/>
            <w:vAlign w:val="bottom"/>
            <w:tcBorders>
              <w:bottom w:val="single" w:sz="8" w:color="auto"/>
            </w:tcBorders>
          </w:tcPr>
          <w:p>
            <w:pPr>
              <w:spacing w:after="0"/>
              <w:rPr>
                <w:sz w:val="8"/>
                <w:szCs w:val="8"/>
                <w:color w:val="auto"/>
              </w:rPr>
            </w:pPr>
          </w:p>
        </w:tc>
        <w:tc>
          <w:tcPr>
            <w:tcW w:w="91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10" w:type="dxa"/>
            <w:vAlign w:val="bottom"/>
            <w:tcBorders>
              <w:bottom w:val="single" w:sz="8" w:color="auto"/>
            </w:tcBorders>
          </w:tcPr>
          <w:p>
            <w:pPr>
              <w:spacing w:after="0"/>
              <w:rPr>
                <w:sz w:val="8"/>
                <w:szCs w:val="8"/>
                <w:color w:val="auto"/>
              </w:rPr>
            </w:pPr>
          </w:p>
        </w:tc>
        <w:tc>
          <w:tcPr>
            <w:tcW w:w="79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r>
      <w:tr>
        <w:trPr>
          <w:trHeight w:val="263"/>
        </w:trPr>
        <w:tc>
          <w:tcPr>
            <w:tcW w:w="42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580" w:type="dxa"/>
            <w:vAlign w:val="bottom"/>
          </w:tcPr>
          <w:p>
            <w:pPr>
              <w:jc w:val="right"/>
              <w:ind w:right="14"/>
              <w:spacing w:after="0"/>
              <w:rPr>
                <w:sz w:val="20"/>
                <w:szCs w:val="20"/>
                <w:color w:val="auto"/>
              </w:rPr>
            </w:pPr>
            <w:r>
              <w:rPr>
                <w:rFonts w:ascii="Arial" w:cs="Arial" w:eastAsia="Arial" w:hAnsi="Arial"/>
                <w:sz w:val="14"/>
                <w:szCs w:val="14"/>
                <w:b w:val="1"/>
                <w:bCs w:val="1"/>
                <w:color w:val="auto"/>
              </w:rPr>
              <w:t>2010</w:t>
            </w:r>
          </w:p>
        </w:tc>
        <w:tc>
          <w:tcPr>
            <w:tcW w:w="270" w:type="dxa"/>
            <w:vAlign w:val="bottom"/>
          </w:tcPr>
          <w:p>
            <w:pPr>
              <w:spacing w:after="0"/>
              <w:rPr>
                <w:sz w:val="22"/>
                <w:szCs w:val="22"/>
                <w:color w:val="auto"/>
              </w:rPr>
            </w:pPr>
          </w:p>
        </w:tc>
        <w:tc>
          <w:tcPr>
            <w:tcW w:w="910" w:type="dxa"/>
            <w:vAlign w:val="bottom"/>
          </w:tcPr>
          <w:p>
            <w:pPr>
              <w:jc w:val="right"/>
              <w:ind w:right="74"/>
              <w:spacing w:after="0"/>
              <w:rPr>
                <w:sz w:val="20"/>
                <w:szCs w:val="20"/>
                <w:color w:val="auto"/>
              </w:rPr>
            </w:pPr>
            <w:r>
              <w:rPr>
                <w:rFonts w:ascii="Arial" w:cs="Arial" w:eastAsia="Arial" w:hAnsi="Arial"/>
                <w:sz w:val="14"/>
                <w:szCs w:val="14"/>
                <w:b w:val="1"/>
                <w:bCs w:val="1"/>
                <w:color w:val="auto"/>
              </w:rPr>
              <w:t>2009</w:t>
            </w:r>
          </w:p>
        </w:tc>
        <w:tc>
          <w:tcPr>
            <w:tcW w:w="220" w:type="dxa"/>
            <w:vAlign w:val="bottom"/>
          </w:tcPr>
          <w:p>
            <w:pPr>
              <w:spacing w:after="0"/>
              <w:rPr>
                <w:sz w:val="22"/>
                <w:szCs w:val="22"/>
                <w:color w:val="auto"/>
              </w:rPr>
            </w:pPr>
          </w:p>
        </w:tc>
        <w:tc>
          <w:tcPr>
            <w:tcW w:w="640" w:type="dxa"/>
            <w:vAlign w:val="bottom"/>
          </w:tcPr>
          <w:p>
            <w:pPr>
              <w:jc w:val="right"/>
              <w:ind w:right="74"/>
              <w:spacing w:after="0"/>
              <w:rPr>
                <w:sz w:val="20"/>
                <w:szCs w:val="20"/>
                <w:color w:val="auto"/>
              </w:rPr>
            </w:pPr>
            <w:r>
              <w:rPr>
                <w:rFonts w:ascii="Arial" w:cs="Arial" w:eastAsia="Arial" w:hAnsi="Arial"/>
                <w:sz w:val="14"/>
                <w:szCs w:val="14"/>
                <w:b w:val="1"/>
                <w:bCs w:val="1"/>
                <w:color w:val="auto"/>
              </w:rPr>
              <w:t>2008</w:t>
            </w:r>
          </w:p>
        </w:tc>
        <w:tc>
          <w:tcPr>
            <w:tcW w:w="360" w:type="dxa"/>
            <w:vAlign w:val="bottom"/>
          </w:tcPr>
          <w:p>
            <w:pPr>
              <w:spacing w:after="0"/>
              <w:rPr>
                <w:sz w:val="22"/>
                <w:szCs w:val="22"/>
                <w:color w:val="auto"/>
              </w:rPr>
            </w:pPr>
          </w:p>
        </w:tc>
        <w:tc>
          <w:tcPr>
            <w:tcW w:w="640" w:type="dxa"/>
            <w:vAlign w:val="bottom"/>
          </w:tcPr>
          <w:p>
            <w:pPr>
              <w:jc w:val="right"/>
              <w:ind w:right="76"/>
              <w:spacing w:after="0"/>
              <w:rPr>
                <w:sz w:val="20"/>
                <w:szCs w:val="20"/>
                <w:color w:val="auto"/>
              </w:rPr>
            </w:pPr>
            <w:r>
              <w:rPr>
                <w:rFonts w:ascii="Arial" w:cs="Arial" w:eastAsia="Arial" w:hAnsi="Arial"/>
                <w:sz w:val="14"/>
                <w:szCs w:val="14"/>
                <w:b w:val="1"/>
                <w:bCs w:val="1"/>
                <w:color w:val="auto"/>
              </w:rPr>
              <w:t>2010</w:t>
            </w:r>
          </w:p>
        </w:tc>
        <w:tc>
          <w:tcPr>
            <w:tcW w:w="210" w:type="dxa"/>
            <w:vAlign w:val="bottom"/>
          </w:tcPr>
          <w:p>
            <w:pPr>
              <w:spacing w:after="0"/>
              <w:rPr>
                <w:sz w:val="22"/>
                <w:szCs w:val="22"/>
                <w:color w:val="auto"/>
              </w:rPr>
            </w:pPr>
          </w:p>
        </w:tc>
        <w:tc>
          <w:tcPr>
            <w:tcW w:w="790" w:type="dxa"/>
            <w:vAlign w:val="bottom"/>
          </w:tcPr>
          <w:p>
            <w:pPr>
              <w:jc w:val="right"/>
              <w:ind w:right="54"/>
              <w:spacing w:after="0"/>
              <w:rPr>
                <w:sz w:val="20"/>
                <w:szCs w:val="20"/>
                <w:color w:val="auto"/>
              </w:rPr>
            </w:pPr>
            <w:r>
              <w:rPr>
                <w:rFonts w:ascii="Arial" w:cs="Arial" w:eastAsia="Arial" w:hAnsi="Arial"/>
                <w:sz w:val="14"/>
                <w:szCs w:val="14"/>
                <w:b w:val="1"/>
                <w:bCs w:val="1"/>
                <w:color w:val="auto"/>
              </w:rPr>
              <w:t>2009</w:t>
            </w:r>
          </w:p>
        </w:tc>
        <w:tc>
          <w:tcPr>
            <w:tcW w:w="520" w:type="dxa"/>
            <w:vAlign w:val="bottom"/>
          </w:tcPr>
          <w:p>
            <w:pPr>
              <w:spacing w:after="0"/>
              <w:rPr>
                <w:sz w:val="22"/>
                <w:szCs w:val="22"/>
                <w:color w:val="auto"/>
              </w:rPr>
            </w:pPr>
          </w:p>
        </w:tc>
        <w:tc>
          <w:tcPr>
            <w:tcW w:w="620" w:type="dxa"/>
            <w:vAlign w:val="bottom"/>
          </w:tcPr>
          <w:p>
            <w:pPr>
              <w:jc w:val="right"/>
              <w:ind w:right="54"/>
              <w:spacing w:after="0"/>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95"/>
        </w:trPr>
        <w:tc>
          <w:tcPr>
            <w:tcW w:w="4260" w:type="dxa"/>
            <w:vAlign w:val="bottom"/>
            <w:tcBorders>
              <w:bottom w:val="single" w:sz="8" w:color="auto"/>
            </w:tcBorders>
          </w:tcPr>
          <w:p>
            <w:pPr>
              <w:spacing w:after="0"/>
              <w:rPr>
                <w:sz w:val="8"/>
                <w:szCs w:val="8"/>
                <w:color w:val="auto"/>
              </w:rPr>
            </w:pPr>
          </w:p>
        </w:tc>
        <w:tc>
          <w:tcPr>
            <w:tcW w:w="14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70" w:type="dxa"/>
            <w:vAlign w:val="bottom"/>
            <w:tcBorders>
              <w:bottom w:val="single" w:sz="8" w:color="auto"/>
            </w:tcBorders>
          </w:tcPr>
          <w:p>
            <w:pPr>
              <w:spacing w:after="0"/>
              <w:rPr>
                <w:sz w:val="8"/>
                <w:szCs w:val="8"/>
                <w:color w:val="auto"/>
              </w:rPr>
            </w:pPr>
          </w:p>
        </w:tc>
        <w:tc>
          <w:tcPr>
            <w:tcW w:w="91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10" w:type="dxa"/>
            <w:vAlign w:val="bottom"/>
            <w:tcBorders>
              <w:bottom w:val="single" w:sz="8" w:color="auto"/>
            </w:tcBorders>
          </w:tcPr>
          <w:p>
            <w:pPr>
              <w:spacing w:after="0"/>
              <w:rPr>
                <w:sz w:val="8"/>
                <w:szCs w:val="8"/>
                <w:color w:val="auto"/>
              </w:rPr>
            </w:pPr>
          </w:p>
        </w:tc>
        <w:tc>
          <w:tcPr>
            <w:tcW w:w="79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r>
      <w:tr>
        <w:trPr>
          <w:trHeight w:val="102"/>
        </w:trPr>
        <w:tc>
          <w:tcPr>
            <w:tcW w:w="4260" w:type="dxa"/>
            <w:vAlign w:val="bottom"/>
          </w:tcPr>
          <w:p>
            <w:pPr>
              <w:spacing w:after="0"/>
              <w:rPr>
                <w:sz w:val="8"/>
                <w:szCs w:val="8"/>
                <w:color w:val="auto"/>
              </w:rPr>
            </w:pPr>
          </w:p>
        </w:tc>
        <w:tc>
          <w:tcPr>
            <w:tcW w:w="14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70" w:type="dxa"/>
            <w:vAlign w:val="bottom"/>
          </w:tcPr>
          <w:p>
            <w:pPr>
              <w:spacing w:after="0"/>
              <w:rPr>
                <w:sz w:val="8"/>
                <w:szCs w:val="8"/>
                <w:color w:val="auto"/>
              </w:rPr>
            </w:pPr>
          </w:p>
        </w:tc>
        <w:tc>
          <w:tcPr>
            <w:tcW w:w="910" w:type="dxa"/>
            <w:vAlign w:val="bottom"/>
          </w:tcPr>
          <w:p>
            <w:pPr>
              <w:spacing w:after="0"/>
              <w:rPr>
                <w:sz w:val="8"/>
                <w:szCs w:val="8"/>
                <w:color w:val="auto"/>
              </w:rPr>
            </w:pPr>
          </w:p>
        </w:tc>
        <w:tc>
          <w:tcPr>
            <w:tcW w:w="220" w:type="dxa"/>
            <w:vAlign w:val="bottom"/>
          </w:tcPr>
          <w:p>
            <w:pPr>
              <w:spacing w:after="0"/>
              <w:rPr>
                <w:sz w:val="8"/>
                <w:szCs w:val="8"/>
                <w:color w:val="auto"/>
              </w:rPr>
            </w:pPr>
          </w:p>
        </w:tc>
        <w:tc>
          <w:tcPr>
            <w:tcW w:w="640" w:type="dxa"/>
            <w:vAlign w:val="bottom"/>
          </w:tcPr>
          <w:p>
            <w:pPr>
              <w:spacing w:after="0"/>
              <w:rPr>
                <w:sz w:val="8"/>
                <w:szCs w:val="8"/>
                <w:color w:val="auto"/>
              </w:rPr>
            </w:pPr>
          </w:p>
        </w:tc>
        <w:tc>
          <w:tcPr>
            <w:tcW w:w="3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10" w:type="dxa"/>
            <w:vAlign w:val="bottom"/>
          </w:tcPr>
          <w:p>
            <w:pPr>
              <w:spacing w:after="0"/>
              <w:rPr>
                <w:sz w:val="8"/>
                <w:szCs w:val="8"/>
                <w:color w:val="auto"/>
              </w:rPr>
            </w:pPr>
          </w:p>
        </w:tc>
        <w:tc>
          <w:tcPr>
            <w:tcW w:w="790" w:type="dxa"/>
            <w:vAlign w:val="bottom"/>
          </w:tcPr>
          <w:p>
            <w:pPr>
              <w:spacing w:after="0"/>
              <w:rPr>
                <w:sz w:val="8"/>
                <w:szCs w:val="8"/>
                <w:color w:val="auto"/>
              </w:rPr>
            </w:pPr>
          </w:p>
        </w:tc>
        <w:tc>
          <w:tcPr>
            <w:tcW w:w="5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203"/>
        </w:trPr>
        <w:tc>
          <w:tcPr>
            <w:tcW w:w="426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Components of net periodic benefit cost:</w:t>
            </w:r>
          </w:p>
        </w:tc>
        <w:tc>
          <w:tcPr>
            <w:tcW w:w="1400" w:type="dxa"/>
            <w:vAlign w:val="bottom"/>
            <w:shd w:val="clear" w:color="auto" w:fill="E6E6E6"/>
          </w:tcPr>
          <w:p>
            <w:pPr>
              <w:spacing w:after="0"/>
              <w:rPr>
                <w:sz w:val="17"/>
                <w:szCs w:val="17"/>
                <w:color w:val="auto"/>
              </w:rPr>
            </w:pPr>
          </w:p>
        </w:tc>
        <w:tc>
          <w:tcPr>
            <w:tcW w:w="580" w:type="dxa"/>
            <w:vAlign w:val="bottom"/>
            <w:shd w:val="clear" w:color="auto" w:fill="E6E6E6"/>
          </w:tcPr>
          <w:p>
            <w:pPr>
              <w:spacing w:after="0"/>
              <w:rPr>
                <w:sz w:val="17"/>
                <w:szCs w:val="17"/>
                <w:color w:val="auto"/>
              </w:rPr>
            </w:pPr>
          </w:p>
        </w:tc>
        <w:tc>
          <w:tcPr>
            <w:tcW w:w="270" w:type="dxa"/>
            <w:vAlign w:val="bottom"/>
            <w:shd w:val="clear" w:color="auto" w:fill="E6E6E6"/>
          </w:tcPr>
          <w:p>
            <w:pPr>
              <w:spacing w:after="0"/>
              <w:rPr>
                <w:sz w:val="17"/>
                <w:szCs w:val="17"/>
                <w:color w:val="auto"/>
              </w:rPr>
            </w:pPr>
          </w:p>
        </w:tc>
        <w:tc>
          <w:tcPr>
            <w:tcW w:w="910" w:type="dxa"/>
            <w:vAlign w:val="bottom"/>
            <w:shd w:val="clear" w:color="auto" w:fill="E6E6E6"/>
          </w:tcPr>
          <w:p>
            <w:pPr>
              <w:spacing w:after="0"/>
              <w:rPr>
                <w:sz w:val="17"/>
                <w:szCs w:val="17"/>
                <w:color w:val="auto"/>
              </w:rPr>
            </w:pPr>
          </w:p>
        </w:tc>
        <w:tc>
          <w:tcPr>
            <w:tcW w:w="220" w:type="dxa"/>
            <w:vAlign w:val="bottom"/>
            <w:shd w:val="clear" w:color="auto" w:fill="E6E6E6"/>
          </w:tcPr>
          <w:p>
            <w:pPr>
              <w:spacing w:after="0"/>
              <w:rPr>
                <w:sz w:val="17"/>
                <w:szCs w:val="17"/>
                <w:color w:val="auto"/>
              </w:rPr>
            </w:pPr>
          </w:p>
        </w:tc>
        <w:tc>
          <w:tcPr>
            <w:tcW w:w="640" w:type="dxa"/>
            <w:vAlign w:val="bottom"/>
            <w:shd w:val="clear" w:color="auto" w:fill="E6E6E6"/>
          </w:tcPr>
          <w:p>
            <w:pPr>
              <w:spacing w:after="0"/>
              <w:rPr>
                <w:sz w:val="17"/>
                <w:szCs w:val="17"/>
                <w:color w:val="auto"/>
              </w:rPr>
            </w:pPr>
          </w:p>
        </w:tc>
        <w:tc>
          <w:tcPr>
            <w:tcW w:w="360" w:type="dxa"/>
            <w:vAlign w:val="bottom"/>
            <w:shd w:val="clear" w:color="auto" w:fill="E6E6E6"/>
          </w:tcPr>
          <w:p>
            <w:pPr>
              <w:spacing w:after="0"/>
              <w:rPr>
                <w:sz w:val="17"/>
                <w:szCs w:val="17"/>
                <w:color w:val="auto"/>
              </w:rPr>
            </w:pPr>
          </w:p>
        </w:tc>
        <w:tc>
          <w:tcPr>
            <w:tcW w:w="640" w:type="dxa"/>
            <w:vAlign w:val="bottom"/>
            <w:shd w:val="clear" w:color="auto" w:fill="E6E6E6"/>
          </w:tcPr>
          <w:p>
            <w:pPr>
              <w:spacing w:after="0"/>
              <w:rPr>
                <w:sz w:val="17"/>
                <w:szCs w:val="17"/>
                <w:color w:val="auto"/>
              </w:rPr>
            </w:pPr>
          </w:p>
        </w:tc>
        <w:tc>
          <w:tcPr>
            <w:tcW w:w="210" w:type="dxa"/>
            <w:vAlign w:val="bottom"/>
            <w:shd w:val="clear" w:color="auto" w:fill="E6E6E6"/>
          </w:tcPr>
          <w:p>
            <w:pPr>
              <w:spacing w:after="0"/>
              <w:rPr>
                <w:sz w:val="17"/>
                <w:szCs w:val="17"/>
                <w:color w:val="auto"/>
              </w:rPr>
            </w:pPr>
          </w:p>
        </w:tc>
        <w:tc>
          <w:tcPr>
            <w:tcW w:w="790" w:type="dxa"/>
            <w:vAlign w:val="bottom"/>
            <w:shd w:val="clear" w:color="auto" w:fill="E6E6E6"/>
          </w:tcPr>
          <w:p>
            <w:pPr>
              <w:spacing w:after="0"/>
              <w:rPr>
                <w:sz w:val="17"/>
                <w:szCs w:val="17"/>
                <w:color w:val="auto"/>
              </w:rPr>
            </w:pPr>
          </w:p>
        </w:tc>
        <w:tc>
          <w:tcPr>
            <w:tcW w:w="520" w:type="dxa"/>
            <w:vAlign w:val="bottom"/>
            <w:shd w:val="clear" w:color="auto" w:fill="E6E6E6"/>
          </w:tcPr>
          <w:p>
            <w:pPr>
              <w:spacing w:after="0"/>
              <w:rPr>
                <w:sz w:val="17"/>
                <w:szCs w:val="17"/>
                <w:color w:val="auto"/>
              </w:rPr>
            </w:pPr>
          </w:p>
        </w:tc>
        <w:tc>
          <w:tcPr>
            <w:tcW w:w="620" w:type="dxa"/>
            <w:vAlign w:val="bottom"/>
            <w:shd w:val="clear" w:color="auto" w:fill="E6E6E6"/>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4260" w:type="dxa"/>
            <w:vAlign w:val="bottom"/>
          </w:tcPr>
          <w:p>
            <w:pPr>
              <w:ind w:left="160"/>
              <w:spacing w:after="0" w:line="202" w:lineRule="exact"/>
              <w:rPr>
                <w:sz w:val="20"/>
                <w:szCs w:val="20"/>
                <w:color w:val="auto"/>
              </w:rPr>
            </w:pPr>
            <w:r>
              <w:rPr>
                <w:rFonts w:ascii="Arial" w:cs="Arial" w:eastAsia="Arial" w:hAnsi="Arial"/>
                <w:sz w:val="18"/>
                <w:szCs w:val="18"/>
                <w:color w:val="auto"/>
              </w:rPr>
              <w:t>Service cost</w:t>
            </w:r>
          </w:p>
        </w:tc>
        <w:tc>
          <w:tcPr>
            <w:tcW w:w="1400" w:type="dxa"/>
            <w:vAlign w:val="bottom"/>
          </w:tcPr>
          <w:p>
            <w:pPr>
              <w:jc w:val="right"/>
              <w:ind w:right="92"/>
              <w:spacing w:after="0" w:line="202" w:lineRule="exact"/>
              <w:rPr>
                <w:sz w:val="20"/>
                <w:szCs w:val="20"/>
                <w:color w:val="auto"/>
              </w:rPr>
            </w:pPr>
            <w:r>
              <w:rPr>
                <w:rFonts w:ascii="Arial" w:cs="Arial" w:eastAsia="Arial" w:hAnsi="Arial"/>
                <w:sz w:val="18"/>
                <w:szCs w:val="18"/>
                <w:color w:val="auto"/>
              </w:rPr>
              <w:t>$</w:t>
            </w:r>
          </w:p>
        </w:tc>
        <w:tc>
          <w:tcPr>
            <w:tcW w:w="5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0.1</w:t>
            </w:r>
          </w:p>
        </w:tc>
        <w:tc>
          <w:tcPr>
            <w:tcW w:w="27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10" w:type="dxa"/>
            <w:vAlign w:val="bottom"/>
          </w:tcPr>
          <w:p>
            <w:pPr>
              <w:jc w:val="right"/>
              <w:ind w:right="74"/>
              <w:spacing w:after="0" w:line="202" w:lineRule="exact"/>
              <w:rPr>
                <w:sz w:val="20"/>
                <w:szCs w:val="20"/>
                <w:color w:val="auto"/>
              </w:rPr>
            </w:pPr>
            <w:r>
              <w:rPr>
                <w:rFonts w:ascii="Arial" w:cs="Arial" w:eastAsia="Arial" w:hAnsi="Arial"/>
                <w:sz w:val="18"/>
                <w:szCs w:val="18"/>
                <w:color w:val="auto"/>
              </w:rPr>
              <w:t>7.8</w:t>
            </w:r>
          </w:p>
        </w:tc>
        <w:tc>
          <w:tcPr>
            <w:tcW w:w="2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40" w:type="dxa"/>
            <w:vAlign w:val="bottom"/>
          </w:tcPr>
          <w:p>
            <w:pPr>
              <w:jc w:val="right"/>
              <w:ind w:right="74"/>
              <w:spacing w:after="0" w:line="202" w:lineRule="exact"/>
              <w:rPr>
                <w:sz w:val="20"/>
                <w:szCs w:val="20"/>
                <w:color w:val="auto"/>
              </w:rPr>
            </w:pPr>
            <w:r>
              <w:rPr>
                <w:rFonts w:ascii="Arial" w:cs="Arial" w:eastAsia="Arial" w:hAnsi="Arial"/>
                <w:sz w:val="18"/>
                <w:szCs w:val="18"/>
                <w:color w:val="auto"/>
              </w:rPr>
              <w:t>8.2</w:t>
            </w:r>
          </w:p>
        </w:tc>
        <w:tc>
          <w:tcPr>
            <w:tcW w:w="360" w:type="dxa"/>
            <w:vAlign w:val="bottom"/>
          </w:tcPr>
          <w:p>
            <w:pPr>
              <w:jc w:val="right"/>
              <w:ind w:right="92"/>
              <w:spacing w:after="0" w:line="202" w:lineRule="exact"/>
              <w:rPr>
                <w:sz w:val="20"/>
                <w:szCs w:val="20"/>
                <w:color w:val="auto"/>
              </w:rPr>
            </w:pPr>
            <w:r>
              <w:rPr>
                <w:rFonts w:ascii="Arial" w:cs="Arial" w:eastAsia="Arial" w:hAnsi="Arial"/>
                <w:sz w:val="18"/>
                <w:szCs w:val="18"/>
                <w:color w:val="auto"/>
              </w:rPr>
              <w:t>$</w:t>
            </w:r>
          </w:p>
        </w:tc>
        <w:tc>
          <w:tcPr>
            <w:tcW w:w="640" w:type="dxa"/>
            <w:vAlign w:val="bottom"/>
          </w:tcPr>
          <w:p>
            <w:pPr>
              <w:jc w:val="right"/>
              <w:ind w:right="76"/>
              <w:spacing w:after="0" w:line="202" w:lineRule="exact"/>
              <w:rPr>
                <w:sz w:val="20"/>
                <w:szCs w:val="20"/>
                <w:color w:val="auto"/>
              </w:rPr>
            </w:pPr>
            <w:r>
              <w:rPr>
                <w:rFonts w:ascii="Arial" w:cs="Arial" w:eastAsia="Arial" w:hAnsi="Arial"/>
                <w:sz w:val="18"/>
                <w:szCs w:val="18"/>
                <w:color w:val="auto"/>
              </w:rPr>
              <w:t>—</w:t>
            </w:r>
          </w:p>
        </w:tc>
        <w:tc>
          <w:tcPr>
            <w:tcW w:w="21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90" w:type="dxa"/>
            <w:vAlign w:val="bottom"/>
          </w:tcPr>
          <w:p>
            <w:pPr>
              <w:jc w:val="right"/>
              <w:ind w:right="54"/>
              <w:spacing w:after="0" w:line="202" w:lineRule="exact"/>
              <w:rPr>
                <w:sz w:val="20"/>
                <w:szCs w:val="20"/>
                <w:color w:val="auto"/>
              </w:rPr>
            </w:pPr>
            <w:r>
              <w:rPr>
                <w:rFonts w:ascii="Arial" w:cs="Arial" w:eastAsia="Arial" w:hAnsi="Arial"/>
                <w:sz w:val="18"/>
                <w:szCs w:val="18"/>
                <w:color w:val="auto"/>
              </w:rPr>
              <w:t>0.1</w:t>
            </w:r>
          </w:p>
        </w:tc>
        <w:tc>
          <w:tcPr>
            <w:tcW w:w="520" w:type="dxa"/>
            <w:vAlign w:val="bottom"/>
          </w:tcPr>
          <w:p>
            <w:pPr>
              <w:jc w:val="right"/>
              <w:ind w:right="232"/>
              <w:spacing w:after="0" w:line="202" w:lineRule="exact"/>
              <w:rPr>
                <w:sz w:val="20"/>
                <w:szCs w:val="20"/>
                <w:color w:val="auto"/>
              </w:rPr>
            </w:pPr>
            <w:r>
              <w:rPr>
                <w:rFonts w:ascii="Arial" w:cs="Arial" w:eastAsia="Arial" w:hAnsi="Arial"/>
                <w:sz w:val="18"/>
                <w:szCs w:val="18"/>
                <w:color w:val="auto"/>
              </w:rPr>
              <w:t>$</w:t>
            </w:r>
          </w:p>
        </w:tc>
        <w:tc>
          <w:tcPr>
            <w:tcW w:w="620" w:type="dxa"/>
            <w:vAlign w:val="bottom"/>
          </w:tcPr>
          <w:p>
            <w:pPr>
              <w:jc w:val="right"/>
              <w:ind w:right="54"/>
              <w:spacing w:after="0" w:line="202" w:lineRule="exact"/>
              <w:rPr>
                <w:sz w:val="20"/>
                <w:szCs w:val="20"/>
                <w:color w:val="auto"/>
              </w:rPr>
            </w:pPr>
            <w:r>
              <w:rPr>
                <w:rFonts w:ascii="Arial" w:cs="Arial" w:eastAsia="Arial" w:hAnsi="Arial"/>
                <w:sz w:val="18"/>
                <w:szCs w:val="18"/>
                <w:color w:val="auto"/>
              </w:rPr>
              <w:t>0.2</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4260" w:type="dxa"/>
            <w:vAlign w:val="bottom"/>
            <w:shd w:val="clear" w:color="auto" w:fill="E6E6E6"/>
          </w:tcPr>
          <w:p>
            <w:pPr>
              <w:ind w:left="160"/>
              <w:spacing w:after="0" w:line="202" w:lineRule="exact"/>
              <w:rPr>
                <w:sz w:val="20"/>
                <w:szCs w:val="20"/>
                <w:color w:val="auto"/>
              </w:rPr>
            </w:pPr>
            <w:r>
              <w:rPr>
                <w:rFonts w:ascii="Arial" w:cs="Arial" w:eastAsia="Arial" w:hAnsi="Arial"/>
                <w:sz w:val="18"/>
                <w:szCs w:val="18"/>
                <w:color w:val="auto"/>
              </w:rPr>
              <w:t>Interest cost</w:t>
            </w:r>
          </w:p>
        </w:tc>
        <w:tc>
          <w:tcPr>
            <w:tcW w:w="1400" w:type="dxa"/>
            <w:vAlign w:val="bottom"/>
            <w:shd w:val="clear" w:color="auto" w:fill="E6E6E6"/>
          </w:tcPr>
          <w:p>
            <w:pPr>
              <w:spacing w:after="0"/>
              <w:rPr>
                <w:sz w:val="17"/>
                <w:szCs w:val="17"/>
                <w:color w:val="auto"/>
              </w:rPr>
            </w:pPr>
          </w:p>
        </w:tc>
        <w:tc>
          <w:tcPr>
            <w:tcW w:w="580" w:type="dxa"/>
            <w:vAlign w:val="bottom"/>
            <w:shd w:val="clear" w:color="auto" w:fill="E6E6E6"/>
          </w:tcPr>
          <w:p>
            <w:pPr>
              <w:jc w:val="right"/>
              <w:ind w:right="14"/>
              <w:spacing w:after="0" w:line="202" w:lineRule="exact"/>
              <w:rPr>
                <w:sz w:val="20"/>
                <w:szCs w:val="20"/>
                <w:color w:val="auto"/>
              </w:rPr>
            </w:pPr>
            <w:r>
              <w:rPr>
                <w:rFonts w:ascii="Arial" w:cs="Arial" w:eastAsia="Arial" w:hAnsi="Arial"/>
                <w:sz w:val="18"/>
                <w:szCs w:val="18"/>
                <w:color w:val="auto"/>
              </w:rPr>
              <w:t>9.7</w:t>
            </w:r>
          </w:p>
        </w:tc>
        <w:tc>
          <w:tcPr>
            <w:tcW w:w="270" w:type="dxa"/>
            <w:vAlign w:val="bottom"/>
            <w:shd w:val="clear" w:color="auto" w:fill="E6E6E6"/>
          </w:tcPr>
          <w:p>
            <w:pPr>
              <w:spacing w:after="0"/>
              <w:rPr>
                <w:sz w:val="17"/>
                <w:szCs w:val="17"/>
                <w:color w:val="auto"/>
              </w:rPr>
            </w:pPr>
          </w:p>
        </w:tc>
        <w:tc>
          <w:tcPr>
            <w:tcW w:w="910" w:type="dxa"/>
            <w:vAlign w:val="bottom"/>
            <w:shd w:val="clear" w:color="auto" w:fill="E6E6E6"/>
          </w:tcPr>
          <w:p>
            <w:pPr>
              <w:jc w:val="right"/>
              <w:ind w:right="74"/>
              <w:spacing w:after="0" w:line="202" w:lineRule="exact"/>
              <w:rPr>
                <w:sz w:val="20"/>
                <w:szCs w:val="20"/>
                <w:color w:val="auto"/>
              </w:rPr>
            </w:pPr>
            <w:r>
              <w:rPr>
                <w:rFonts w:ascii="Arial" w:cs="Arial" w:eastAsia="Arial" w:hAnsi="Arial"/>
                <w:sz w:val="18"/>
                <w:szCs w:val="18"/>
                <w:color w:val="auto"/>
              </w:rPr>
              <w:t>10.5</w:t>
            </w:r>
          </w:p>
        </w:tc>
        <w:tc>
          <w:tcPr>
            <w:tcW w:w="220" w:type="dxa"/>
            <w:vAlign w:val="bottom"/>
            <w:shd w:val="clear" w:color="auto" w:fill="E6E6E6"/>
          </w:tcPr>
          <w:p>
            <w:pPr>
              <w:spacing w:after="0"/>
              <w:rPr>
                <w:sz w:val="17"/>
                <w:szCs w:val="17"/>
                <w:color w:val="auto"/>
              </w:rPr>
            </w:pPr>
          </w:p>
        </w:tc>
        <w:tc>
          <w:tcPr>
            <w:tcW w:w="640" w:type="dxa"/>
            <w:vAlign w:val="bottom"/>
            <w:shd w:val="clear" w:color="auto" w:fill="E6E6E6"/>
          </w:tcPr>
          <w:p>
            <w:pPr>
              <w:jc w:val="right"/>
              <w:ind w:right="74"/>
              <w:spacing w:after="0" w:line="202" w:lineRule="exact"/>
              <w:rPr>
                <w:sz w:val="20"/>
                <w:szCs w:val="20"/>
                <w:color w:val="auto"/>
              </w:rPr>
            </w:pPr>
            <w:r>
              <w:rPr>
                <w:rFonts w:ascii="Arial" w:cs="Arial" w:eastAsia="Arial" w:hAnsi="Arial"/>
                <w:sz w:val="18"/>
                <w:szCs w:val="18"/>
                <w:color w:val="auto"/>
              </w:rPr>
              <w:t>10.2</w:t>
            </w:r>
          </w:p>
        </w:tc>
        <w:tc>
          <w:tcPr>
            <w:tcW w:w="360" w:type="dxa"/>
            <w:vAlign w:val="bottom"/>
            <w:shd w:val="clear" w:color="auto" w:fill="E6E6E6"/>
          </w:tcPr>
          <w:p>
            <w:pPr>
              <w:spacing w:after="0"/>
              <w:rPr>
                <w:sz w:val="17"/>
                <w:szCs w:val="17"/>
                <w:color w:val="auto"/>
              </w:rPr>
            </w:pPr>
          </w:p>
        </w:tc>
        <w:tc>
          <w:tcPr>
            <w:tcW w:w="640" w:type="dxa"/>
            <w:vAlign w:val="bottom"/>
            <w:shd w:val="clear" w:color="auto" w:fill="E6E6E6"/>
          </w:tcPr>
          <w:p>
            <w:pPr>
              <w:jc w:val="right"/>
              <w:ind w:right="76"/>
              <w:spacing w:after="0" w:line="202" w:lineRule="exact"/>
              <w:rPr>
                <w:sz w:val="20"/>
                <w:szCs w:val="20"/>
                <w:color w:val="auto"/>
              </w:rPr>
            </w:pPr>
            <w:r>
              <w:rPr>
                <w:rFonts w:ascii="Arial" w:cs="Arial" w:eastAsia="Arial" w:hAnsi="Arial"/>
                <w:sz w:val="18"/>
                <w:szCs w:val="18"/>
                <w:color w:val="auto"/>
              </w:rPr>
              <w:t>1.6</w:t>
            </w:r>
          </w:p>
        </w:tc>
        <w:tc>
          <w:tcPr>
            <w:tcW w:w="210" w:type="dxa"/>
            <w:vAlign w:val="bottom"/>
            <w:shd w:val="clear" w:color="auto" w:fill="E6E6E6"/>
          </w:tcPr>
          <w:p>
            <w:pPr>
              <w:spacing w:after="0"/>
              <w:rPr>
                <w:sz w:val="17"/>
                <w:szCs w:val="17"/>
                <w:color w:val="auto"/>
              </w:rPr>
            </w:pPr>
          </w:p>
        </w:tc>
        <w:tc>
          <w:tcPr>
            <w:tcW w:w="790" w:type="dxa"/>
            <w:vAlign w:val="bottom"/>
            <w:shd w:val="clear" w:color="auto" w:fill="E6E6E6"/>
          </w:tcPr>
          <w:p>
            <w:pPr>
              <w:jc w:val="right"/>
              <w:ind w:right="54"/>
              <w:spacing w:after="0" w:line="202" w:lineRule="exact"/>
              <w:rPr>
                <w:sz w:val="20"/>
                <w:szCs w:val="20"/>
                <w:color w:val="auto"/>
              </w:rPr>
            </w:pPr>
            <w:r>
              <w:rPr>
                <w:rFonts w:ascii="Arial" w:cs="Arial" w:eastAsia="Arial" w:hAnsi="Arial"/>
                <w:sz w:val="18"/>
                <w:szCs w:val="18"/>
                <w:color w:val="auto"/>
              </w:rPr>
              <w:t>1.5</w:t>
            </w:r>
          </w:p>
        </w:tc>
        <w:tc>
          <w:tcPr>
            <w:tcW w:w="520" w:type="dxa"/>
            <w:vAlign w:val="bottom"/>
            <w:shd w:val="clear" w:color="auto" w:fill="E6E6E6"/>
          </w:tcPr>
          <w:p>
            <w:pPr>
              <w:spacing w:after="0"/>
              <w:rPr>
                <w:sz w:val="17"/>
                <w:szCs w:val="17"/>
                <w:color w:val="auto"/>
              </w:rPr>
            </w:pPr>
          </w:p>
        </w:tc>
        <w:tc>
          <w:tcPr>
            <w:tcW w:w="620" w:type="dxa"/>
            <w:vAlign w:val="bottom"/>
            <w:shd w:val="clear" w:color="auto" w:fill="E6E6E6"/>
          </w:tcPr>
          <w:p>
            <w:pPr>
              <w:jc w:val="right"/>
              <w:ind w:right="54"/>
              <w:spacing w:after="0" w:line="202" w:lineRule="exact"/>
              <w:rPr>
                <w:sz w:val="20"/>
                <w:szCs w:val="20"/>
                <w:color w:val="auto"/>
              </w:rPr>
            </w:pPr>
            <w:r>
              <w:rPr>
                <w:rFonts w:ascii="Arial" w:cs="Arial" w:eastAsia="Arial" w:hAnsi="Arial"/>
                <w:sz w:val="18"/>
                <w:szCs w:val="18"/>
                <w:color w:val="auto"/>
              </w:rPr>
              <w:t>1.9</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4260" w:type="dxa"/>
            <w:vAlign w:val="bottom"/>
          </w:tcPr>
          <w:p>
            <w:pPr>
              <w:ind w:left="160"/>
              <w:spacing w:after="0" w:line="202" w:lineRule="exact"/>
              <w:rPr>
                <w:sz w:val="20"/>
                <w:szCs w:val="20"/>
                <w:color w:val="auto"/>
              </w:rPr>
            </w:pPr>
            <w:r>
              <w:rPr>
                <w:rFonts w:ascii="Arial" w:cs="Arial" w:eastAsia="Arial" w:hAnsi="Arial"/>
                <w:sz w:val="18"/>
                <w:szCs w:val="18"/>
                <w:color w:val="auto"/>
              </w:rPr>
              <w:t>Expected return on assets</w:t>
            </w:r>
          </w:p>
        </w:tc>
        <w:tc>
          <w:tcPr>
            <w:tcW w:w="140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(8.1)</w:t>
            </w:r>
          </w:p>
        </w:tc>
        <w:tc>
          <w:tcPr>
            <w:tcW w:w="270" w:type="dxa"/>
            <w:vAlign w:val="bottom"/>
          </w:tcPr>
          <w:p>
            <w:pPr>
              <w:spacing w:after="0"/>
              <w:rPr>
                <w:sz w:val="17"/>
                <w:szCs w:val="17"/>
                <w:color w:val="auto"/>
              </w:rPr>
            </w:pPr>
          </w:p>
        </w:tc>
        <w:tc>
          <w:tcPr>
            <w:tcW w:w="910" w:type="dxa"/>
            <w:vAlign w:val="bottom"/>
          </w:tcPr>
          <w:p>
            <w:pPr>
              <w:jc w:val="right"/>
              <w:ind w:right="14"/>
              <w:spacing w:after="0" w:line="202" w:lineRule="exact"/>
              <w:rPr>
                <w:sz w:val="20"/>
                <w:szCs w:val="20"/>
                <w:color w:val="auto"/>
              </w:rPr>
            </w:pPr>
            <w:r>
              <w:rPr>
                <w:rFonts w:ascii="Arial" w:cs="Arial" w:eastAsia="Arial" w:hAnsi="Arial"/>
                <w:sz w:val="18"/>
                <w:szCs w:val="18"/>
                <w:color w:val="auto"/>
              </w:rPr>
              <w:t>(11.5)</w:t>
            </w:r>
          </w:p>
        </w:tc>
        <w:tc>
          <w:tcPr>
            <w:tcW w:w="220" w:type="dxa"/>
            <w:vAlign w:val="bottom"/>
          </w:tcPr>
          <w:p>
            <w:pPr>
              <w:spacing w:after="0"/>
              <w:rPr>
                <w:sz w:val="17"/>
                <w:szCs w:val="17"/>
                <w:color w:val="auto"/>
              </w:rPr>
            </w:pPr>
          </w:p>
        </w:tc>
        <w:tc>
          <w:tcPr>
            <w:tcW w:w="640" w:type="dxa"/>
            <w:vAlign w:val="bottom"/>
          </w:tcPr>
          <w:p>
            <w:pPr>
              <w:jc w:val="right"/>
              <w:ind w:right="14"/>
              <w:spacing w:after="0" w:line="202" w:lineRule="exact"/>
              <w:rPr>
                <w:sz w:val="20"/>
                <w:szCs w:val="20"/>
                <w:color w:val="auto"/>
              </w:rPr>
            </w:pPr>
            <w:r>
              <w:rPr>
                <w:rFonts w:ascii="Arial" w:cs="Arial" w:eastAsia="Arial" w:hAnsi="Arial"/>
                <w:sz w:val="18"/>
                <w:szCs w:val="18"/>
                <w:color w:val="auto"/>
              </w:rPr>
              <w:t>(11.9)</w:t>
            </w:r>
          </w:p>
        </w:tc>
        <w:tc>
          <w:tcPr>
            <w:tcW w:w="360" w:type="dxa"/>
            <w:vAlign w:val="bottom"/>
          </w:tcPr>
          <w:p>
            <w:pPr>
              <w:spacing w:after="0"/>
              <w:rPr>
                <w:sz w:val="17"/>
                <w:szCs w:val="17"/>
                <w:color w:val="auto"/>
              </w:rPr>
            </w:pPr>
          </w:p>
        </w:tc>
        <w:tc>
          <w:tcPr>
            <w:tcW w:w="640" w:type="dxa"/>
            <w:vAlign w:val="bottom"/>
          </w:tcPr>
          <w:p>
            <w:pPr>
              <w:jc w:val="right"/>
              <w:ind w:right="76"/>
              <w:spacing w:after="0" w:line="202" w:lineRule="exact"/>
              <w:rPr>
                <w:sz w:val="20"/>
                <w:szCs w:val="20"/>
                <w:color w:val="auto"/>
              </w:rPr>
            </w:pPr>
            <w:r>
              <w:rPr>
                <w:rFonts w:ascii="Arial" w:cs="Arial" w:eastAsia="Arial" w:hAnsi="Arial"/>
                <w:sz w:val="18"/>
                <w:szCs w:val="18"/>
                <w:color w:val="auto"/>
              </w:rPr>
              <w:t>—</w:t>
            </w:r>
          </w:p>
        </w:tc>
        <w:tc>
          <w:tcPr>
            <w:tcW w:w="210" w:type="dxa"/>
            <w:vAlign w:val="bottom"/>
          </w:tcPr>
          <w:p>
            <w:pPr>
              <w:spacing w:after="0"/>
              <w:rPr>
                <w:sz w:val="17"/>
                <w:szCs w:val="17"/>
                <w:color w:val="auto"/>
              </w:rPr>
            </w:pPr>
          </w:p>
        </w:tc>
        <w:tc>
          <w:tcPr>
            <w:tcW w:w="790" w:type="dxa"/>
            <w:vAlign w:val="bottom"/>
          </w:tcPr>
          <w:p>
            <w:pPr>
              <w:jc w:val="right"/>
              <w:ind w:right="54"/>
              <w:spacing w:after="0" w:line="202" w:lineRule="exact"/>
              <w:rPr>
                <w:sz w:val="20"/>
                <w:szCs w:val="20"/>
                <w:color w:val="auto"/>
              </w:rPr>
            </w:pPr>
            <w:r>
              <w:rPr>
                <w:rFonts w:ascii="Arial" w:cs="Arial" w:eastAsia="Arial" w:hAnsi="Arial"/>
                <w:sz w:val="18"/>
                <w:szCs w:val="18"/>
                <w:color w:val="auto"/>
              </w:rPr>
              <w:t>—</w:t>
            </w:r>
          </w:p>
        </w:tc>
        <w:tc>
          <w:tcPr>
            <w:tcW w:w="520" w:type="dxa"/>
            <w:vAlign w:val="bottom"/>
          </w:tcPr>
          <w:p>
            <w:pPr>
              <w:spacing w:after="0"/>
              <w:rPr>
                <w:sz w:val="17"/>
                <w:szCs w:val="17"/>
                <w:color w:val="auto"/>
              </w:rPr>
            </w:pPr>
          </w:p>
        </w:tc>
        <w:tc>
          <w:tcPr>
            <w:tcW w:w="6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r>
      <w:tr>
        <w:trPr>
          <w:trHeight w:val="203"/>
        </w:trPr>
        <w:tc>
          <w:tcPr>
            <w:tcW w:w="4260" w:type="dxa"/>
            <w:vAlign w:val="bottom"/>
            <w:shd w:val="clear" w:color="auto" w:fill="E6E6E6"/>
          </w:tcPr>
          <w:p>
            <w:pPr>
              <w:ind w:left="160"/>
              <w:spacing w:after="0" w:line="202" w:lineRule="exact"/>
              <w:rPr>
                <w:sz w:val="20"/>
                <w:szCs w:val="20"/>
                <w:color w:val="auto"/>
              </w:rPr>
            </w:pPr>
            <w:r>
              <w:rPr>
                <w:rFonts w:ascii="Arial" w:cs="Arial" w:eastAsia="Arial" w:hAnsi="Arial"/>
                <w:sz w:val="18"/>
                <w:szCs w:val="18"/>
                <w:color w:val="auto"/>
              </w:rPr>
              <w:t>Net amortization and deferrals</w:t>
            </w:r>
          </w:p>
        </w:tc>
        <w:tc>
          <w:tcPr>
            <w:tcW w:w="1400" w:type="dxa"/>
            <w:vAlign w:val="bottom"/>
            <w:shd w:val="clear" w:color="auto" w:fill="E6E6E6"/>
          </w:tcPr>
          <w:p>
            <w:pPr>
              <w:spacing w:after="0"/>
              <w:rPr>
                <w:sz w:val="17"/>
                <w:szCs w:val="17"/>
                <w:color w:val="auto"/>
              </w:rPr>
            </w:pPr>
          </w:p>
        </w:tc>
        <w:tc>
          <w:tcPr>
            <w:tcW w:w="58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(0.1)</w:t>
            </w:r>
          </w:p>
        </w:tc>
        <w:tc>
          <w:tcPr>
            <w:tcW w:w="270" w:type="dxa"/>
            <w:vAlign w:val="bottom"/>
            <w:shd w:val="clear" w:color="auto" w:fill="E6E6E6"/>
          </w:tcPr>
          <w:p>
            <w:pPr>
              <w:spacing w:after="0"/>
              <w:rPr>
                <w:sz w:val="17"/>
                <w:szCs w:val="17"/>
                <w:color w:val="auto"/>
              </w:rPr>
            </w:pPr>
          </w:p>
        </w:tc>
        <w:tc>
          <w:tcPr>
            <w:tcW w:w="910" w:type="dxa"/>
            <w:vAlign w:val="bottom"/>
            <w:shd w:val="clear" w:color="auto" w:fill="E6E6E6"/>
          </w:tcPr>
          <w:p>
            <w:pPr>
              <w:jc w:val="right"/>
              <w:ind w:right="14"/>
              <w:spacing w:after="0" w:line="202" w:lineRule="exact"/>
              <w:rPr>
                <w:sz w:val="20"/>
                <w:szCs w:val="20"/>
                <w:color w:val="auto"/>
              </w:rPr>
            </w:pPr>
            <w:r>
              <w:rPr>
                <w:rFonts w:ascii="Arial" w:cs="Arial" w:eastAsia="Arial" w:hAnsi="Arial"/>
                <w:sz w:val="18"/>
                <w:szCs w:val="18"/>
                <w:color w:val="auto"/>
              </w:rPr>
              <w:t>(0.1)</w:t>
            </w:r>
          </w:p>
        </w:tc>
        <w:tc>
          <w:tcPr>
            <w:tcW w:w="220" w:type="dxa"/>
            <w:vAlign w:val="bottom"/>
            <w:shd w:val="clear" w:color="auto" w:fill="E6E6E6"/>
          </w:tcPr>
          <w:p>
            <w:pPr>
              <w:spacing w:after="0"/>
              <w:rPr>
                <w:sz w:val="17"/>
                <w:szCs w:val="17"/>
                <w:color w:val="auto"/>
              </w:rPr>
            </w:pPr>
          </w:p>
        </w:tc>
        <w:tc>
          <w:tcPr>
            <w:tcW w:w="640" w:type="dxa"/>
            <w:vAlign w:val="bottom"/>
            <w:shd w:val="clear" w:color="auto" w:fill="E6E6E6"/>
          </w:tcPr>
          <w:p>
            <w:pPr>
              <w:jc w:val="right"/>
              <w:ind w:right="14"/>
              <w:spacing w:after="0" w:line="202" w:lineRule="exact"/>
              <w:rPr>
                <w:sz w:val="20"/>
                <w:szCs w:val="20"/>
                <w:color w:val="auto"/>
              </w:rPr>
            </w:pPr>
            <w:r>
              <w:rPr>
                <w:rFonts w:ascii="Arial" w:cs="Arial" w:eastAsia="Arial" w:hAnsi="Arial"/>
                <w:sz w:val="18"/>
                <w:szCs w:val="18"/>
                <w:color w:val="auto"/>
              </w:rPr>
              <w:t>(0.1)</w:t>
            </w:r>
          </w:p>
        </w:tc>
        <w:tc>
          <w:tcPr>
            <w:tcW w:w="360" w:type="dxa"/>
            <w:vAlign w:val="bottom"/>
            <w:shd w:val="clear" w:color="auto" w:fill="E6E6E6"/>
          </w:tcPr>
          <w:p>
            <w:pPr>
              <w:spacing w:after="0"/>
              <w:rPr>
                <w:sz w:val="17"/>
                <w:szCs w:val="17"/>
                <w:color w:val="auto"/>
              </w:rPr>
            </w:pPr>
          </w:p>
        </w:tc>
        <w:tc>
          <w:tcPr>
            <w:tcW w:w="640" w:type="dxa"/>
            <w:vAlign w:val="bottom"/>
            <w:shd w:val="clear" w:color="auto" w:fill="E6E6E6"/>
          </w:tcPr>
          <w:p>
            <w:pPr>
              <w:jc w:val="right"/>
              <w:ind w:right="16"/>
              <w:spacing w:after="0" w:line="202" w:lineRule="exact"/>
              <w:rPr>
                <w:sz w:val="20"/>
                <w:szCs w:val="20"/>
                <w:color w:val="auto"/>
              </w:rPr>
            </w:pPr>
            <w:r>
              <w:rPr>
                <w:rFonts w:ascii="Arial" w:cs="Arial" w:eastAsia="Arial" w:hAnsi="Arial"/>
                <w:sz w:val="18"/>
                <w:szCs w:val="18"/>
                <w:color w:val="auto"/>
              </w:rPr>
              <w:t>(0.7)</w:t>
            </w:r>
          </w:p>
        </w:tc>
        <w:tc>
          <w:tcPr>
            <w:tcW w:w="210" w:type="dxa"/>
            <w:vAlign w:val="bottom"/>
            <w:shd w:val="clear" w:color="auto" w:fill="E6E6E6"/>
          </w:tcPr>
          <w:p>
            <w:pPr>
              <w:spacing w:after="0"/>
              <w:rPr>
                <w:sz w:val="17"/>
                <w:szCs w:val="17"/>
                <w:color w:val="auto"/>
              </w:rPr>
            </w:pPr>
          </w:p>
        </w:tc>
        <w:tc>
          <w:tcPr>
            <w:tcW w:w="79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(0.8)</w:t>
            </w:r>
          </w:p>
        </w:tc>
        <w:tc>
          <w:tcPr>
            <w:tcW w:w="520" w:type="dxa"/>
            <w:vAlign w:val="bottom"/>
            <w:shd w:val="clear" w:color="auto" w:fill="E6E6E6"/>
          </w:tcPr>
          <w:p>
            <w:pPr>
              <w:spacing w:after="0"/>
              <w:rPr>
                <w:sz w:val="17"/>
                <w:szCs w:val="17"/>
                <w:color w:val="auto"/>
              </w:rPr>
            </w:pPr>
          </w:p>
        </w:tc>
        <w:tc>
          <w:tcPr>
            <w:tcW w:w="62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(0.9)</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4260" w:type="dxa"/>
            <w:vAlign w:val="bottom"/>
          </w:tcPr>
          <w:p>
            <w:pPr>
              <w:ind w:left="160"/>
              <w:spacing w:after="0" w:line="202" w:lineRule="exact"/>
              <w:rPr>
                <w:sz w:val="20"/>
                <w:szCs w:val="20"/>
                <w:color w:val="auto"/>
              </w:rPr>
            </w:pPr>
            <w:r>
              <w:rPr>
                <w:rFonts w:ascii="Arial" w:cs="Arial" w:eastAsia="Arial" w:hAnsi="Arial"/>
                <w:sz w:val="18"/>
                <w:szCs w:val="18"/>
                <w:color w:val="auto"/>
              </w:rPr>
              <w:t>Curtailment loss (gain)</w:t>
            </w:r>
          </w:p>
        </w:tc>
        <w:tc>
          <w:tcPr>
            <w:tcW w:w="1400" w:type="dxa"/>
            <w:vAlign w:val="bottom"/>
          </w:tcPr>
          <w:p>
            <w:pPr>
              <w:spacing w:after="0"/>
              <w:rPr>
                <w:sz w:val="17"/>
                <w:szCs w:val="17"/>
                <w:color w:val="auto"/>
              </w:rPr>
            </w:pPr>
          </w:p>
        </w:tc>
        <w:tc>
          <w:tcPr>
            <w:tcW w:w="5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270" w:type="dxa"/>
            <w:vAlign w:val="bottom"/>
          </w:tcPr>
          <w:p>
            <w:pPr>
              <w:spacing w:after="0"/>
              <w:rPr>
                <w:sz w:val="17"/>
                <w:szCs w:val="17"/>
                <w:color w:val="auto"/>
              </w:rPr>
            </w:pPr>
          </w:p>
        </w:tc>
        <w:tc>
          <w:tcPr>
            <w:tcW w:w="910" w:type="dxa"/>
            <w:vAlign w:val="bottom"/>
          </w:tcPr>
          <w:p>
            <w:pPr>
              <w:jc w:val="right"/>
              <w:ind w:right="74"/>
              <w:spacing w:after="0" w:line="202" w:lineRule="exact"/>
              <w:rPr>
                <w:sz w:val="20"/>
                <w:szCs w:val="20"/>
                <w:color w:val="auto"/>
              </w:rPr>
            </w:pPr>
            <w:r>
              <w:rPr>
                <w:rFonts w:ascii="Arial" w:cs="Arial" w:eastAsia="Arial" w:hAnsi="Arial"/>
                <w:sz w:val="18"/>
                <w:szCs w:val="18"/>
                <w:color w:val="auto"/>
              </w:rPr>
              <w:t>0.5</w:t>
            </w:r>
          </w:p>
        </w:tc>
        <w:tc>
          <w:tcPr>
            <w:tcW w:w="220" w:type="dxa"/>
            <w:vAlign w:val="bottom"/>
          </w:tcPr>
          <w:p>
            <w:pPr>
              <w:spacing w:after="0"/>
              <w:rPr>
                <w:sz w:val="17"/>
                <w:szCs w:val="17"/>
                <w:color w:val="auto"/>
              </w:rPr>
            </w:pPr>
          </w:p>
        </w:tc>
        <w:tc>
          <w:tcPr>
            <w:tcW w:w="640" w:type="dxa"/>
            <w:vAlign w:val="bottom"/>
          </w:tcPr>
          <w:p>
            <w:pPr>
              <w:jc w:val="right"/>
              <w:ind w:right="74"/>
              <w:spacing w:after="0" w:line="202" w:lineRule="exact"/>
              <w:rPr>
                <w:sz w:val="20"/>
                <w:szCs w:val="20"/>
                <w:color w:val="auto"/>
              </w:rPr>
            </w:pPr>
            <w:r>
              <w:rPr>
                <w:rFonts w:ascii="Arial" w:cs="Arial" w:eastAsia="Arial" w:hAnsi="Arial"/>
                <w:sz w:val="18"/>
                <w:szCs w:val="18"/>
                <w:color w:val="auto"/>
              </w:rPr>
              <w:t>—</w:t>
            </w:r>
          </w:p>
        </w:tc>
        <w:tc>
          <w:tcPr>
            <w:tcW w:w="360" w:type="dxa"/>
            <w:vAlign w:val="bottom"/>
          </w:tcPr>
          <w:p>
            <w:pPr>
              <w:spacing w:after="0"/>
              <w:rPr>
                <w:sz w:val="17"/>
                <w:szCs w:val="17"/>
                <w:color w:val="auto"/>
              </w:rPr>
            </w:pPr>
          </w:p>
        </w:tc>
        <w:tc>
          <w:tcPr>
            <w:tcW w:w="640" w:type="dxa"/>
            <w:vAlign w:val="bottom"/>
          </w:tcPr>
          <w:p>
            <w:pPr>
              <w:jc w:val="right"/>
              <w:ind w:right="76"/>
              <w:spacing w:after="0" w:line="202" w:lineRule="exact"/>
              <w:rPr>
                <w:sz w:val="20"/>
                <w:szCs w:val="20"/>
                <w:color w:val="auto"/>
              </w:rPr>
            </w:pPr>
            <w:r>
              <w:rPr>
                <w:rFonts w:ascii="Arial" w:cs="Arial" w:eastAsia="Arial" w:hAnsi="Arial"/>
                <w:sz w:val="18"/>
                <w:szCs w:val="18"/>
                <w:color w:val="auto"/>
              </w:rPr>
              <w:t>—</w:t>
            </w:r>
          </w:p>
        </w:tc>
        <w:tc>
          <w:tcPr>
            <w:tcW w:w="210" w:type="dxa"/>
            <w:vAlign w:val="bottom"/>
          </w:tcPr>
          <w:p>
            <w:pPr>
              <w:spacing w:after="0"/>
              <w:rPr>
                <w:sz w:val="17"/>
                <w:szCs w:val="17"/>
                <w:color w:val="auto"/>
              </w:rPr>
            </w:pPr>
          </w:p>
        </w:tc>
        <w:tc>
          <w:tcPr>
            <w:tcW w:w="790" w:type="dxa"/>
            <w:vAlign w:val="bottom"/>
          </w:tcPr>
          <w:p>
            <w:pPr>
              <w:jc w:val="right"/>
              <w:spacing w:after="0" w:line="202" w:lineRule="exact"/>
              <w:rPr>
                <w:sz w:val="20"/>
                <w:szCs w:val="20"/>
                <w:color w:val="auto"/>
              </w:rPr>
            </w:pPr>
            <w:r>
              <w:rPr>
                <w:rFonts w:ascii="Arial" w:cs="Arial" w:eastAsia="Arial" w:hAnsi="Arial"/>
                <w:sz w:val="18"/>
                <w:szCs w:val="18"/>
                <w:color w:val="auto"/>
              </w:rPr>
              <w:t>(3.0)</w:t>
            </w:r>
          </w:p>
        </w:tc>
        <w:tc>
          <w:tcPr>
            <w:tcW w:w="520" w:type="dxa"/>
            <w:vAlign w:val="bottom"/>
          </w:tcPr>
          <w:p>
            <w:pPr>
              <w:spacing w:after="0"/>
              <w:rPr>
                <w:sz w:val="17"/>
                <w:szCs w:val="17"/>
                <w:color w:val="auto"/>
              </w:rPr>
            </w:pPr>
          </w:p>
        </w:tc>
        <w:tc>
          <w:tcPr>
            <w:tcW w:w="6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r>
      <w:tr>
        <w:trPr>
          <w:trHeight w:val="203"/>
        </w:trPr>
        <w:tc>
          <w:tcPr>
            <w:tcW w:w="4260" w:type="dxa"/>
            <w:vAlign w:val="bottom"/>
            <w:shd w:val="clear" w:color="auto" w:fill="E6E6E6"/>
          </w:tcPr>
          <w:p>
            <w:pPr>
              <w:ind w:left="160"/>
              <w:spacing w:after="0" w:line="202" w:lineRule="exact"/>
              <w:rPr>
                <w:sz w:val="20"/>
                <w:szCs w:val="20"/>
                <w:color w:val="auto"/>
              </w:rPr>
            </w:pPr>
            <w:r>
              <w:rPr>
                <w:rFonts w:ascii="Arial" w:cs="Arial" w:eastAsia="Arial" w:hAnsi="Arial"/>
                <w:sz w:val="18"/>
                <w:szCs w:val="18"/>
                <w:color w:val="auto"/>
              </w:rPr>
              <w:t>Settlement</w:t>
            </w:r>
          </w:p>
        </w:tc>
        <w:tc>
          <w:tcPr>
            <w:tcW w:w="1400" w:type="dxa"/>
            <w:vAlign w:val="bottom"/>
            <w:shd w:val="clear" w:color="auto" w:fill="E6E6E6"/>
          </w:tcPr>
          <w:p>
            <w:pPr>
              <w:spacing w:after="0"/>
              <w:rPr>
                <w:sz w:val="17"/>
                <w:szCs w:val="17"/>
                <w:color w:val="auto"/>
              </w:rPr>
            </w:pPr>
          </w:p>
        </w:tc>
        <w:tc>
          <w:tcPr>
            <w:tcW w:w="580" w:type="dxa"/>
            <w:vAlign w:val="bottom"/>
            <w:shd w:val="clear" w:color="auto" w:fill="E6E6E6"/>
          </w:tcPr>
          <w:p>
            <w:pPr>
              <w:jc w:val="right"/>
              <w:ind w:right="14"/>
              <w:spacing w:after="0" w:line="202" w:lineRule="exact"/>
              <w:rPr>
                <w:sz w:val="20"/>
                <w:szCs w:val="20"/>
                <w:color w:val="auto"/>
              </w:rPr>
            </w:pPr>
            <w:r>
              <w:rPr>
                <w:rFonts w:ascii="Arial" w:cs="Arial" w:eastAsia="Arial" w:hAnsi="Arial"/>
                <w:sz w:val="18"/>
                <w:szCs w:val="18"/>
                <w:color w:val="auto"/>
              </w:rPr>
              <w:t>0.8</w:t>
            </w:r>
          </w:p>
        </w:tc>
        <w:tc>
          <w:tcPr>
            <w:tcW w:w="270" w:type="dxa"/>
            <w:vAlign w:val="bottom"/>
            <w:shd w:val="clear" w:color="auto" w:fill="E6E6E6"/>
          </w:tcPr>
          <w:p>
            <w:pPr>
              <w:spacing w:after="0"/>
              <w:rPr>
                <w:sz w:val="17"/>
                <w:szCs w:val="17"/>
                <w:color w:val="auto"/>
              </w:rPr>
            </w:pPr>
          </w:p>
        </w:tc>
        <w:tc>
          <w:tcPr>
            <w:tcW w:w="910" w:type="dxa"/>
            <w:vAlign w:val="bottom"/>
            <w:shd w:val="clear" w:color="auto" w:fill="E6E6E6"/>
          </w:tcPr>
          <w:p>
            <w:pPr>
              <w:jc w:val="right"/>
              <w:ind w:right="74"/>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E6E6E6"/>
          </w:tcPr>
          <w:p>
            <w:pPr>
              <w:spacing w:after="0"/>
              <w:rPr>
                <w:sz w:val="17"/>
                <w:szCs w:val="17"/>
                <w:color w:val="auto"/>
              </w:rPr>
            </w:pPr>
          </w:p>
        </w:tc>
        <w:tc>
          <w:tcPr>
            <w:tcW w:w="640" w:type="dxa"/>
            <w:vAlign w:val="bottom"/>
            <w:shd w:val="clear" w:color="auto" w:fill="E6E6E6"/>
          </w:tcPr>
          <w:p>
            <w:pPr>
              <w:jc w:val="right"/>
              <w:ind w:right="74"/>
              <w:spacing w:after="0" w:line="202" w:lineRule="exact"/>
              <w:rPr>
                <w:sz w:val="20"/>
                <w:szCs w:val="20"/>
                <w:color w:val="auto"/>
              </w:rPr>
            </w:pPr>
            <w:r>
              <w:rPr>
                <w:rFonts w:ascii="Arial" w:cs="Arial" w:eastAsia="Arial" w:hAnsi="Arial"/>
                <w:sz w:val="18"/>
                <w:szCs w:val="18"/>
                <w:color w:val="auto"/>
              </w:rPr>
              <w:t>—</w:t>
            </w:r>
          </w:p>
        </w:tc>
        <w:tc>
          <w:tcPr>
            <w:tcW w:w="360" w:type="dxa"/>
            <w:vAlign w:val="bottom"/>
            <w:shd w:val="clear" w:color="auto" w:fill="E6E6E6"/>
          </w:tcPr>
          <w:p>
            <w:pPr>
              <w:spacing w:after="0"/>
              <w:rPr>
                <w:sz w:val="17"/>
                <w:szCs w:val="17"/>
                <w:color w:val="auto"/>
              </w:rPr>
            </w:pPr>
          </w:p>
        </w:tc>
        <w:tc>
          <w:tcPr>
            <w:tcW w:w="640" w:type="dxa"/>
            <w:vAlign w:val="bottom"/>
            <w:shd w:val="clear" w:color="auto" w:fill="E6E6E6"/>
          </w:tcPr>
          <w:p>
            <w:pPr>
              <w:jc w:val="right"/>
              <w:ind w:right="76"/>
              <w:spacing w:after="0" w:line="202" w:lineRule="exact"/>
              <w:rPr>
                <w:sz w:val="20"/>
                <w:szCs w:val="20"/>
                <w:color w:val="auto"/>
              </w:rPr>
            </w:pPr>
            <w:r>
              <w:rPr>
                <w:rFonts w:ascii="Arial" w:cs="Arial" w:eastAsia="Arial" w:hAnsi="Arial"/>
                <w:sz w:val="18"/>
                <w:szCs w:val="18"/>
                <w:color w:val="auto"/>
              </w:rPr>
              <w:t>—</w:t>
            </w:r>
          </w:p>
        </w:tc>
        <w:tc>
          <w:tcPr>
            <w:tcW w:w="210" w:type="dxa"/>
            <w:vAlign w:val="bottom"/>
            <w:shd w:val="clear" w:color="auto" w:fill="E6E6E6"/>
          </w:tcPr>
          <w:p>
            <w:pPr>
              <w:spacing w:after="0"/>
              <w:rPr>
                <w:sz w:val="17"/>
                <w:szCs w:val="17"/>
                <w:color w:val="auto"/>
              </w:rPr>
            </w:pPr>
          </w:p>
        </w:tc>
        <w:tc>
          <w:tcPr>
            <w:tcW w:w="790" w:type="dxa"/>
            <w:vAlign w:val="bottom"/>
            <w:shd w:val="clear" w:color="auto" w:fill="E6E6E6"/>
          </w:tcPr>
          <w:p>
            <w:pPr>
              <w:jc w:val="right"/>
              <w:ind w:right="54"/>
              <w:spacing w:after="0" w:line="202" w:lineRule="exact"/>
              <w:rPr>
                <w:sz w:val="20"/>
                <w:szCs w:val="20"/>
                <w:color w:val="auto"/>
              </w:rPr>
            </w:pPr>
            <w:r>
              <w:rPr>
                <w:rFonts w:ascii="Arial" w:cs="Arial" w:eastAsia="Arial" w:hAnsi="Arial"/>
                <w:sz w:val="18"/>
                <w:szCs w:val="18"/>
                <w:color w:val="auto"/>
              </w:rPr>
              <w:t>—</w:t>
            </w:r>
          </w:p>
        </w:tc>
        <w:tc>
          <w:tcPr>
            <w:tcW w:w="520" w:type="dxa"/>
            <w:vAlign w:val="bottom"/>
            <w:shd w:val="clear" w:color="auto" w:fill="E6E6E6"/>
          </w:tcPr>
          <w:p>
            <w:pPr>
              <w:spacing w:after="0"/>
              <w:rPr>
                <w:sz w:val="17"/>
                <w:szCs w:val="17"/>
                <w:color w:val="auto"/>
              </w:rPr>
            </w:pPr>
          </w:p>
        </w:tc>
        <w:tc>
          <w:tcPr>
            <w:tcW w:w="620" w:type="dxa"/>
            <w:vAlign w:val="bottom"/>
            <w:shd w:val="clear" w:color="auto" w:fill="E6E6E6"/>
          </w:tcPr>
          <w:p>
            <w:pPr>
              <w:jc w:val="right"/>
              <w:ind w:right="54"/>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4260" w:type="dxa"/>
            <w:vAlign w:val="bottom"/>
          </w:tcPr>
          <w:p>
            <w:pPr>
              <w:ind w:left="160"/>
              <w:spacing w:after="0" w:line="202" w:lineRule="exact"/>
              <w:rPr>
                <w:sz w:val="20"/>
                <w:szCs w:val="20"/>
                <w:color w:val="auto"/>
              </w:rPr>
            </w:pPr>
            <w:r>
              <w:rPr>
                <w:rFonts w:ascii="Arial" w:cs="Arial" w:eastAsia="Arial" w:hAnsi="Arial"/>
                <w:sz w:val="18"/>
                <w:szCs w:val="18"/>
                <w:color w:val="auto"/>
              </w:rPr>
              <w:t>Special termination benefits</w:t>
            </w:r>
          </w:p>
        </w:tc>
        <w:tc>
          <w:tcPr>
            <w:tcW w:w="1400" w:type="dxa"/>
            <w:vAlign w:val="bottom"/>
          </w:tcPr>
          <w:p>
            <w:pPr>
              <w:spacing w:after="0"/>
              <w:rPr>
                <w:sz w:val="17"/>
                <w:szCs w:val="17"/>
                <w:color w:val="auto"/>
              </w:rPr>
            </w:pPr>
          </w:p>
        </w:tc>
        <w:tc>
          <w:tcPr>
            <w:tcW w:w="5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270" w:type="dxa"/>
            <w:vAlign w:val="bottom"/>
          </w:tcPr>
          <w:p>
            <w:pPr>
              <w:spacing w:after="0"/>
              <w:rPr>
                <w:sz w:val="17"/>
                <w:szCs w:val="17"/>
                <w:color w:val="auto"/>
              </w:rPr>
            </w:pPr>
          </w:p>
        </w:tc>
        <w:tc>
          <w:tcPr>
            <w:tcW w:w="910" w:type="dxa"/>
            <w:vAlign w:val="bottom"/>
          </w:tcPr>
          <w:p>
            <w:pPr>
              <w:jc w:val="right"/>
              <w:ind w:right="74"/>
              <w:spacing w:after="0" w:line="202" w:lineRule="exact"/>
              <w:rPr>
                <w:sz w:val="20"/>
                <w:szCs w:val="20"/>
                <w:color w:val="auto"/>
              </w:rPr>
            </w:pPr>
            <w:r>
              <w:rPr>
                <w:rFonts w:ascii="Arial" w:cs="Arial" w:eastAsia="Arial" w:hAnsi="Arial"/>
                <w:sz w:val="18"/>
                <w:szCs w:val="18"/>
                <w:color w:val="auto"/>
              </w:rPr>
              <w:t>0.7</w:t>
            </w:r>
          </w:p>
        </w:tc>
        <w:tc>
          <w:tcPr>
            <w:tcW w:w="220" w:type="dxa"/>
            <w:vAlign w:val="bottom"/>
          </w:tcPr>
          <w:p>
            <w:pPr>
              <w:spacing w:after="0"/>
              <w:rPr>
                <w:sz w:val="17"/>
                <w:szCs w:val="17"/>
                <w:color w:val="auto"/>
              </w:rPr>
            </w:pPr>
          </w:p>
        </w:tc>
        <w:tc>
          <w:tcPr>
            <w:tcW w:w="640" w:type="dxa"/>
            <w:vAlign w:val="bottom"/>
          </w:tcPr>
          <w:p>
            <w:pPr>
              <w:jc w:val="right"/>
              <w:ind w:right="74"/>
              <w:spacing w:after="0" w:line="202" w:lineRule="exact"/>
              <w:rPr>
                <w:sz w:val="20"/>
                <w:szCs w:val="20"/>
                <w:color w:val="auto"/>
              </w:rPr>
            </w:pPr>
            <w:r>
              <w:rPr>
                <w:rFonts w:ascii="Arial" w:cs="Arial" w:eastAsia="Arial" w:hAnsi="Arial"/>
                <w:sz w:val="18"/>
                <w:szCs w:val="18"/>
                <w:color w:val="auto"/>
              </w:rPr>
              <w:t>—</w:t>
            </w:r>
          </w:p>
        </w:tc>
        <w:tc>
          <w:tcPr>
            <w:tcW w:w="360" w:type="dxa"/>
            <w:vAlign w:val="bottom"/>
          </w:tcPr>
          <w:p>
            <w:pPr>
              <w:spacing w:after="0"/>
              <w:rPr>
                <w:sz w:val="17"/>
                <w:szCs w:val="17"/>
                <w:color w:val="auto"/>
              </w:rPr>
            </w:pPr>
          </w:p>
        </w:tc>
        <w:tc>
          <w:tcPr>
            <w:tcW w:w="640" w:type="dxa"/>
            <w:vAlign w:val="bottom"/>
          </w:tcPr>
          <w:p>
            <w:pPr>
              <w:jc w:val="right"/>
              <w:ind w:right="76"/>
              <w:spacing w:after="0" w:line="202" w:lineRule="exact"/>
              <w:rPr>
                <w:sz w:val="20"/>
                <w:szCs w:val="20"/>
                <w:color w:val="auto"/>
              </w:rPr>
            </w:pPr>
            <w:r>
              <w:rPr>
                <w:rFonts w:ascii="Arial" w:cs="Arial" w:eastAsia="Arial" w:hAnsi="Arial"/>
                <w:sz w:val="18"/>
                <w:szCs w:val="18"/>
                <w:color w:val="auto"/>
              </w:rPr>
              <w:t>—</w:t>
            </w:r>
          </w:p>
        </w:tc>
        <w:tc>
          <w:tcPr>
            <w:tcW w:w="210" w:type="dxa"/>
            <w:vAlign w:val="bottom"/>
          </w:tcPr>
          <w:p>
            <w:pPr>
              <w:spacing w:after="0"/>
              <w:rPr>
                <w:sz w:val="17"/>
                <w:szCs w:val="17"/>
                <w:color w:val="auto"/>
              </w:rPr>
            </w:pPr>
          </w:p>
        </w:tc>
        <w:tc>
          <w:tcPr>
            <w:tcW w:w="790" w:type="dxa"/>
            <w:vAlign w:val="bottom"/>
          </w:tcPr>
          <w:p>
            <w:pPr>
              <w:jc w:val="right"/>
              <w:ind w:right="54"/>
              <w:spacing w:after="0" w:line="202" w:lineRule="exact"/>
              <w:rPr>
                <w:sz w:val="20"/>
                <w:szCs w:val="20"/>
                <w:color w:val="auto"/>
              </w:rPr>
            </w:pPr>
            <w:r>
              <w:rPr>
                <w:rFonts w:ascii="Arial" w:cs="Arial" w:eastAsia="Arial" w:hAnsi="Arial"/>
                <w:sz w:val="18"/>
                <w:szCs w:val="18"/>
                <w:color w:val="auto"/>
              </w:rPr>
              <w:t>—</w:t>
            </w:r>
          </w:p>
        </w:tc>
        <w:tc>
          <w:tcPr>
            <w:tcW w:w="520" w:type="dxa"/>
            <w:vAlign w:val="bottom"/>
          </w:tcPr>
          <w:p>
            <w:pPr>
              <w:spacing w:after="0"/>
              <w:rPr>
                <w:sz w:val="17"/>
                <w:szCs w:val="17"/>
                <w:color w:val="auto"/>
              </w:rPr>
            </w:pPr>
          </w:p>
        </w:tc>
        <w:tc>
          <w:tcPr>
            <w:tcW w:w="6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r>
      <w:tr>
        <w:trPr>
          <w:trHeight w:val="203"/>
        </w:trPr>
        <w:tc>
          <w:tcPr>
            <w:tcW w:w="4260" w:type="dxa"/>
            <w:vAlign w:val="bottom"/>
            <w:shd w:val="clear" w:color="auto" w:fill="E6E6E6"/>
          </w:tcPr>
          <w:p>
            <w:pPr>
              <w:ind w:left="160"/>
              <w:spacing w:after="0" w:line="202" w:lineRule="exact"/>
              <w:rPr>
                <w:sz w:val="20"/>
                <w:szCs w:val="20"/>
                <w:color w:val="auto"/>
              </w:rPr>
            </w:pPr>
            <w:r>
              <w:rPr>
                <w:rFonts w:ascii="Arial" w:cs="Arial" w:eastAsia="Arial" w:hAnsi="Arial"/>
                <w:sz w:val="18"/>
                <w:szCs w:val="18"/>
                <w:color w:val="auto"/>
              </w:rPr>
              <w:t>Recognized net actuarial loss</w:t>
            </w:r>
          </w:p>
        </w:tc>
        <w:tc>
          <w:tcPr>
            <w:tcW w:w="1400" w:type="dxa"/>
            <w:vAlign w:val="bottom"/>
            <w:shd w:val="clear" w:color="auto" w:fill="E6E6E6"/>
          </w:tcPr>
          <w:p>
            <w:pPr>
              <w:spacing w:after="0"/>
              <w:rPr>
                <w:sz w:val="17"/>
                <w:szCs w:val="17"/>
                <w:color w:val="auto"/>
              </w:rPr>
            </w:pPr>
          </w:p>
        </w:tc>
        <w:tc>
          <w:tcPr>
            <w:tcW w:w="580" w:type="dxa"/>
            <w:vAlign w:val="bottom"/>
            <w:shd w:val="clear" w:color="auto" w:fill="E6E6E6"/>
          </w:tcPr>
          <w:p>
            <w:pPr>
              <w:jc w:val="right"/>
              <w:ind w:right="14"/>
              <w:spacing w:after="0" w:line="202" w:lineRule="exact"/>
              <w:rPr>
                <w:sz w:val="20"/>
                <w:szCs w:val="20"/>
                <w:color w:val="auto"/>
              </w:rPr>
            </w:pPr>
            <w:r>
              <w:rPr>
                <w:rFonts w:ascii="Arial" w:cs="Arial" w:eastAsia="Arial" w:hAnsi="Arial"/>
                <w:sz w:val="18"/>
                <w:szCs w:val="18"/>
                <w:color w:val="auto"/>
              </w:rPr>
              <w:t>1.6</w:t>
            </w:r>
          </w:p>
        </w:tc>
        <w:tc>
          <w:tcPr>
            <w:tcW w:w="270" w:type="dxa"/>
            <w:vAlign w:val="bottom"/>
            <w:shd w:val="clear" w:color="auto" w:fill="E6E6E6"/>
          </w:tcPr>
          <w:p>
            <w:pPr>
              <w:spacing w:after="0"/>
              <w:rPr>
                <w:sz w:val="17"/>
                <w:szCs w:val="17"/>
                <w:color w:val="auto"/>
              </w:rPr>
            </w:pPr>
          </w:p>
        </w:tc>
        <w:tc>
          <w:tcPr>
            <w:tcW w:w="910" w:type="dxa"/>
            <w:vAlign w:val="bottom"/>
            <w:shd w:val="clear" w:color="auto" w:fill="E6E6E6"/>
          </w:tcPr>
          <w:p>
            <w:pPr>
              <w:jc w:val="right"/>
              <w:ind w:right="74"/>
              <w:spacing w:after="0" w:line="202" w:lineRule="exact"/>
              <w:rPr>
                <w:sz w:val="20"/>
                <w:szCs w:val="20"/>
                <w:color w:val="auto"/>
              </w:rPr>
            </w:pPr>
            <w:r>
              <w:rPr>
                <w:rFonts w:ascii="Arial" w:cs="Arial" w:eastAsia="Arial" w:hAnsi="Arial"/>
                <w:sz w:val="18"/>
                <w:szCs w:val="18"/>
                <w:color w:val="auto"/>
              </w:rPr>
              <w:t>1.9</w:t>
            </w:r>
          </w:p>
        </w:tc>
        <w:tc>
          <w:tcPr>
            <w:tcW w:w="220" w:type="dxa"/>
            <w:vAlign w:val="bottom"/>
            <w:shd w:val="clear" w:color="auto" w:fill="E6E6E6"/>
          </w:tcPr>
          <w:p>
            <w:pPr>
              <w:spacing w:after="0"/>
              <w:rPr>
                <w:sz w:val="17"/>
                <w:szCs w:val="17"/>
                <w:color w:val="auto"/>
              </w:rPr>
            </w:pPr>
          </w:p>
        </w:tc>
        <w:tc>
          <w:tcPr>
            <w:tcW w:w="640" w:type="dxa"/>
            <w:vAlign w:val="bottom"/>
            <w:shd w:val="clear" w:color="auto" w:fill="E6E6E6"/>
          </w:tcPr>
          <w:p>
            <w:pPr>
              <w:jc w:val="right"/>
              <w:ind w:right="74"/>
              <w:spacing w:after="0" w:line="202" w:lineRule="exact"/>
              <w:rPr>
                <w:sz w:val="20"/>
                <w:szCs w:val="20"/>
                <w:color w:val="auto"/>
              </w:rPr>
            </w:pPr>
            <w:r>
              <w:rPr>
                <w:rFonts w:ascii="Arial" w:cs="Arial" w:eastAsia="Arial" w:hAnsi="Arial"/>
                <w:sz w:val="18"/>
                <w:szCs w:val="18"/>
                <w:color w:val="auto"/>
              </w:rPr>
              <w:t>2.0</w:t>
            </w:r>
          </w:p>
        </w:tc>
        <w:tc>
          <w:tcPr>
            <w:tcW w:w="360" w:type="dxa"/>
            <w:vAlign w:val="bottom"/>
            <w:shd w:val="clear" w:color="auto" w:fill="E6E6E6"/>
          </w:tcPr>
          <w:p>
            <w:pPr>
              <w:spacing w:after="0"/>
              <w:rPr>
                <w:sz w:val="17"/>
                <w:szCs w:val="17"/>
                <w:color w:val="auto"/>
              </w:rPr>
            </w:pPr>
          </w:p>
        </w:tc>
        <w:tc>
          <w:tcPr>
            <w:tcW w:w="640" w:type="dxa"/>
            <w:vAlign w:val="bottom"/>
            <w:shd w:val="clear" w:color="auto" w:fill="E6E6E6"/>
          </w:tcPr>
          <w:p>
            <w:pPr>
              <w:jc w:val="right"/>
              <w:ind w:right="76"/>
              <w:spacing w:after="0" w:line="202" w:lineRule="exact"/>
              <w:rPr>
                <w:sz w:val="20"/>
                <w:szCs w:val="20"/>
                <w:color w:val="auto"/>
              </w:rPr>
            </w:pPr>
            <w:r>
              <w:rPr>
                <w:rFonts w:ascii="Arial" w:cs="Arial" w:eastAsia="Arial" w:hAnsi="Arial"/>
                <w:sz w:val="18"/>
                <w:szCs w:val="18"/>
                <w:color w:val="auto"/>
              </w:rPr>
              <w:t>1.2</w:t>
            </w:r>
          </w:p>
        </w:tc>
        <w:tc>
          <w:tcPr>
            <w:tcW w:w="210" w:type="dxa"/>
            <w:vAlign w:val="bottom"/>
            <w:shd w:val="clear" w:color="auto" w:fill="E6E6E6"/>
          </w:tcPr>
          <w:p>
            <w:pPr>
              <w:spacing w:after="0"/>
              <w:rPr>
                <w:sz w:val="17"/>
                <w:szCs w:val="17"/>
                <w:color w:val="auto"/>
              </w:rPr>
            </w:pPr>
          </w:p>
        </w:tc>
        <w:tc>
          <w:tcPr>
            <w:tcW w:w="790" w:type="dxa"/>
            <w:vAlign w:val="bottom"/>
            <w:shd w:val="clear" w:color="auto" w:fill="E6E6E6"/>
          </w:tcPr>
          <w:p>
            <w:pPr>
              <w:jc w:val="right"/>
              <w:ind w:right="54"/>
              <w:spacing w:after="0" w:line="202" w:lineRule="exact"/>
              <w:rPr>
                <w:sz w:val="20"/>
                <w:szCs w:val="20"/>
                <w:color w:val="auto"/>
              </w:rPr>
            </w:pPr>
            <w:r>
              <w:rPr>
                <w:rFonts w:ascii="Arial" w:cs="Arial" w:eastAsia="Arial" w:hAnsi="Arial"/>
                <w:sz w:val="18"/>
                <w:szCs w:val="18"/>
                <w:color w:val="auto"/>
              </w:rPr>
              <w:t>0.6</w:t>
            </w:r>
          </w:p>
        </w:tc>
        <w:tc>
          <w:tcPr>
            <w:tcW w:w="520" w:type="dxa"/>
            <w:vAlign w:val="bottom"/>
            <w:shd w:val="clear" w:color="auto" w:fill="E6E6E6"/>
          </w:tcPr>
          <w:p>
            <w:pPr>
              <w:spacing w:after="0"/>
              <w:rPr>
                <w:sz w:val="17"/>
                <w:szCs w:val="17"/>
                <w:color w:val="auto"/>
              </w:rPr>
            </w:pPr>
          </w:p>
        </w:tc>
        <w:tc>
          <w:tcPr>
            <w:tcW w:w="620" w:type="dxa"/>
            <w:vAlign w:val="bottom"/>
            <w:shd w:val="clear" w:color="auto" w:fill="E6E6E6"/>
          </w:tcPr>
          <w:p>
            <w:pPr>
              <w:jc w:val="right"/>
              <w:ind w:right="54"/>
              <w:spacing w:after="0" w:line="202" w:lineRule="exact"/>
              <w:rPr>
                <w:sz w:val="20"/>
                <w:szCs w:val="20"/>
                <w:color w:val="auto"/>
              </w:rPr>
            </w:pPr>
            <w:r>
              <w:rPr>
                <w:rFonts w:ascii="Arial" w:cs="Arial" w:eastAsia="Arial" w:hAnsi="Arial"/>
                <w:sz w:val="18"/>
                <w:szCs w:val="18"/>
                <w:color w:val="auto"/>
              </w:rPr>
              <w:t>1.4</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08"/>
        </w:trPr>
        <w:tc>
          <w:tcPr>
            <w:tcW w:w="4260" w:type="dxa"/>
            <w:vAlign w:val="bottom"/>
            <w:tcBorders>
              <w:bottom w:val="single" w:sz="8" w:color="808080"/>
            </w:tcBorders>
          </w:tcPr>
          <w:p>
            <w:pPr>
              <w:spacing w:after="0"/>
              <w:rPr>
                <w:sz w:val="9"/>
                <w:szCs w:val="9"/>
                <w:color w:val="auto"/>
              </w:rPr>
            </w:pPr>
          </w:p>
        </w:tc>
        <w:tc>
          <w:tcPr>
            <w:tcW w:w="14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70" w:type="dxa"/>
            <w:vAlign w:val="bottom"/>
            <w:tcBorders>
              <w:bottom w:val="single" w:sz="8" w:color="808080"/>
            </w:tcBorders>
          </w:tcPr>
          <w:p>
            <w:pPr>
              <w:spacing w:after="0"/>
              <w:rPr>
                <w:sz w:val="9"/>
                <w:szCs w:val="9"/>
                <w:color w:val="auto"/>
              </w:rPr>
            </w:pPr>
          </w:p>
        </w:tc>
        <w:tc>
          <w:tcPr>
            <w:tcW w:w="91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210" w:type="dxa"/>
            <w:vAlign w:val="bottom"/>
            <w:tcBorders>
              <w:bottom w:val="single" w:sz="8" w:color="808080"/>
            </w:tcBorders>
          </w:tcPr>
          <w:p>
            <w:pPr>
              <w:spacing w:after="0"/>
              <w:rPr>
                <w:sz w:val="9"/>
                <w:szCs w:val="9"/>
                <w:color w:val="auto"/>
              </w:rPr>
            </w:pPr>
          </w:p>
        </w:tc>
        <w:tc>
          <w:tcPr>
            <w:tcW w:w="79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316"/>
        </w:trPr>
        <w:tc>
          <w:tcPr>
            <w:tcW w:w="4260" w:type="dxa"/>
            <w:vAlign w:val="bottom"/>
          </w:tcPr>
          <w:p>
            <w:pPr>
              <w:spacing w:after="0"/>
              <w:rPr>
                <w:sz w:val="20"/>
                <w:szCs w:val="20"/>
                <w:color w:val="auto"/>
              </w:rPr>
            </w:pPr>
            <w:r>
              <w:rPr>
                <w:rFonts w:ascii="Arial" w:cs="Arial" w:eastAsia="Arial" w:hAnsi="Arial"/>
                <w:sz w:val="18"/>
                <w:szCs w:val="18"/>
                <w:b w:val="1"/>
                <w:bCs w:val="1"/>
                <w:color w:val="auto"/>
              </w:rPr>
              <w:t>Net periodic cost (benefit)</w:t>
            </w:r>
          </w:p>
        </w:tc>
        <w:tc>
          <w:tcPr>
            <w:tcW w:w="1400" w:type="dxa"/>
            <w:vAlign w:val="bottom"/>
          </w:tcPr>
          <w:p>
            <w:pPr>
              <w:jc w:val="right"/>
              <w:ind w:right="92"/>
              <w:spacing w:after="0"/>
              <w:rPr>
                <w:sz w:val="20"/>
                <w:szCs w:val="20"/>
                <w:color w:val="auto"/>
              </w:rPr>
            </w:pPr>
            <w:r>
              <w:rPr>
                <w:rFonts w:ascii="Arial" w:cs="Arial" w:eastAsia="Arial" w:hAnsi="Arial"/>
                <w:sz w:val="18"/>
                <w:szCs w:val="18"/>
                <w:b w:val="1"/>
                <w:bCs w:val="1"/>
                <w:color w:val="auto"/>
              </w:rPr>
              <w:t>$</w:t>
            </w:r>
          </w:p>
        </w:tc>
        <w:tc>
          <w:tcPr>
            <w:tcW w:w="580" w:type="dxa"/>
            <w:vAlign w:val="bottom"/>
          </w:tcPr>
          <w:p>
            <w:pPr>
              <w:jc w:val="right"/>
              <w:ind w:right="14"/>
              <w:spacing w:after="0"/>
              <w:rPr>
                <w:sz w:val="20"/>
                <w:szCs w:val="20"/>
                <w:color w:val="auto"/>
              </w:rPr>
            </w:pPr>
            <w:r>
              <w:rPr>
                <w:rFonts w:ascii="Arial" w:cs="Arial" w:eastAsia="Arial" w:hAnsi="Arial"/>
                <w:sz w:val="18"/>
                <w:szCs w:val="18"/>
                <w:b w:val="1"/>
                <w:bCs w:val="1"/>
                <w:color w:val="auto"/>
              </w:rPr>
              <w:t>4.0</w:t>
            </w:r>
          </w:p>
        </w:tc>
        <w:tc>
          <w:tcPr>
            <w:tcW w:w="27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10" w:type="dxa"/>
            <w:vAlign w:val="bottom"/>
          </w:tcPr>
          <w:p>
            <w:pPr>
              <w:jc w:val="right"/>
              <w:ind w:right="74"/>
              <w:spacing w:after="0"/>
              <w:rPr>
                <w:sz w:val="20"/>
                <w:szCs w:val="20"/>
                <w:color w:val="auto"/>
              </w:rPr>
            </w:pPr>
            <w:r>
              <w:rPr>
                <w:rFonts w:ascii="Arial" w:cs="Arial" w:eastAsia="Arial" w:hAnsi="Arial"/>
                <w:sz w:val="18"/>
                <w:szCs w:val="18"/>
                <w:b w:val="1"/>
                <w:bCs w:val="1"/>
                <w:color w:val="auto"/>
              </w:rPr>
              <w:t>9.8</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tcPr>
          <w:p>
            <w:pPr>
              <w:jc w:val="right"/>
              <w:ind w:right="74"/>
              <w:spacing w:after="0"/>
              <w:rPr>
                <w:sz w:val="20"/>
                <w:szCs w:val="20"/>
                <w:color w:val="auto"/>
              </w:rPr>
            </w:pPr>
            <w:r>
              <w:rPr>
                <w:rFonts w:ascii="Arial" w:cs="Arial" w:eastAsia="Arial" w:hAnsi="Arial"/>
                <w:sz w:val="18"/>
                <w:szCs w:val="18"/>
                <w:b w:val="1"/>
                <w:bCs w:val="1"/>
                <w:color w:val="auto"/>
              </w:rPr>
              <w:t>8.4</w:t>
            </w:r>
          </w:p>
        </w:tc>
        <w:tc>
          <w:tcPr>
            <w:tcW w:w="360" w:type="dxa"/>
            <w:vAlign w:val="bottom"/>
          </w:tcPr>
          <w:p>
            <w:pPr>
              <w:jc w:val="right"/>
              <w:ind w:right="92"/>
              <w:spacing w:after="0"/>
              <w:rPr>
                <w:sz w:val="20"/>
                <w:szCs w:val="20"/>
                <w:color w:val="auto"/>
              </w:rPr>
            </w:pPr>
            <w:r>
              <w:rPr>
                <w:rFonts w:ascii="Arial" w:cs="Arial" w:eastAsia="Arial" w:hAnsi="Arial"/>
                <w:sz w:val="18"/>
                <w:szCs w:val="18"/>
                <w:b w:val="1"/>
                <w:bCs w:val="1"/>
                <w:color w:val="auto"/>
              </w:rPr>
              <w:t>$</w:t>
            </w:r>
          </w:p>
        </w:tc>
        <w:tc>
          <w:tcPr>
            <w:tcW w:w="640" w:type="dxa"/>
            <w:vAlign w:val="bottom"/>
          </w:tcPr>
          <w:p>
            <w:pPr>
              <w:jc w:val="right"/>
              <w:ind w:right="76"/>
              <w:spacing w:after="0"/>
              <w:rPr>
                <w:sz w:val="20"/>
                <w:szCs w:val="20"/>
                <w:color w:val="auto"/>
              </w:rPr>
            </w:pPr>
            <w:r>
              <w:rPr>
                <w:rFonts w:ascii="Arial" w:cs="Arial" w:eastAsia="Arial" w:hAnsi="Arial"/>
                <w:sz w:val="18"/>
                <w:szCs w:val="18"/>
                <w:b w:val="1"/>
                <w:bCs w:val="1"/>
                <w:color w:val="auto"/>
              </w:rPr>
              <w:t>2.1</w:t>
            </w:r>
          </w:p>
        </w:tc>
        <w:tc>
          <w:tcPr>
            <w:tcW w:w="21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790" w:type="dxa"/>
            <w:vAlign w:val="bottom"/>
          </w:tcPr>
          <w:p>
            <w:pPr>
              <w:jc w:val="right"/>
              <w:spacing w:after="0"/>
              <w:rPr>
                <w:sz w:val="20"/>
                <w:szCs w:val="20"/>
                <w:color w:val="auto"/>
              </w:rPr>
            </w:pPr>
            <w:r>
              <w:rPr>
                <w:rFonts w:ascii="Arial" w:cs="Arial" w:eastAsia="Arial" w:hAnsi="Arial"/>
                <w:sz w:val="18"/>
                <w:szCs w:val="18"/>
                <w:b w:val="1"/>
                <w:bCs w:val="1"/>
                <w:color w:val="auto"/>
              </w:rPr>
              <w:t>(1.6)</w:t>
            </w:r>
          </w:p>
        </w:tc>
        <w:tc>
          <w:tcPr>
            <w:tcW w:w="520" w:type="dxa"/>
            <w:vAlign w:val="bottom"/>
          </w:tcPr>
          <w:p>
            <w:pPr>
              <w:jc w:val="right"/>
              <w:ind w:right="232"/>
              <w:spacing w:after="0"/>
              <w:rPr>
                <w:sz w:val="20"/>
                <w:szCs w:val="20"/>
                <w:color w:val="auto"/>
              </w:rPr>
            </w:pPr>
            <w:r>
              <w:rPr>
                <w:rFonts w:ascii="Arial" w:cs="Arial" w:eastAsia="Arial" w:hAnsi="Arial"/>
                <w:sz w:val="18"/>
                <w:szCs w:val="18"/>
                <w:b w:val="1"/>
                <w:bCs w:val="1"/>
                <w:color w:val="auto"/>
              </w:rPr>
              <w:t>$</w:t>
            </w:r>
          </w:p>
        </w:tc>
        <w:tc>
          <w:tcPr>
            <w:tcW w:w="620" w:type="dxa"/>
            <w:vAlign w:val="bottom"/>
          </w:tcPr>
          <w:p>
            <w:pPr>
              <w:jc w:val="right"/>
              <w:ind w:right="54"/>
              <w:spacing w:after="0"/>
              <w:rPr>
                <w:sz w:val="20"/>
                <w:szCs w:val="20"/>
                <w:color w:val="auto"/>
              </w:rPr>
            </w:pPr>
            <w:r>
              <w:rPr>
                <w:rFonts w:ascii="Arial" w:cs="Arial" w:eastAsia="Arial" w:hAnsi="Arial"/>
                <w:sz w:val="18"/>
                <w:szCs w:val="18"/>
                <w:b w:val="1"/>
                <w:bCs w:val="1"/>
                <w:color w:val="auto"/>
              </w:rPr>
              <w:t>2.6</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20"/>
        </w:trPr>
        <w:tc>
          <w:tcPr>
            <w:tcW w:w="4260" w:type="dxa"/>
            <w:vAlign w:val="bottom"/>
            <w:tcBorders>
              <w:bottom w:val="single" w:sz="8" w:color="808080"/>
            </w:tcBorders>
          </w:tcPr>
          <w:p>
            <w:pPr>
              <w:spacing w:after="0"/>
              <w:rPr>
                <w:sz w:val="10"/>
                <w:szCs w:val="10"/>
                <w:color w:val="auto"/>
              </w:rPr>
            </w:pPr>
          </w:p>
        </w:tc>
        <w:tc>
          <w:tcPr>
            <w:tcW w:w="140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270" w:type="dxa"/>
            <w:vAlign w:val="bottom"/>
            <w:tcBorders>
              <w:bottom w:val="single" w:sz="8" w:color="808080"/>
            </w:tcBorders>
          </w:tcPr>
          <w:p>
            <w:pPr>
              <w:spacing w:after="0"/>
              <w:rPr>
                <w:sz w:val="10"/>
                <w:szCs w:val="10"/>
                <w:color w:val="auto"/>
              </w:rPr>
            </w:pPr>
          </w:p>
        </w:tc>
        <w:tc>
          <w:tcPr>
            <w:tcW w:w="91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210" w:type="dxa"/>
            <w:vAlign w:val="bottom"/>
            <w:tcBorders>
              <w:bottom w:val="single" w:sz="8" w:color="808080"/>
            </w:tcBorders>
          </w:tcPr>
          <w:p>
            <w:pPr>
              <w:spacing w:after="0"/>
              <w:rPr>
                <w:sz w:val="10"/>
                <w:szCs w:val="10"/>
                <w:color w:val="auto"/>
              </w:rPr>
            </w:pPr>
          </w:p>
        </w:tc>
        <w:tc>
          <w:tcPr>
            <w:tcW w:w="79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3261995</wp:posOffset>
            </wp:positionH>
            <wp:positionV relativeFrom="paragraph">
              <wp:posOffset>-29210</wp:posOffset>
            </wp:positionV>
            <wp:extent cx="12700" cy="29845"/>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-29210</wp:posOffset>
            </wp:positionV>
            <wp:extent cx="12700" cy="29845"/>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3493135</wp:posOffset>
            </wp:positionH>
            <wp:positionV relativeFrom="paragraph">
              <wp:posOffset>-29210</wp:posOffset>
            </wp:positionV>
            <wp:extent cx="12700" cy="29845"/>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3896360</wp:posOffset>
            </wp:positionH>
            <wp:positionV relativeFrom="paragraph">
              <wp:posOffset>-29210</wp:posOffset>
            </wp:positionV>
            <wp:extent cx="12700" cy="29845"/>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4050665</wp:posOffset>
            </wp:positionH>
            <wp:positionV relativeFrom="paragraph">
              <wp:posOffset>-29210</wp:posOffset>
            </wp:positionV>
            <wp:extent cx="12700" cy="29845"/>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-29210</wp:posOffset>
            </wp:positionV>
            <wp:extent cx="12700" cy="29845"/>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-29210</wp:posOffset>
            </wp:positionV>
            <wp:extent cx="12700" cy="29845"/>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-29210</wp:posOffset>
            </wp:positionV>
            <wp:extent cx="12700" cy="29845"/>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-29210</wp:posOffset>
            </wp:positionV>
            <wp:extent cx="12700" cy="29845"/>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-29210</wp:posOffset>
            </wp:positionV>
            <wp:extent cx="12700" cy="29845"/>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-29210</wp:posOffset>
            </wp:positionV>
            <wp:extent cx="12700" cy="29845"/>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-29210</wp:posOffset>
            </wp:positionV>
            <wp:extent cx="12700" cy="29845"/>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-29210</wp:posOffset>
            </wp:positionV>
            <wp:extent cx="12700" cy="29845"/>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5946140</wp:posOffset>
            </wp:positionH>
            <wp:positionV relativeFrom="paragraph">
              <wp:posOffset>-29210</wp:posOffset>
            </wp:positionV>
            <wp:extent cx="12700" cy="29845"/>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-29210</wp:posOffset>
            </wp:positionV>
            <wp:extent cx="12700" cy="29845"/>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-29210</wp:posOffset>
            </wp:positionV>
            <wp:extent cx="12700" cy="29845"/>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6589395</wp:posOffset>
            </wp:positionH>
            <wp:positionV relativeFrom="paragraph">
              <wp:posOffset>-29210</wp:posOffset>
            </wp:positionV>
            <wp:extent cx="12700" cy="29845"/>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79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6666230</wp:posOffset>
            </wp:positionH>
            <wp:positionV relativeFrom="paragraph">
              <wp:posOffset>-29210</wp:posOffset>
            </wp:positionV>
            <wp:extent cx="12700" cy="29845"/>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79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-29210</wp:posOffset>
            </wp:positionV>
            <wp:extent cx="12700" cy="29845"/>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 Assets</w:t>
      </w:r>
    </w:p>
    <w:p>
      <w:pPr>
        <w:spacing w:after="0" w:line="222"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The Company’s investment policy with regard to the assets in the Pension Plans is to actively manage, within acceptable risk parameters, certain asset classes where the potential exists to outperform the broader market. The following table sets forth the total weighted average asset allocations for the Pension Plans by asset category at May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63765" cy="8890"/>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2">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420" w:type="dxa"/>
            <w:vAlign w:val="bottom"/>
          </w:tcPr>
          <w:p>
            <w:pPr>
              <w:spacing w:after="0"/>
              <w:rPr>
                <w:sz w:val="15"/>
                <w:szCs w:val="15"/>
                <w:color w:val="auto"/>
              </w:rPr>
            </w:pPr>
          </w:p>
        </w:tc>
        <w:tc>
          <w:tcPr>
            <w:tcW w:w="5060" w:type="dxa"/>
            <w:vAlign w:val="bottom"/>
          </w:tcPr>
          <w:p>
            <w:pPr>
              <w:jc w:val="right"/>
              <w:ind w:right="416"/>
              <w:spacing w:after="0"/>
              <w:rPr>
                <w:sz w:val="20"/>
                <w:szCs w:val="20"/>
                <w:color w:val="auto"/>
              </w:rPr>
            </w:pPr>
            <w:r>
              <w:rPr>
                <w:rFonts w:ascii="Arial" w:cs="Arial" w:eastAsia="Arial" w:hAnsi="Arial"/>
                <w:sz w:val="14"/>
                <w:szCs w:val="14"/>
                <w:b w:val="1"/>
                <w:bCs w:val="1"/>
                <w:color w:val="auto"/>
              </w:rPr>
              <w:t>2010</w:t>
            </w:r>
          </w:p>
        </w:tc>
        <w:tc>
          <w:tcPr>
            <w:tcW w:w="940" w:type="dxa"/>
            <w:vAlign w:val="bottom"/>
          </w:tcPr>
          <w:p>
            <w:pPr>
              <w:jc w:val="right"/>
              <w:ind w:right="96"/>
              <w:spacing w:after="0"/>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5"/>
                <w:szCs w:val="15"/>
                <w:color w:val="auto"/>
              </w:rPr>
            </w:pPr>
          </w:p>
        </w:tc>
      </w:tr>
      <w:tr>
        <w:trPr>
          <w:trHeight w:val="95"/>
        </w:trPr>
        <w:tc>
          <w:tcPr>
            <w:tcW w:w="5420" w:type="dxa"/>
            <w:vAlign w:val="bottom"/>
            <w:tcBorders>
              <w:bottom w:val="single" w:sz="8" w:color="auto"/>
            </w:tcBorders>
          </w:tcPr>
          <w:p>
            <w:pPr>
              <w:spacing w:after="0"/>
              <w:rPr>
                <w:sz w:val="8"/>
                <w:szCs w:val="8"/>
                <w:color w:val="auto"/>
              </w:rPr>
            </w:pPr>
          </w:p>
        </w:tc>
        <w:tc>
          <w:tcPr>
            <w:tcW w:w="506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r>
      <w:tr>
        <w:trPr>
          <w:trHeight w:val="102"/>
        </w:trPr>
        <w:tc>
          <w:tcPr>
            <w:tcW w:w="5420" w:type="dxa"/>
            <w:vAlign w:val="bottom"/>
          </w:tcPr>
          <w:p>
            <w:pPr>
              <w:spacing w:after="0"/>
              <w:rPr>
                <w:sz w:val="8"/>
                <w:szCs w:val="8"/>
                <w:color w:val="auto"/>
              </w:rPr>
            </w:pPr>
          </w:p>
        </w:tc>
        <w:tc>
          <w:tcPr>
            <w:tcW w:w="506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203"/>
        </w:trPr>
        <w:tc>
          <w:tcPr>
            <w:tcW w:w="542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Equity securities</w:t>
            </w:r>
          </w:p>
        </w:tc>
        <w:tc>
          <w:tcPr>
            <w:tcW w:w="5060" w:type="dxa"/>
            <w:vAlign w:val="bottom"/>
            <w:shd w:val="clear" w:color="auto" w:fill="E6E6E6"/>
          </w:tcPr>
          <w:p>
            <w:pPr>
              <w:jc w:val="right"/>
              <w:ind w:right="256"/>
              <w:spacing w:after="0" w:line="202" w:lineRule="exact"/>
              <w:rPr>
                <w:sz w:val="20"/>
                <w:szCs w:val="20"/>
                <w:color w:val="auto"/>
              </w:rPr>
            </w:pPr>
            <w:r>
              <w:rPr>
                <w:rFonts w:ascii="Arial" w:cs="Arial" w:eastAsia="Arial" w:hAnsi="Arial"/>
                <w:sz w:val="18"/>
                <w:szCs w:val="18"/>
                <w:color w:val="auto"/>
              </w:rPr>
              <w:t>60.9%</w:t>
            </w:r>
          </w:p>
        </w:tc>
        <w:tc>
          <w:tcPr>
            <w:tcW w:w="94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61.6%</w:t>
            </w:r>
          </w:p>
        </w:tc>
        <w:tc>
          <w:tcPr>
            <w:tcW w:w="20" w:type="dxa"/>
            <w:vAlign w:val="bottom"/>
          </w:tcPr>
          <w:p>
            <w:pPr>
              <w:spacing w:after="0"/>
              <w:rPr>
                <w:sz w:val="17"/>
                <w:szCs w:val="17"/>
                <w:color w:val="auto"/>
              </w:rPr>
            </w:pPr>
          </w:p>
        </w:tc>
      </w:tr>
      <w:tr>
        <w:trPr>
          <w:trHeight w:val="203"/>
        </w:trPr>
        <w:tc>
          <w:tcPr>
            <w:tcW w:w="5420" w:type="dxa"/>
            <w:vAlign w:val="bottom"/>
          </w:tcPr>
          <w:p>
            <w:pPr>
              <w:spacing w:after="0" w:line="202" w:lineRule="exact"/>
              <w:rPr>
                <w:sz w:val="20"/>
                <w:szCs w:val="20"/>
                <w:color w:val="auto"/>
              </w:rPr>
            </w:pPr>
            <w:r>
              <w:rPr>
                <w:rFonts w:ascii="Arial" w:cs="Arial" w:eastAsia="Arial" w:hAnsi="Arial"/>
                <w:sz w:val="18"/>
                <w:szCs w:val="18"/>
                <w:color w:val="auto"/>
              </w:rPr>
              <w:t>Debt securities</w:t>
            </w:r>
          </w:p>
        </w:tc>
        <w:tc>
          <w:tcPr>
            <w:tcW w:w="5060" w:type="dxa"/>
            <w:vAlign w:val="bottom"/>
          </w:tcPr>
          <w:p>
            <w:pPr>
              <w:jc w:val="right"/>
              <w:ind w:right="416"/>
              <w:spacing w:after="0" w:line="202" w:lineRule="exact"/>
              <w:rPr>
                <w:sz w:val="20"/>
                <w:szCs w:val="20"/>
                <w:color w:val="auto"/>
              </w:rPr>
            </w:pPr>
            <w:r>
              <w:rPr>
                <w:rFonts w:ascii="Arial" w:cs="Arial" w:eastAsia="Arial" w:hAnsi="Arial"/>
                <w:sz w:val="18"/>
                <w:szCs w:val="18"/>
                <w:color w:val="auto"/>
              </w:rPr>
              <w:t>32.4</w:t>
            </w:r>
          </w:p>
        </w:tc>
        <w:tc>
          <w:tcPr>
            <w:tcW w:w="940" w:type="dxa"/>
            <w:vAlign w:val="bottom"/>
          </w:tcPr>
          <w:p>
            <w:pPr>
              <w:jc w:val="right"/>
              <w:ind w:right="96"/>
              <w:spacing w:after="0" w:line="202" w:lineRule="exact"/>
              <w:rPr>
                <w:sz w:val="20"/>
                <w:szCs w:val="20"/>
                <w:color w:val="auto"/>
              </w:rPr>
            </w:pPr>
            <w:r>
              <w:rPr>
                <w:rFonts w:ascii="Arial" w:cs="Arial" w:eastAsia="Arial" w:hAnsi="Arial"/>
                <w:sz w:val="18"/>
                <w:szCs w:val="18"/>
                <w:color w:val="auto"/>
              </w:rPr>
              <w:t>37.4</w:t>
            </w:r>
          </w:p>
        </w:tc>
        <w:tc>
          <w:tcPr>
            <w:tcW w:w="20" w:type="dxa"/>
            <w:vAlign w:val="bottom"/>
          </w:tcPr>
          <w:p>
            <w:pPr>
              <w:spacing w:after="0"/>
              <w:rPr>
                <w:sz w:val="17"/>
                <w:szCs w:val="17"/>
                <w:color w:val="auto"/>
              </w:rPr>
            </w:pPr>
          </w:p>
        </w:tc>
      </w:tr>
      <w:tr>
        <w:trPr>
          <w:trHeight w:val="203"/>
        </w:trPr>
        <w:tc>
          <w:tcPr>
            <w:tcW w:w="542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Real estate</w:t>
            </w:r>
          </w:p>
        </w:tc>
        <w:tc>
          <w:tcPr>
            <w:tcW w:w="5060" w:type="dxa"/>
            <w:vAlign w:val="bottom"/>
            <w:shd w:val="clear" w:color="auto" w:fill="E6E6E6"/>
          </w:tcPr>
          <w:p>
            <w:pPr>
              <w:jc w:val="right"/>
              <w:ind w:right="416"/>
              <w:spacing w:after="0" w:line="202" w:lineRule="exact"/>
              <w:rPr>
                <w:sz w:val="20"/>
                <w:szCs w:val="20"/>
                <w:color w:val="auto"/>
              </w:rPr>
            </w:pPr>
            <w:r>
              <w:rPr>
                <w:rFonts w:ascii="Arial" w:cs="Arial" w:eastAsia="Arial" w:hAnsi="Arial"/>
                <w:sz w:val="18"/>
                <w:szCs w:val="18"/>
                <w:color w:val="auto"/>
              </w:rPr>
              <w:t>0.7</w:t>
            </w:r>
          </w:p>
        </w:tc>
        <w:tc>
          <w:tcPr>
            <w:tcW w:w="940" w:type="dxa"/>
            <w:vAlign w:val="bottom"/>
            <w:shd w:val="clear" w:color="auto" w:fill="E6E6E6"/>
          </w:tcPr>
          <w:p>
            <w:pPr>
              <w:jc w:val="right"/>
              <w:ind w:right="96"/>
              <w:spacing w:after="0" w:line="202" w:lineRule="exact"/>
              <w:rPr>
                <w:sz w:val="20"/>
                <w:szCs w:val="20"/>
                <w:color w:val="auto"/>
              </w:rPr>
            </w:pPr>
            <w:r>
              <w:rPr>
                <w:rFonts w:ascii="Arial" w:cs="Arial" w:eastAsia="Arial" w:hAnsi="Arial"/>
                <w:sz w:val="18"/>
                <w:szCs w:val="18"/>
                <w:color w:val="auto"/>
              </w:rPr>
              <w:t>0.8</w:t>
            </w:r>
          </w:p>
        </w:tc>
        <w:tc>
          <w:tcPr>
            <w:tcW w:w="20" w:type="dxa"/>
            <w:vAlign w:val="bottom"/>
          </w:tcPr>
          <w:p>
            <w:pPr>
              <w:spacing w:after="0"/>
              <w:rPr>
                <w:sz w:val="17"/>
                <w:szCs w:val="17"/>
                <w:color w:val="auto"/>
              </w:rPr>
            </w:pPr>
          </w:p>
        </w:tc>
      </w:tr>
      <w:tr>
        <w:trPr>
          <w:trHeight w:val="214"/>
        </w:trPr>
        <w:tc>
          <w:tcPr>
            <w:tcW w:w="5420" w:type="dxa"/>
            <w:vAlign w:val="bottom"/>
          </w:tcPr>
          <w:p>
            <w:pPr>
              <w:spacing w:after="0"/>
              <w:rPr>
                <w:sz w:val="20"/>
                <w:szCs w:val="20"/>
                <w:color w:val="auto"/>
              </w:rPr>
            </w:pPr>
            <w:r>
              <w:rPr>
                <w:rFonts w:ascii="Arial" w:cs="Arial" w:eastAsia="Arial" w:hAnsi="Arial"/>
                <w:sz w:val="18"/>
                <w:szCs w:val="18"/>
                <w:color w:val="auto"/>
              </w:rPr>
              <w:t>Other</w:t>
            </w:r>
          </w:p>
        </w:tc>
        <w:tc>
          <w:tcPr>
            <w:tcW w:w="5060" w:type="dxa"/>
            <w:vAlign w:val="bottom"/>
          </w:tcPr>
          <w:p>
            <w:pPr>
              <w:jc w:val="right"/>
              <w:ind w:right="416"/>
              <w:spacing w:after="0"/>
              <w:rPr>
                <w:sz w:val="20"/>
                <w:szCs w:val="20"/>
                <w:color w:val="auto"/>
              </w:rPr>
            </w:pPr>
            <w:r>
              <w:rPr>
                <w:rFonts w:ascii="Arial" w:cs="Arial" w:eastAsia="Arial" w:hAnsi="Arial"/>
                <w:sz w:val="18"/>
                <w:szCs w:val="18"/>
                <w:color w:val="auto"/>
              </w:rPr>
              <w:t>6.0</w:t>
            </w:r>
          </w:p>
        </w:tc>
        <w:tc>
          <w:tcPr>
            <w:tcW w:w="940" w:type="dxa"/>
            <w:vAlign w:val="bottom"/>
          </w:tcPr>
          <w:p>
            <w:pPr>
              <w:jc w:val="right"/>
              <w:ind w:right="96"/>
              <w:spacing w:after="0"/>
              <w:rPr>
                <w:sz w:val="20"/>
                <w:szCs w:val="20"/>
                <w:color w:val="auto"/>
              </w:rPr>
            </w:pPr>
            <w:r>
              <w:rPr>
                <w:rFonts w:ascii="Arial" w:cs="Arial" w:eastAsia="Arial" w:hAnsi="Arial"/>
                <w:sz w:val="18"/>
                <w:szCs w:val="18"/>
                <w:color w:val="auto"/>
              </w:rPr>
              <w:t>0.2</w:t>
            </w:r>
          </w:p>
        </w:tc>
        <w:tc>
          <w:tcPr>
            <w:tcW w:w="20" w:type="dxa"/>
            <w:vAlign w:val="bottom"/>
          </w:tcPr>
          <w:p>
            <w:pPr>
              <w:spacing w:after="0"/>
              <w:rPr>
                <w:sz w:val="18"/>
                <w:szCs w:val="18"/>
                <w:color w:val="auto"/>
              </w:rPr>
            </w:pPr>
          </w:p>
        </w:tc>
      </w:tr>
      <w:tr>
        <w:trPr>
          <w:trHeight w:val="97"/>
        </w:trPr>
        <w:tc>
          <w:tcPr>
            <w:tcW w:w="5420" w:type="dxa"/>
            <w:vAlign w:val="bottom"/>
            <w:tcBorders>
              <w:bottom w:val="single" w:sz="8" w:color="808080"/>
            </w:tcBorders>
          </w:tcPr>
          <w:p>
            <w:pPr>
              <w:spacing w:after="0"/>
              <w:rPr>
                <w:sz w:val="8"/>
                <w:szCs w:val="8"/>
                <w:color w:val="auto"/>
              </w:rPr>
            </w:pPr>
          </w:p>
        </w:tc>
        <w:tc>
          <w:tcPr>
            <w:tcW w:w="5060" w:type="dxa"/>
            <w:vAlign w:val="bottom"/>
            <w:tcBorders>
              <w:bottom w:val="single" w:sz="8" w:color="808080"/>
            </w:tcBorders>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r>
      <w:tr>
        <w:trPr>
          <w:trHeight w:val="102"/>
        </w:trPr>
        <w:tc>
          <w:tcPr>
            <w:tcW w:w="5420" w:type="dxa"/>
            <w:vAlign w:val="bottom"/>
          </w:tcPr>
          <w:p>
            <w:pPr>
              <w:spacing w:after="0"/>
              <w:rPr>
                <w:sz w:val="8"/>
                <w:szCs w:val="8"/>
                <w:color w:val="auto"/>
              </w:rPr>
            </w:pPr>
          </w:p>
        </w:tc>
        <w:tc>
          <w:tcPr>
            <w:tcW w:w="506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203"/>
        </w:trPr>
        <w:tc>
          <w:tcPr>
            <w:tcW w:w="5420" w:type="dxa"/>
            <w:vAlign w:val="bottom"/>
            <w:shd w:val="clear" w:color="auto" w:fill="E6E6E6"/>
          </w:tcPr>
          <w:p>
            <w:pPr>
              <w:spacing w:after="0"/>
              <w:rPr>
                <w:sz w:val="17"/>
                <w:szCs w:val="17"/>
                <w:color w:val="auto"/>
              </w:rPr>
            </w:pPr>
          </w:p>
        </w:tc>
        <w:tc>
          <w:tcPr>
            <w:tcW w:w="5060" w:type="dxa"/>
            <w:vAlign w:val="bottom"/>
            <w:shd w:val="clear" w:color="auto" w:fill="E6E6E6"/>
          </w:tcPr>
          <w:p>
            <w:pPr>
              <w:jc w:val="right"/>
              <w:ind w:right="256"/>
              <w:spacing w:after="0" w:line="202" w:lineRule="exact"/>
              <w:rPr>
                <w:sz w:val="20"/>
                <w:szCs w:val="20"/>
                <w:color w:val="auto"/>
              </w:rPr>
            </w:pPr>
            <w:r>
              <w:rPr>
                <w:rFonts w:ascii="Arial" w:cs="Arial" w:eastAsia="Arial" w:hAnsi="Arial"/>
                <w:sz w:val="18"/>
                <w:szCs w:val="18"/>
                <w:b w:val="1"/>
                <w:bCs w:val="1"/>
                <w:color w:val="auto"/>
              </w:rPr>
              <w:t>100.0%</w:t>
            </w:r>
          </w:p>
        </w:tc>
        <w:tc>
          <w:tcPr>
            <w:tcW w:w="94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b w:val="1"/>
                <w:bCs w:val="1"/>
                <w:color w:val="auto"/>
              </w:rPr>
              <w:t>100.0%</w:t>
            </w:r>
          </w:p>
        </w:tc>
        <w:tc>
          <w:tcPr>
            <w:tcW w:w="20" w:type="dxa"/>
            <w:vAlign w:val="bottom"/>
          </w:tcPr>
          <w:p>
            <w:pPr>
              <w:spacing w:after="0"/>
              <w:rPr>
                <w:sz w:val="17"/>
                <w:szCs w:val="17"/>
                <w:color w:val="auto"/>
              </w:rPr>
            </w:pPr>
          </w:p>
        </w:tc>
      </w:tr>
      <w:tr>
        <w:trPr>
          <w:trHeight w:val="108"/>
        </w:trPr>
        <w:tc>
          <w:tcPr>
            <w:tcW w:w="5420" w:type="dxa"/>
            <w:vAlign w:val="bottom"/>
            <w:tcBorders>
              <w:bottom w:val="single" w:sz="8" w:color="808080"/>
            </w:tcBorders>
          </w:tcPr>
          <w:p>
            <w:pPr>
              <w:spacing w:after="0"/>
              <w:rPr>
                <w:sz w:val="9"/>
                <w:szCs w:val="9"/>
                <w:color w:val="auto"/>
              </w:rPr>
            </w:pPr>
          </w:p>
        </w:tc>
        <w:tc>
          <w:tcPr>
            <w:tcW w:w="506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r>
    </w:tbl>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weighted average target asset allocations for the Pension Plans included in the Company’s investment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263765" cy="8890"/>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3">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40" w:type="dxa"/>
            <w:vAlign w:val="bottom"/>
          </w:tcPr>
          <w:p>
            <w:pPr>
              <w:spacing w:after="0"/>
              <w:rPr>
                <w:sz w:val="13"/>
                <w:szCs w:val="13"/>
                <w:color w:val="auto"/>
              </w:rPr>
            </w:pPr>
          </w:p>
        </w:tc>
        <w:tc>
          <w:tcPr>
            <w:tcW w:w="40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Grolier</w:t>
            </w:r>
          </w:p>
        </w:tc>
      </w:tr>
      <w:tr>
        <w:trPr>
          <w:trHeight w:val="149"/>
        </w:trPr>
        <w:tc>
          <w:tcPr>
            <w:tcW w:w="514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1260" w:type="dxa"/>
            <w:vAlign w:val="bottom"/>
          </w:tcPr>
          <w:p>
            <w:pPr>
              <w:jc w:val="right"/>
              <w:ind w:right="381"/>
              <w:spacing w:after="0" w:line="149" w:lineRule="exact"/>
              <w:rPr>
                <w:sz w:val="20"/>
                <w:szCs w:val="20"/>
                <w:color w:val="auto"/>
              </w:rPr>
            </w:pPr>
            <w:r>
              <w:rPr>
                <w:rFonts w:ascii="Arial" w:cs="Arial" w:eastAsia="Arial" w:hAnsi="Arial"/>
                <w:sz w:val="14"/>
                <w:szCs w:val="14"/>
                <w:b w:val="1"/>
                <w:bCs w:val="1"/>
                <w:color w:val="auto"/>
              </w:rPr>
              <w:t>U.K.</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Canada</w:t>
            </w:r>
          </w:p>
        </w:tc>
      </w:tr>
      <w:tr>
        <w:trPr>
          <w:trHeight w:val="149"/>
        </w:trPr>
        <w:tc>
          <w:tcPr>
            <w:tcW w:w="5140" w:type="dxa"/>
            <w:vAlign w:val="bottom"/>
          </w:tcPr>
          <w:p>
            <w:pPr>
              <w:spacing w:after="0"/>
              <w:rPr>
                <w:sz w:val="12"/>
                <w:szCs w:val="12"/>
                <w:color w:val="auto"/>
              </w:rPr>
            </w:pPr>
          </w:p>
        </w:tc>
        <w:tc>
          <w:tcPr>
            <w:tcW w:w="4040" w:type="dxa"/>
            <w:vAlign w:val="bottom"/>
          </w:tcPr>
          <w:p>
            <w:pPr>
              <w:jc w:val="right"/>
              <w:ind w:right="359"/>
              <w:spacing w:after="0" w:line="149" w:lineRule="exact"/>
              <w:rPr>
                <w:sz w:val="20"/>
                <w:szCs w:val="20"/>
                <w:color w:val="auto"/>
              </w:rPr>
            </w:pPr>
            <w:r>
              <w:rPr>
                <w:rFonts w:ascii="Arial" w:cs="Arial" w:eastAsia="Arial" w:hAnsi="Arial"/>
                <w:sz w:val="14"/>
                <w:szCs w:val="14"/>
                <w:b w:val="1"/>
                <w:bCs w:val="1"/>
                <w:color w:val="auto"/>
              </w:rPr>
              <w:t>Pension</w:t>
            </w:r>
          </w:p>
        </w:tc>
        <w:tc>
          <w:tcPr>
            <w:tcW w:w="1260" w:type="dxa"/>
            <w:vAlign w:val="bottom"/>
          </w:tcPr>
          <w:p>
            <w:pPr>
              <w:jc w:val="right"/>
              <w:ind w:right="381"/>
              <w:spacing w:after="0" w:line="149" w:lineRule="exact"/>
              <w:rPr>
                <w:sz w:val="20"/>
                <w:szCs w:val="20"/>
                <w:color w:val="auto"/>
              </w:rPr>
            </w:pPr>
            <w:r>
              <w:rPr>
                <w:rFonts w:ascii="Arial" w:cs="Arial" w:eastAsia="Arial" w:hAnsi="Arial"/>
                <w:sz w:val="14"/>
                <w:szCs w:val="14"/>
                <w:b w:val="1"/>
                <w:bCs w:val="1"/>
                <w:color w:val="auto"/>
              </w:rPr>
              <w:t>Pension</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Pension</w:t>
            </w:r>
          </w:p>
        </w:tc>
      </w:tr>
      <w:tr>
        <w:trPr>
          <w:trHeight w:val="178"/>
        </w:trPr>
        <w:tc>
          <w:tcPr>
            <w:tcW w:w="5140" w:type="dxa"/>
            <w:vAlign w:val="bottom"/>
          </w:tcPr>
          <w:p>
            <w:pPr>
              <w:spacing w:after="0"/>
              <w:rPr>
                <w:sz w:val="15"/>
                <w:szCs w:val="15"/>
                <w:color w:val="auto"/>
              </w:rPr>
            </w:pPr>
          </w:p>
        </w:tc>
        <w:tc>
          <w:tcPr>
            <w:tcW w:w="4040" w:type="dxa"/>
            <w:vAlign w:val="bottom"/>
          </w:tcPr>
          <w:p>
            <w:pPr>
              <w:jc w:val="right"/>
              <w:ind w:right="359"/>
              <w:spacing w:after="0"/>
              <w:rPr>
                <w:sz w:val="20"/>
                <w:szCs w:val="20"/>
                <w:color w:val="auto"/>
              </w:rPr>
            </w:pPr>
            <w:r>
              <w:rPr>
                <w:rFonts w:ascii="Arial" w:cs="Arial" w:eastAsia="Arial" w:hAnsi="Arial"/>
                <w:sz w:val="14"/>
                <w:szCs w:val="14"/>
                <w:b w:val="1"/>
                <w:bCs w:val="1"/>
                <w:color w:val="auto"/>
              </w:rPr>
              <w:t>Plan</w:t>
            </w:r>
          </w:p>
        </w:tc>
        <w:tc>
          <w:tcPr>
            <w:tcW w:w="1260" w:type="dxa"/>
            <w:vAlign w:val="bottom"/>
          </w:tcPr>
          <w:p>
            <w:pPr>
              <w:jc w:val="right"/>
              <w:ind w:right="381"/>
              <w:spacing w:after="0"/>
              <w:rPr>
                <w:sz w:val="20"/>
                <w:szCs w:val="20"/>
                <w:color w:val="auto"/>
              </w:rPr>
            </w:pPr>
            <w:r>
              <w:rPr>
                <w:rFonts w:ascii="Arial" w:cs="Arial" w:eastAsia="Arial" w:hAnsi="Arial"/>
                <w:sz w:val="14"/>
                <w:szCs w:val="14"/>
                <w:b w:val="1"/>
                <w:bCs w:val="1"/>
                <w:color w:val="auto"/>
              </w:rPr>
              <w:t>Plan</w:t>
            </w:r>
          </w:p>
        </w:tc>
        <w:tc>
          <w:tcPr>
            <w:tcW w:w="10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Plan</w:t>
            </w:r>
          </w:p>
        </w:tc>
      </w:tr>
      <w:tr>
        <w:trPr>
          <w:trHeight w:val="95"/>
        </w:trPr>
        <w:tc>
          <w:tcPr>
            <w:tcW w:w="5140" w:type="dxa"/>
            <w:vAlign w:val="bottom"/>
            <w:tcBorders>
              <w:bottom w:val="single" w:sz="8" w:color="auto"/>
            </w:tcBorders>
          </w:tcPr>
          <w:p>
            <w:pPr>
              <w:spacing w:after="0"/>
              <w:rPr>
                <w:sz w:val="8"/>
                <w:szCs w:val="8"/>
                <w:color w:val="auto"/>
              </w:rPr>
            </w:pPr>
          </w:p>
        </w:tc>
        <w:tc>
          <w:tcPr>
            <w:tcW w:w="4040" w:type="dxa"/>
            <w:vAlign w:val="bottom"/>
            <w:tcBorders>
              <w:bottom w:val="single" w:sz="8" w:color="auto"/>
            </w:tcBorders>
          </w:tcPr>
          <w:p>
            <w:pPr>
              <w:spacing w:after="0"/>
              <w:rPr>
                <w:sz w:val="8"/>
                <w:szCs w:val="8"/>
                <w:color w:val="auto"/>
              </w:rPr>
            </w:pPr>
          </w:p>
        </w:tc>
        <w:tc>
          <w:tcPr>
            <w:tcW w:w="126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r>
      <w:tr>
        <w:trPr>
          <w:trHeight w:val="102"/>
        </w:trPr>
        <w:tc>
          <w:tcPr>
            <w:tcW w:w="5140" w:type="dxa"/>
            <w:vAlign w:val="bottom"/>
          </w:tcPr>
          <w:p>
            <w:pPr>
              <w:spacing w:after="0"/>
              <w:rPr>
                <w:sz w:val="8"/>
                <w:szCs w:val="8"/>
                <w:color w:val="auto"/>
              </w:rPr>
            </w:pPr>
          </w:p>
        </w:tc>
        <w:tc>
          <w:tcPr>
            <w:tcW w:w="404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000" w:type="dxa"/>
            <w:vAlign w:val="bottom"/>
            <w:gridSpan w:val="2"/>
          </w:tcPr>
          <w:p>
            <w:pPr>
              <w:spacing w:after="0"/>
              <w:rPr>
                <w:sz w:val="8"/>
                <w:szCs w:val="8"/>
                <w:color w:val="auto"/>
              </w:rPr>
            </w:pPr>
          </w:p>
        </w:tc>
      </w:tr>
      <w:tr>
        <w:trPr>
          <w:trHeight w:val="203"/>
        </w:trPr>
        <w:tc>
          <w:tcPr>
            <w:tcW w:w="514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Equity</w:t>
            </w:r>
          </w:p>
        </w:tc>
        <w:tc>
          <w:tcPr>
            <w:tcW w:w="4040" w:type="dxa"/>
            <w:vAlign w:val="bottom"/>
            <w:shd w:val="clear" w:color="auto" w:fill="E6E6E6"/>
          </w:tcPr>
          <w:p>
            <w:pPr>
              <w:jc w:val="right"/>
              <w:ind w:right="219"/>
              <w:spacing w:after="0" w:line="202" w:lineRule="exact"/>
              <w:rPr>
                <w:sz w:val="20"/>
                <w:szCs w:val="20"/>
                <w:color w:val="auto"/>
              </w:rPr>
            </w:pPr>
            <w:r>
              <w:rPr>
                <w:rFonts w:ascii="Arial" w:cs="Arial" w:eastAsia="Arial" w:hAnsi="Arial"/>
                <w:sz w:val="18"/>
                <w:szCs w:val="18"/>
                <w:color w:val="auto"/>
              </w:rPr>
              <w:t>70%</w:t>
            </w:r>
          </w:p>
        </w:tc>
        <w:tc>
          <w:tcPr>
            <w:tcW w:w="1260" w:type="dxa"/>
            <w:vAlign w:val="bottom"/>
            <w:shd w:val="clear" w:color="auto" w:fill="E6E6E6"/>
          </w:tcPr>
          <w:p>
            <w:pPr>
              <w:jc w:val="right"/>
              <w:ind w:right="221"/>
              <w:spacing w:after="0" w:line="202" w:lineRule="exact"/>
              <w:rPr>
                <w:sz w:val="20"/>
                <w:szCs w:val="20"/>
                <w:color w:val="auto"/>
              </w:rPr>
            </w:pPr>
            <w:r>
              <w:rPr>
                <w:rFonts w:ascii="Arial" w:cs="Arial" w:eastAsia="Arial" w:hAnsi="Arial"/>
                <w:sz w:val="18"/>
                <w:szCs w:val="18"/>
                <w:color w:val="auto"/>
              </w:rPr>
              <w:t>55%</w:t>
            </w:r>
          </w:p>
        </w:tc>
        <w:tc>
          <w:tcPr>
            <w:tcW w:w="98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r>
      <w:tr>
        <w:trPr>
          <w:trHeight w:val="203"/>
        </w:trPr>
        <w:tc>
          <w:tcPr>
            <w:tcW w:w="5140" w:type="dxa"/>
            <w:vAlign w:val="bottom"/>
          </w:tcPr>
          <w:p>
            <w:pPr>
              <w:spacing w:after="0" w:line="202" w:lineRule="exact"/>
              <w:rPr>
                <w:sz w:val="20"/>
                <w:szCs w:val="20"/>
                <w:color w:val="auto"/>
              </w:rPr>
            </w:pPr>
            <w:r>
              <w:rPr>
                <w:rFonts w:ascii="Arial" w:cs="Arial" w:eastAsia="Arial" w:hAnsi="Arial"/>
                <w:sz w:val="18"/>
                <w:szCs w:val="18"/>
                <w:color w:val="auto"/>
              </w:rPr>
              <w:t>Debt and cash equivalents</w:t>
            </w:r>
          </w:p>
        </w:tc>
        <w:tc>
          <w:tcPr>
            <w:tcW w:w="4040" w:type="dxa"/>
            <w:vAlign w:val="bottom"/>
          </w:tcPr>
          <w:p>
            <w:pPr>
              <w:jc w:val="right"/>
              <w:ind w:right="359"/>
              <w:spacing w:after="0" w:line="202" w:lineRule="exact"/>
              <w:rPr>
                <w:sz w:val="20"/>
                <w:szCs w:val="20"/>
                <w:color w:val="auto"/>
              </w:rPr>
            </w:pPr>
            <w:r>
              <w:rPr>
                <w:rFonts w:ascii="Arial" w:cs="Arial" w:eastAsia="Arial" w:hAnsi="Arial"/>
                <w:sz w:val="18"/>
                <w:szCs w:val="18"/>
                <w:color w:val="auto"/>
              </w:rPr>
              <w:t>30</w:t>
            </w:r>
          </w:p>
        </w:tc>
        <w:tc>
          <w:tcPr>
            <w:tcW w:w="1260" w:type="dxa"/>
            <w:vAlign w:val="bottom"/>
          </w:tcPr>
          <w:p>
            <w:pPr>
              <w:jc w:val="right"/>
              <w:ind w:right="381"/>
              <w:spacing w:after="0" w:line="202" w:lineRule="exact"/>
              <w:rPr>
                <w:sz w:val="20"/>
                <w:szCs w:val="20"/>
                <w:color w:val="auto"/>
              </w:rPr>
            </w:pPr>
            <w:r>
              <w:rPr>
                <w:rFonts w:ascii="Arial" w:cs="Arial" w:eastAsia="Arial" w:hAnsi="Arial"/>
                <w:sz w:val="18"/>
                <w:szCs w:val="18"/>
                <w:color w:val="auto"/>
              </w:rPr>
              <w:t>8</w:t>
            </w:r>
          </w:p>
        </w:tc>
        <w:tc>
          <w:tcPr>
            <w:tcW w:w="980" w:type="dxa"/>
            <w:vAlign w:val="bottom"/>
          </w:tcPr>
          <w:p>
            <w:pPr>
              <w:jc w:val="right"/>
              <w:ind w:right="102"/>
              <w:spacing w:after="0" w:line="202" w:lineRule="exact"/>
              <w:rPr>
                <w:sz w:val="20"/>
                <w:szCs w:val="20"/>
                <w:color w:val="auto"/>
              </w:rPr>
            </w:pPr>
            <w:r>
              <w:rPr>
                <w:rFonts w:ascii="Arial" w:cs="Arial" w:eastAsia="Arial" w:hAnsi="Arial"/>
                <w:sz w:val="18"/>
                <w:szCs w:val="18"/>
                <w:color w:val="auto"/>
              </w:rPr>
              <w:t>82</w:t>
            </w:r>
          </w:p>
        </w:tc>
        <w:tc>
          <w:tcPr>
            <w:tcW w:w="20" w:type="dxa"/>
            <w:vAlign w:val="bottom"/>
          </w:tcPr>
          <w:p>
            <w:pPr>
              <w:spacing w:after="0"/>
              <w:rPr>
                <w:sz w:val="17"/>
                <w:szCs w:val="17"/>
                <w:color w:val="auto"/>
              </w:rPr>
            </w:pPr>
          </w:p>
        </w:tc>
      </w:tr>
      <w:tr>
        <w:trPr>
          <w:trHeight w:val="203"/>
        </w:trPr>
        <w:tc>
          <w:tcPr>
            <w:tcW w:w="514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Real estate and other</w:t>
            </w:r>
          </w:p>
        </w:tc>
        <w:tc>
          <w:tcPr>
            <w:tcW w:w="4040" w:type="dxa"/>
            <w:vAlign w:val="bottom"/>
            <w:shd w:val="clear" w:color="auto" w:fill="E6E6E6"/>
          </w:tcPr>
          <w:p>
            <w:pPr>
              <w:jc w:val="right"/>
              <w:ind w:right="359"/>
              <w:spacing w:after="0" w:line="202" w:lineRule="exact"/>
              <w:rPr>
                <w:sz w:val="20"/>
                <w:szCs w:val="20"/>
                <w:color w:val="auto"/>
              </w:rPr>
            </w:pPr>
            <w:r>
              <w:rPr>
                <w:rFonts w:ascii="Arial" w:cs="Arial" w:eastAsia="Arial" w:hAnsi="Arial"/>
                <w:sz w:val="18"/>
                <w:szCs w:val="18"/>
                <w:color w:val="auto"/>
              </w:rPr>
              <w:t>—</w:t>
            </w:r>
          </w:p>
        </w:tc>
        <w:tc>
          <w:tcPr>
            <w:tcW w:w="1260" w:type="dxa"/>
            <w:vAlign w:val="bottom"/>
            <w:shd w:val="clear" w:color="auto" w:fill="E6E6E6"/>
          </w:tcPr>
          <w:p>
            <w:pPr>
              <w:jc w:val="right"/>
              <w:ind w:right="381"/>
              <w:spacing w:after="0" w:line="202" w:lineRule="exact"/>
              <w:rPr>
                <w:sz w:val="20"/>
                <w:szCs w:val="20"/>
                <w:color w:val="auto"/>
              </w:rPr>
            </w:pPr>
            <w:r>
              <w:rPr>
                <w:rFonts w:ascii="Arial" w:cs="Arial" w:eastAsia="Arial" w:hAnsi="Arial"/>
                <w:sz w:val="18"/>
                <w:szCs w:val="18"/>
                <w:color w:val="auto"/>
              </w:rPr>
              <w:t>37</w:t>
            </w:r>
          </w:p>
        </w:tc>
        <w:tc>
          <w:tcPr>
            <w:tcW w:w="980" w:type="dxa"/>
            <w:vAlign w:val="bottom"/>
            <w:shd w:val="clear" w:color="auto" w:fill="E6E6E6"/>
          </w:tcPr>
          <w:p>
            <w:pPr>
              <w:jc w:val="right"/>
              <w:ind w:right="102"/>
              <w:spacing w:after="0" w:line="202" w:lineRule="exact"/>
              <w:rPr>
                <w:sz w:val="20"/>
                <w:szCs w:val="20"/>
                <w:color w:val="auto"/>
              </w:rPr>
            </w:pPr>
            <w:r>
              <w:rPr>
                <w:rFonts w:ascii="Arial" w:cs="Arial" w:eastAsia="Arial" w:hAnsi="Arial"/>
                <w:sz w:val="18"/>
                <w:szCs w:val="18"/>
                <w:color w:val="auto"/>
              </w:rPr>
              <w:t>18</w:t>
            </w:r>
          </w:p>
        </w:tc>
        <w:tc>
          <w:tcPr>
            <w:tcW w:w="20" w:type="dxa"/>
            <w:vAlign w:val="bottom"/>
          </w:tcPr>
          <w:p>
            <w:pPr>
              <w:spacing w:after="0"/>
              <w:rPr>
                <w:sz w:val="17"/>
                <w:szCs w:val="17"/>
                <w:color w:val="auto"/>
              </w:rPr>
            </w:pPr>
          </w:p>
        </w:tc>
      </w:tr>
      <w:tr>
        <w:trPr>
          <w:trHeight w:val="108"/>
        </w:trPr>
        <w:tc>
          <w:tcPr>
            <w:tcW w:w="5140" w:type="dxa"/>
            <w:vAlign w:val="bottom"/>
            <w:tcBorders>
              <w:bottom w:val="single" w:sz="8" w:color="808080"/>
            </w:tcBorders>
          </w:tcPr>
          <w:p>
            <w:pPr>
              <w:spacing w:after="0"/>
              <w:rPr>
                <w:sz w:val="9"/>
                <w:szCs w:val="9"/>
                <w:color w:val="auto"/>
              </w:rPr>
            </w:pPr>
          </w:p>
        </w:tc>
        <w:tc>
          <w:tcPr>
            <w:tcW w:w="404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r>
      <w:tr>
        <w:trPr>
          <w:trHeight w:val="316"/>
        </w:trPr>
        <w:tc>
          <w:tcPr>
            <w:tcW w:w="5140" w:type="dxa"/>
            <w:vAlign w:val="bottom"/>
          </w:tcPr>
          <w:p>
            <w:pPr>
              <w:spacing w:after="0"/>
              <w:rPr>
                <w:sz w:val="24"/>
                <w:szCs w:val="24"/>
                <w:color w:val="auto"/>
              </w:rPr>
            </w:pPr>
          </w:p>
        </w:tc>
        <w:tc>
          <w:tcPr>
            <w:tcW w:w="4040" w:type="dxa"/>
            <w:vAlign w:val="bottom"/>
          </w:tcPr>
          <w:p>
            <w:pPr>
              <w:jc w:val="right"/>
              <w:ind w:right="219"/>
              <w:spacing w:after="0"/>
              <w:rPr>
                <w:sz w:val="20"/>
                <w:szCs w:val="20"/>
                <w:color w:val="auto"/>
              </w:rPr>
            </w:pPr>
            <w:r>
              <w:rPr>
                <w:rFonts w:ascii="Arial" w:cs="Arial" w:eastAsia="Arial" w:hAnsi="Arial"/>
                <w:sz w:val="18"/>
                <w:szCs w:val="18"/>
                <w:b w:val="1"/>
                <w:bCs w:val="1"/>
                <w:color w:val="auto"/>
              </w:rPr>
              <w:t>100.0%</w:t>
            </w:r>
          </w:p>
        </w:tc>
        <w:tc>
          <w:tcPr>
            <w:tcW w:w="1260" w:type="dxa"/>
            <w:vAlign w:val="bottom"/>
          </w:tcPr>
          <w:p>
            <w:pPr>
              <w:jc w:val="right"/>
              <w:ind w:right="221"/>
              <w:spacing w:after="0"/>
              <w:rPr>
                <w:sz w:val="20"/>
                <w:szCs w:val="20"/>
                <w:color w:val="auto"/>
              </w:rPr>
            </w:pPr>
            <w:r>
              <w:rPr>
                <w:rFonts w:ascii="Arial" w:cs="Arial" w:eastAsia="Arial" w:hAnsi="Arial"/>
                <w:sz w:val="18"/>
                <w:szCs w:val="18"/>
                <w:b w:val="1"/>
                <w:bCs w:val="1"/>
                <w:color w:val="auto"/>
              </w:rPr>
              <w:t>100.0%</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100.0%</w:t>
            </w:r>
          </w:p>
        </w:tc>
        <w:tc>
          <w:tcPr>
            <w:tcW w:w="20" w:type="dxa"/>
            <w:vAlign w:val="bottom"/>
          </w:tcPr>
          <w:p>
            <w:pPr>
              <w:spacing w:after="0"/>
              <w:rPr>
                <w:sz w:val="24"/>
                <w:szCs w:val="24"/>
                <w:color w:val="auto"/>
              </w:rPr>
            </w:pPr>
          </w:p>
        </w:tc>
      </w:tr>
      <w:tr>
        <w:trPr>
          <w:trHeight w:val="97"/>
        </w:trPr>
        <w:tc>
          <w:tcPr>
            <w:tcW w:w="5140" w:type="dxa"/>
            <w:vAlign w:val="bottom"/>
            <w:tcBorders>
              <w:bottom w:val="single" w:sz="8" w:color="808080"/>
            </w:tcBorders>
          </w:tcPr>
          <w:p>
            <w:pPr>
              <w:spacing w:after="0"/>
              <w:rPr>
                <w:sz w:val="8"/>
                <w:szCs w:val="8"/>
                <w:color w:val="auto"/>
              </w:rPr>
            </w:pPr>
          </w:p>
        </w:tc>
        <w:tc>
          <w:tcPr>
            <w:tcW w:w="4040" w:type="dxa"/>
            <w:vAlign w:val="bottom"/>
            <w:tcBorders>
              <w:bottom w:val="single" w:sz="8" w:color="808080"/>
            </w:tcBorders>
          </w:tcPr>
          <w:p>
            <w:pPr>
              <w:spacing w:after="0"/>
              <w:rPr>
                <w:sz w:val="8"/>
                <w:szCs w:val="8"/>
                <w:color w:val="auto"/>
              </w:rPr>
            </w:pPr>
          </w:p>
        </w:tc>
        <w:tc>
          <w:tcPr>
            <w:tcW w:w="1260" w:type="dxa"/>
            <w:vAlign w:val="bottom"/>
            <w:tcBorders>
              <w:bottom w:val="single" w:sz="8" w:color="808080"/>
            </w:tcBorders>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2663825</wp:posOffset>
            </wp:positionH>
            <wp:positionV relativeFrom="paragraph">
              <wp:posOffset>205740</wp:posOffset>
            </wp:positionV>
            <wp:extent cx="1929765" cy="231775"/>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4">
                      <a:extLst>
                        <a:ext uri="{28A0092B-C50C-407E-A947-70E740481C1C}"/>
                      </a:extLst>
                    </a:blip>
                    <a:srcRect/>
                    <a:stretch>
                      <a:fillRect/>
                    </a:stretch>
                  </pic:blipFill>
                  <pic:spPr bwMode="auto">
                    <a:xfrm>
                      <a:off x="0" y="0"/>
                      <a:ext cx="1929765" cy="231775"/>
                    </a:xfrm>
                    <a:prstGeom prst="rect">
                      <a:avLst/>
                    </a:prstGeom>
                    <a:noFill/>
                  </pic:spPr>
                </pic:pic>
              </a:graphicData>
            </a:graphic>
          </wp:anchor>
        </w:drawing>
      </w:r>
    </w:p>
    <w:p>
      <w:pPr>
        <w:sectPr>
          <w:pgSz w:w="11900" w:h="16838" w:orient="portrait"/>
          <w:cols w:equalWidth="0" w:num="1">
            <w:col w:w="11460"/>
          </w:cols>
          <w:pgMar w:left="240" w:top="834" w:right="1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67575" cy="38735"/>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60"/>
          </w:cols>
          <w:pgMar w:left="240" w:top="834" w:right="199" w:bottom="1440" w:gutter="0" w:footer="0" w:header="0"/>
          <w:type w:val="continuous"/>
        </w:sectPr>
      </w:pPr>
    </w:p>
    <w:bookmarkStart w:id="75" w:name="page76"/>
    <w:bookmarkEnd w:id="75"/>
    <w:p>
      <w:pPr>
        <w:ind w:right="6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06">
                      <a:extLst>
                        <a:ext uri="{28A0092B-C50C-407E-A947-70E740481C1C}"/>
                      </a:extLst>
                    </a:blip>
                    <a:srcRect/>
                    <a:stretch>
                      <a:fillRect/>
                    </a:stretch>
                  </pic:blipFill>
                  <pic:spPr bwMode="auto">
                    <a:xfrm>
                      <a:off x="0" y="0"/>
                      <a:ext cx="7263765" cy="8890"/>
                    </a:xfrm>
                    <a:prstGeom prst="rect">
                      <a:avLst/>
                    </a:prstGeom>
                    <a:noFill/>
                  </pic:spPr>
                </pic:pic>
              </a:graphicData>
            </a:graphic>
          </wp:anchor>
        </w:drawing>
        <w:t>The fair values of the Company’s Pension Plans’ assets are measured using Level 1 and Level 2 fair value measurements. The fair values of the Level 1 Pension Plans’ assets are determined based on quoted market prices in active markets for identical assets. The fair values of the Level 2 Pension Plans’ assets are based on the net asset values of the funds, which are based on quoted market prices of the underlying investments. The Company purchases annuities to service fixed payments to certain retired plan participants in the UK. These annuities are purchased from investment grade counterparties. These annuities are not traded on open markets, and are therefore valued based upon the actuarial determined valuation, and related assumptions, of the underlying projected benefit obligation, a Level 3 valuation technique. The fair value of these assets at May 31, 2010 was $4.9.</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For a more complete description of fair value measurements see Note 19, “Fair Value Measurements.”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measurement of the Company’s Pension Plans’ assets at fair value by asset category at May 31,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263765" cy="8890"/>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07">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36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800" w:type="dxa"/>
            <w:vAlign w:val="bottom"/>
          </w:tcPr>
          <w:p>
            <w:pPr>
              <w:jc w:val="right"/>
              <w:ind w:right="75"/>
              <w:spacing w:after="0"/>
              <w:rPr>
                <w:sz w:val="20"/>
                <w:szCs w:val="20"/>
                <w:color w:val="auto"/>
              </w:rPr>
            </w:pPr>
            <w:r>
              <w:rPr>
                <w:rFonts w:ascii="Arial" w:cs="Arial" w:eastAsia="Arial" w:hAnsi="Arial"/>
                <w:sz w:val="14"/>
                <w:szCs w:val="14"/>
                <w:b w:val="1"/>
                <w:bCs w:val="1"/>
                <w:color w:val="auto"/>
              </w:rPr>
              <w:t>Total</w:t>
            </w:r>
          </w:p>
        </w:tc>
        <w:tc>
          <w:tcPr>
            <w:tcW w:w="460" w:type="dxa"/>
            <w:vAlign w:val="bottom"/>
          </w:tcPr>
          <w:p>
            <w:pPr>
              <w:spacing w:after="0"/>
              <w:rPr>
                <w:sz w:val="15"/>
                <w:szCs w:val="15"/>
                <w:color w:val="auto"/>
              </w:rPr>
            </w:pPr>
          </w:p>
        </w:tc>
        <w:tc>
          <w:tcPr>
            <w:tcW w:w="800" w:type="dxa"/>
            <w:vAlign w:val="bottom"/>
          </w:tcPr>
          <w:p>
            <w:pPr>
              <w:jc w:val="right"/>
              <w:ind w:right="75"/>
              <w:spacing w:after="0"/>
              <w:rPr>
                <w:sz w:val="20"/>
                <w:szCs w:val="20"/>
                <w:color w:val="auto"/>
              </w:rPr>
            </w:pPr>
            <w:r>
              <w:rPr>
                <w:rFonts w:ascii="Arial" w:cs="Arial" w:eastAsia="Arial" w:hAnsi="Arial"/>
                <w:sz w:val="14"/>
                <w:szCs w:val="14"/>
                <w:b w:val="1"/>
                <w:bCs w:val="1"/>
                <w:color w:val="auto"/>
              </w:rPr>
              <w:t>Level 1</w:t>
            </w:r>
          </w:p>
        </w:tc>
        <w:tc>
          <w:tcPr>
            <w:tcW w:w="480" w:type="dxa"/>
            <w:vAlign w:val="bottom"/>
          </w:tcPr>
          <w:p>
            <w:pPr>
              <w:spacing w:after="0"/>
              <w:rPr>
                <w:sz w:val="15"/>
                <w:szCs w:val="15"/>
                <w:color w:val="auto"/>
              </w:rPr>
            </w:pPr>
          </w:p>
        </w:tc>
        <w:tc>
          <w:tcPr>
            <w:tcW w:w="780" w:type="dxa"/>
            <w:vAlign w:val="bottom"/>
          </w:tcPr>
          <w:p>
            <w:pPr>
              <w:jc w:val="right"/>
              <w:ind w:right="95"/>
              <w:spacing w:after="0"/>
              <w:rPr>
                <w:sz w:val="20"/>
                <w:szCs w:val="20"/>
                <w:color w:val="auto"/>
              </w:rPr>
            </w:pPr>
            <w:r>
              <w:rPr>
                <w:rFonts w:ascii="Arial" w:cs="Arial" w:eastAsia="Arial" w:hAnsi="Arial"/>
                <w:sz w:val="14"/>
                <w:szCs w:val="14"/>
                <w:b w:val="1"/>
                <w:bCs w:val="1"/>
                <w:color w:val="auto"/>
              </w:rPr>
              <w:t>Level 2</w:t>
            </w:r>
          </w:p>
        </w:tc>
        <w:tc>
          <w:tcPr>
            <w:tcW w:w="480" w:type="dxa"/>
            <w:vAlign w:val="bottom"/>
          </w:tcPr>
          <w:p>
            <w:pPr>
              <w:spacing w:after="0"/>
              <w:rPr>
                <w:sz w:val="15"/>
                <w:szCs w:val="15"/>
                <w:color w:val="auto"/>
              </w:rPr>
            </w:pPr>
          </w:p>
        </w:tc>
        <w:tc>
          <w:tcPr>
            <w:tcW w:w="760" w:type="dxa"/>
            <w:vAlign w:val="bottom"/>
            <w:gridSpan w:val="2"/>
          </w:tcPr>
          <w:p>
            <w:pPr>
              <w:ind w:left="200"/>
              <w:spacing w:after="0"/>
              <w:rPr>
                <w:sz w:val="20"/>
                <w:szCs w:val="20"/>
                <w:color w:val="auto"/>
              </w:rPr>
            </w:pPr>
            <w:r>
              <w:rPr>
                <w:rFonts w:ascii="Arial" w:cs="Arial" w:eastAsia="Arial" w:hAnsi="Arial"/>
                <w:sz w:val="14"/>
                <w:szCs w:val="14"/>
                <w:b w:val="1"/>
                <w:bCs w:val="1"/>
                <w:color w:val="auto"/>
              </w:rPr>
              <w:t>Level 3</w:t>
            </w:r>
          </w:p>
        </w:tc>
      </w:tr>
      <w:tr>
        <w:trPr>
          <w:trHeight w:val="95"/>
        </w:trPr>
        <w:tc>
          <w:tcPr>
            <w:tcW w:w="4360" w:type="dxa"/>
            <w:vAlign w:val="bottom"/>
            <w:tcBorders>
              <w:bottom w:val="single" w:sz="8" w:color="auto"/>
            </w:tcBorders>
          </w:tcPr>
          <w:p>
            <w:pPr>
              <w:spacing w:after="0"/>
              <w:rPr>
                <w:sz w:val="8"/>
                <w:szCs w:val="8"/>
                <w:color w:val="auto"/>
              </w:rPr>
            </w:pPr>
          </w:p>
        </w:tc>
        <w:tc>
          <w:tcPr>
            <w:tcW w:w="252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r>
      <w:tr>
        <w:trPr>
          <w:trHeight w:val="102"/>
        </w:trPr>
        <w:tc>
          <w:tcPr>
            <w:tcW w:w="4360" w:type="dxa"/>
            <w:vAlign w:val="bottom"/>
          </w:tcPr>
          <w:p>
            <w:pPr>
              <w:spacing w:after="0"/>
              <w:rPr>
                <w:sz w:val="8"/>
                <w:szCs w:val="8"/>
                <w:color w:val="auto"/>
              </w:rPr>
            </w:pPr>
          </w:p>
        </w:tc>
        <w:tc>
          <w:tcPr>
            <w:tcW w:w="2520" w:type="dxa"/>
            <w:vAlign w:val="bottom"/>
          </w:tcPr>
          <w:p>
            <w:pPr>
              <w:spacing w:after="0"/>
              <w:rPr>
                <w:sz w:val="8"/>
                <w:szCs w:val="8"/>
                <w:color w:val="auto"/>
              </w:rPr>
            </w:pPr>
          </w:p>
        </w:tc>
        <w:tc>
          <w:tcPr>
            <w:tcW w:w="80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0" w:type="dxa"/>
            <w:vAlign w:val="bottom"/>
          </w:tcPr>
          <w:p>
            <w:pPr>
              <w:spacing w:after="0"/>
              <w:rPr>
                <w:sz w:val="8"/>
                <w:szCs w:val="8"/>
                <w:color w:val="auto"/>
              </w:rPr>
            </w:pPr>
          </w:p>
        </w:tc>
        <w:tc>
          <w:tcPr>
            <w:tcW w:w="480" w:type="dxa"/>
            <w:vAlign w:val="bottom"/>
          </w:tcPr>
          <w:p>
            <w:pPr>
              <w:spacing w:after="0"/>
              <w:rPr>
                <w:sz w:val="8"/>
                <w:szCs w:val="8"/>
                <w:color w:val="auto"/>
              </w:rPr>
            </w:pPr>
          </w:p>
        </w:tc>
        <w:tc>
          <w:tcPr>
            <w:tcW w:w="780" w:type="dxa"/>
            <w:vAlign w:val="bottom"/>
          </w:tcPr>
          <w:p>
            <w:pPr>
              <w:spacing w:after="0"/>
              <w:rPr>
                <w:sz w:val="8"/>
                <w:szCs w:val="8"/>
                <w:color w:val="auto"/>
              </w:rPr>
            </w:pPr>
          </w:p>
        </w:tc>
        <w:tc>
          <w:tcPr>
            <w:tcW w:w="480" w:type="dxa"/>
            <w:vAlign w:val="bottom"/>
          </w:tcPr>
          <w:p>
            <w:pPr>
              <w:spacing w:after="0"/>
              <w:rPr>
                <w:sz w:val="8"/>
                <w:szCs w:val="8"/>
                <w:color w:val="auto"/>
              </w:rPr>
            </w:pPr>
          </w:p>
        </w:tc>
        <w:tc>
          <w:tcPr>
            <w:tcW w:w="760" w:type="dxa"/>
            <w:vAlign w:val="bottom"/>
            <w:gridSpan w:val="2"/>
          </w:tcPr>
          <w:p>
            <w:pPr>
              <w:spacing w:after="0"/>
              <w:rPr>
                <w:sz w:val="8"/>
                <w:szCs w:val="8"/>
                <w:color w:val="auto"/>
              </w:rPr>
            </w:pPr>
          </w:p>
        </w:tc>
      </w:tr>
      <w:tr>
        <w:trPr>
          <w:trHeight w:val="203"/>
        </w:trPr>
        <w:tc>
          <w:tcPr>
            <w:tcW w:w="436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Cash and cash equivalents</w:t>
            </w:r>
          </w:p>
        </w:tc>
        <w:tc>
          <w:tcPr>
            <w:tcW w:w="2520" w:type="dxa"/>
            <w:vAlign w:val="bottom"/>
            <w:shd w:val="clear" w:color="auto" w:fill="E6E6E6"/>
          </w:tcPr>
          <w:p>
            <w:pPr>
              <w:jc w:val="right"/>
              <w:ind w:right="92"/>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E6E6E6"/>
          </w:tcPr>
          <w:p>
            <w:pPr>
              <w:jc w:val="right"/>
              <w:ind w:right="75"/>
              <w:spacing w:after="0" w:line="202" w:lineRule="exact"/>
              <w:rPr>
                <w:sz w:val="20"/>
                <w:szCs w:val="20"/>
                <w:color w:val="auto"/>
              </w:rPr>
            </w:pPr>
            <w:r>
              <w:rPr>
                <w:rFonts w:ascii="Arial" w:cs="Arial" w:eastAsia="Arial" w:hAnsi="Arial"/>
                <w:sz w:val="18"/>
                <w:szCs w:val="18"/>
                <w:color w:val="auto"/>
              </w:rPr>
              <w:t>2.5</w:t>
            </w:r>
          </w:p>
        </w:tc>
        <w:tc>
          <w:tcPr>
            <w:tcW w:w="460" w:type="dxa"/>
            <w:vAlign w:val="bottom"/>
            <w:shd w:val="clear" w:color="auto" w:fill="E6E6E6"/>
          </w:tcPr>
          <w:p>
            <w:pPr>
              <w:jc w:val="right"/>
              <w:ind w:right="92"/>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E6E6E6"/>
          </w:tcPr>
          <w:p>
            <w:pPr>
              <w:jc w:val="right"/>
              <w:ind w:right="75"/>
              <w:spacing w:after="0" w:line="202" w:lineRule="exact"/>
              <w:rPr>
                <w:sz w:val="20"/>
                <w:szCs w:val="20"/>
                <w:color w:val="auto"/>
              </w:rPr>
            </w:pPr>
            <w:r>
              <w:rPr>
                <w:rFonts w:ascii="Arial" w:cs="Arial" w:eastAsia="Arial" w:hAnsi="Arial"/>
                <w:sz w:val="18"/>
                <w:szCs w:val="18"/>
                <w:color w:val="auto"/>
              </w:rPr>
              <w:t>2.5</w:t>
            </w:r>
          </w:p>
        </w:tc>
        <w:tc>
          <w:tcPr>
            <w:tcW w:w="480" w:type="dxa"/>
            <w:vAlign w:val="bottom"/>
            <w:shd w:val="clear" w:color="auto" w:fill="E6E6E6"/>
          </w:tcPr>
          <w:p>
            <w:pPr>
              <w:jc w:val="right"/>
              <w:ind w:right="132"/>
              <w:spacing w:after="0" w:line="202" w:lineRule="exact"/>
              <w:rPr>
                <w:sz w:val="20"/>
                <w:szCs w:val="20"/>
                <w:color w:val="auto"/>
              </w:rPr>
            </w:pPr>
            <w:r>
              <w:rPr>
                <w:rFonts w:ascii="Arial" w:cs="Arial" w:eastAsia="Arial" w:hAnsi="Arial"/>
                <w:sz w:val="18"/>
                <w:szCs w:val="18"/>
                <w:color w:val="auto"/>
              </w:rPr>
              <w:t>$</w:t>
            </w:r>
          </w:p>
        </w:tc>
        <w:tc>
          <w:tcPr>
            <w:tcW w:w="780" w:type="dxa"/>
            <w:vAlign w:val="bottom"/>
            <w:shd w:val="clear" w:color="auto" w:fill="E6E6E6"/>
          </w:tcPr>
          <w:p>
            <w:pPr>
              <w:jc w:val="right"/>
              <w:ind w:right="95"/>
              <w:spacing w:after="0" w:line="202" w:lineRule="exact"/>
              <w:rPr>
                <w:sz w:val="20"/>
                <w:szCs w:val="20"/>
                <w:color w:val="auto"/>
              </w:rPr>
            </w:pPr>
            <w:r>
              <w:rPr>
                <w:rFonts w:ascii="Arial" w:cs="Arial" w:eastAsia="Arial" w:hAnsi="Arial"/>
                <w:sz w:val="18"/>
                <w:szCs w:val="18"/>
                <w:color w:val="auto"/>
              </w:rPr>
              <w:t>—</w:t>
            </w:r>
          </w:p>
        </w:tc>
        <w:tc>
          <w:tcPr>
            <w:tcW w:w="480" w:type="dxa"/>
            <w:vAlign w:val="bottom"/>
            <w:shd w:val="clear" w:color="auto" w:fill="E6E6E6"/>
          </w:tcPr>
          <w:p>
            <w:pPr>
              <w:jc w:val="right"/>
              <w:ind w:right="132"/>
              <w:spacing w:after="0" w:line="202" w:lineRule="exact"/>
              <w:rPr>
                <w:sz w:val="20"/>
                <w:szCs w:val="20"/>
                <w:color w:val="auto"/>
              </w:rPr>
            </w:pPr>
            <w:r>
              <w:rPr>
                <w:rFonts w:ascii="Arial" w:cs="Arial" w:eastAsia="Arial" w:hAnsi="Arial"/>
                <w:sz w:val="18"/>
                <w:szCs w:val="18"/>
                <w:color w:val="auto"/>
              </w:rPr>
              <w:t>$</w:t>
            </w:r>
          </w:p>
        </w:tc>
        <w:tc>
          <w:tcPr>
            <w:tcW w:w="740" w:type="dxa"/>
            <w:vAlign w:val="bottom"/>
            <w:shd w:val="clear" w:color="auto" w:fill="E6E6E6"/>
          </w:tcPr>
          <w:p>
            <w:pPr>
              <w:jc w:val="right"/>
              <w:ind w:right="35"/>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r>
      <w:tr>
        <w:trPr>
          <w:trHeight w:val="203"/>
        </w:trPr>
        <w:tc>
          <w:tcPr>
            <w:tcW w:w="4360" w:type="dxa"/>
            <w:vAlign w:val="bottom"/>
          </w:tcPr>
          <w:p>
            <w:pPr>
              <w:spacing w:after="0" w:line="202" w:lineRule="exact"/>
              <w:rPr>
                <w:sz w:val="20"/>
                <w:szCs w:val="20"/>
                <w:color w:val="auto"/>
              </w:rPr>
            </w:pPr>
            <w:r>
              <w:rPr>
                <w:rFonts w:ascii="Arial" w:cs="Arial" w:eastAsia="Arial" w:hAnsi="Arial"/>
                <w:sz w:val="18"/>
                <w:szCs w:val="18"/>
                <w:color w:val="auto"/>
              </w:rPr>
              <w:t>Equity securities:</w:t>
            </w:r>
          </w:p>
        </w:tc>
        <w:tc>
          <w:tcPr>
            <w:tcW w:w="25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43"/>
        </w:trPr>
        <w:tc>
          <w:tcPr>
            <w:tcW w:w="4360" w:type="dxa"/>
            <w:vAlign w:val="bottom"/>
            <w:shd w:val="clear" w:color="auto" w:fill="E6E6E6"/>
          </w:tcPr>
          <w:p>
            <w:pPr>
              <w:spacing w:after="0" w:line="243" w:lineRule="exact"/>
              <w:rPr>
                <w:sz w:val="20"/>
                <w:szCs w:val="20"/>
                <w:color w:val="auto"/>
              </w:rPr>
            </w:pPr>
            <w:r>
              <w:rPr>
                <w:rFonts w:ascii="Arial" w:cs="Arial" w:eastAsia="Arial" w:hAnsi="Arial"/>
                <w:sz w:val="17"/>
                <w:szCs w:val="17"/>
                <w:color w:val="auto"/>
              </w:rPr>
              <w:t>U.S.</w:t>
            </w:r>
            <w:r>
              <w:rPr>
                <w:rFonts w:ascii="Arial" w:cs="Arial" w:eastAsia="Arial" w:hAnsi="Arial"/>
                <w:sz w:val="28"/>
                <w:szCs w:val="28"/>
                <w:color w:val="auto"/>
                <w:vertAlign w:val="superscript"/>
              </w:rPr>
              <w:t>(1)</w:t>
            </w:r>
          </w:p>
        </w:tc>
        <w:tc>
          <w:tcPr>
            <w:tcW w:w="2520" w:type="dxa"/>
            <w:vAlign w:val="bottom"/>
            <w:shd w:val="clear" w:color="auto" w:fill="E6E6E6"/>
          </w:tcPr>
          <w:p>
            <w:pPr>
              <w:spacing w:after="0"/>
              <w:rPr>
                <w:sz w:val="21"/>
                <w:szCs w:val="21"/>
                <w:color w:val="auto"/>
              </w:rPr>
            </w:pPr>
          </w:p>
        </w:tc>
        <w:tc>
          <w:tcPr>
            <w:tcW w:w="800" w:type="dxa"/>
            <w:vAlign w:val="bottom"/>
            <w:shd w:val="clear" w:color="auto" w:fill="E6E6E6"/>
          </w:tcPr>
          <w:p>
            <w:pPr>
              <w:jc w:val="right"/>
              <w:ind w:right="75"/>
              <w:spacing w:after="0"/>
              <w:rPr>
                <w:sz w:val="20"/>
                <w:szCs w:val="20"/>
                <w:color w:val="auto"/>
              </w:rPr>
            </w:pPr>
            <w:r>
              <w:rPr>
                <w:rFonts w:ascii="Arial" w:cs="Arial" w:eastAsia="Arial" w:hAnsi="Arial"/>
                <w:sz w:val="18"/>
                <w:szCs w:val="18"/>
                <w:color w:val="auto"/>
              </w:rPr>
              <w:t>54.0</w:t>
            </w:r>
          </w:p>
        </w:tc>
        <w:tc>
          <w:tcPr>
            <w:tcW w:w="460" w:type="dxa"/>
            <w:vAlign w:val="bottom"/>
            <w:shd w:val="clear" w:color="auto" w:fill="E6E6E6"/>
          </w:tcPr>
          <w:p>
            <w:pPr>
              <w:spacing w:after="0"/>
              <w:rPr>
                <w:sz w:val="21"/>
                <w:szCs w:val="21"/>
                <w:color w:val="auto"/>
              </w:rPr>
            </w:pPr>
          </w:p>
        </w:tc>
        <w:tc>
          <w:tcPr>
            <w:tcW w:w="800" w:type="dxa"/>
            <w:vAlign w:val="bottom"/>
            <w:shd w:val="clear" w:color="auto" w:fill="E6E6E6"/>
          </w:tcPr>
          <w:p>
            <w:pPr>
              <w:jc w:val="right"/>
              <w:ind w:right="75"/>
              <w:spacing w:after="0"/>
              <w:rPr>
                <w:sz w:val="20"/>
                <w:szCs w:val="20"/>
                <w:color w:val="auto"/>
              </w:rPr>
            </w:pPr>
            <w:r>
              <w:rPr>
                <w:rFonts w:ascii="Arial" w:cs="Arial" w:eastAsia="Arial" w:hAnsi="Arial"/>
                <w:sz w:val="18"/>
                <w:szCs w:val="18"/>
                <w:color w:val="auto"/>
              </w:rPr>
              <w:t>54.0</w:t>
            </w:r>
          </w:p>
        </w:tc>
        <w:tc>
          <w:tcPr>
            <w:tcW w:w="480" w:type="dxa"/>
            <w:vAlign w:val="bottom"/>
            <w:shd w:val="clear" w:color="auto" w:fill="E6E6E6"/>
          </w:tcPr>
          <w:p>
            <w:pPr>
              <w:spacing w:after="0"/>
              <w:rPr>
                <w:sz w:val="21"/>
                <w:szCs w:val="21"/>
                <w:color w:val="auto"/>
              </w:rPr>
            </w:pPr>
          </w:p>
        </w:tc>
        <w:tc>
          <w:tcPr>
            <w:tcW w:w="780" w:type="dxa"/>
            <w:vAlign w:val="bottom"/>
            <w:shd w:val="clear" w:color="auto" w:fill="E6E6E6"/>
          </w:tcPr>
          <w:p>
            <w:pPr>
              <w:jc w:val="right"/>
              <w:ind w:right="95"/>
              <w:spacing w:after="0"/>
              <w:rPr>
                <w:sz w:val="20"/>
                <w:szCs w:val="20"/>
                <w:color w:val="auto"/>
              </w:rPr>
            </w:pPr>
            <w:r>
              <w:rPr>
                <w:rFonts w:ascii="Arial" w:cs="Arial" w:eastAsia="Arial" w:hAnsi="Arial"/>
                <w:sz w:val="18"/>
                <w:szCs w:val="18"/>
                <w:color w:val="auto"/>
              </w:rPr>
              <w:t>—</w:t>
            </w:r>
          </w:p>
        </w:tc>
        <w:tc>
          <w:tcPr>
            <w:tcW w:w="480" w:type="dxa"/>
            <w:vAlign w:val="bottom"/>
            <w:shd w:val="clear" w:color="auto" w:fill="E6E6E6"/>
          </w:tcPr>
          <w:p>
            <w:pPr>
              <w:spacing w:after="0"/>
              <w:rPr>
                <w:sz w:val="21"/>
                <w:szCs w:val="21"/>
                <w:color w:val="auto"/>
              </w:rPr>
            </w:pPr>
          </w:p>
        </w:tc>
        <w:tc>
          <w:tcPr>
            <w:tcW w:w="740" w:type="dxa"/>
            <w:vAlign w:val="bottom"/>
            <w:shd w:val="clear" w:color="auto" w:fill="E6E6E6"/>
          </w:tcPr>
          <w:p>
            <w:pPr>
              <w:jc w:val="right"/>
              <w:ind w:right="35"/>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r>
      <w:tr>
        <w:trPr>
          <w:trHeight w:val="243"/>
        </w:trPr>
        <w:tc>
          <w:tcPr>
            <w:tcW w:w="4360" w:type="dxa"/>
            <w:vAlign w:val="bottom"/>
          </w:tcPr>
          <w:p>
            <w:pPr>
              <w:spacing w:after="0" w:line="243" w:lineRule="exact"/>
              <w:rPr>
                <w:sz w:val="20"/>
                <w:szCs w:val="20"/>
                <w:color w:val="auto"/>
              </w:rPr>
            </w:pPr>
            <w:r>
              <w:rPr>
                <w:rFonts w:ascii="Arial" w:cs="Arial" w:eastAsia="Arial" w:hAnsi="Arial"/>
                <w:sz w:val="17"/>
                <w:szCs w:val="17"/>
                <w:color w:val="auto"/>
              </w:rPr>
              <w:t>International</w:t>
            </w:r>
            <w:r>
              <w:rPr>
                <w:rFonts w:ascii="Arial" w:cs="Arial" w:eastAsia="Arial" w:hAnsi="Arial"/>
                <w:sz w:val="28"/>
                <w:szCs w:val="28"/>
                <w:color w:val="auto"/>
                <w:vertAlign w:val="superscript"/>
              </w:rPr>
              <w:t>(2)</w:t>
            </w:r>
          </w:p>
        </w:tc>
        <w:tc>
          <w:tcPr>
            <w:tcW w:w="2520" w:type="dxa"/>
            <w:vAlign w:val="bottom"/>
          </w:tcPr>
          <w:p>
            <w:pPr>
              <w:spacing w:after="0"/>
              <w:rPr>
                <w:sz w:val="21"/>
                <w:szCs w:val="21"/>
                <w:color w:val="auto"/>
              </w:rPr>
            </w:pPr>
          </w:p>
        </w:tc>
        <w:tc>
          <w:tcPr>
            <w:tcW w:w="800" w:type="dxa"/>
            <w:vAlign w:val="bottom"/>
          </w:tcPr>
          <w:p>
            <w:pPr>
              <w:jc w:val="right"/>
              <w:ind w:right="75"/>
              <w:spacing w:after="0"/>
              <w:rPr>
                <w:sz w:val="20"/>
                <w:szCs w:val="20"/>
                <w:color w:val="auto"/>
              </w:rPr>
            </w:pPr>
            <w:r>
              <w:rPr>
                <w:rFonts w:ascii="Arial" w:cs="Arial" w:eastAsia="Arial" w:hAnsi="Arial"/>
                <w:sz w:val="18"/>
                <w:szCs w:val="18"/>
                <w:color w:val="auto"/>
              </w:rPr>
              <w:t>23.1</w:t>
            </w:r>
          </w:p>
        </w:tc>
        <w:tc>
          <w:tcPr>
            <w:tcW w:w="460" w:type="dxa"/>
            <w:vAlign w:val="bottom"/>
          </w:tcPr>
          <w:p>
            <w:pPr>
              <w:spacing w:after="0"/>
              <w:rPr>
                <w:sz w:val="21"/>
                <w:szCs w:val="21"/>
                <w:color w:val="auto"/>
              </w:rPr>
            </w:pPr>
          </w:p>
        </w:tc>
        <w:tc>
          <w:tcPr>
            <w:tcW w:w="800" w:type="dxa"/>
            <w:vAlign w:val="bottom"/>
          </w:tcPr>
          <w:p>
            <w:pPr>
              <w:jc w:val="right"/>
              <w:ind w:right="75"/>
              <w:spacing w:after="0"/>
              <w:rPr>
                <w:sz w:val="20"/>
                <w:szCs w:val="20"/>
                <w:color w:val="auto"/>
              </w:rPr>
            </w:pPr>
            <w:r>
              <w:rPr>
                <w:rFonts w:ascii="Arial" w:cs="Arial" w:eastAsia="Arial" w:hAnsi="Arial"/>
                <w:sz w:val="18"/>
                <w:szCs w:val="18"/>
                <w:color w:val="auto"/>
              </w:rPr>
              <w:t>13.7</w:t>
            </w:r>
          </w:p>
        </w:tc>
        <w:tc>
          <w:tcPr>
            <w:tcW w:w="480" w:type="dxa"/>
            <w:vAlign w:val="bottom"/>
          </w:tcPr>
          <w:p>
            <w:pPr>
              <w:spacing w:after="0"/>
              <w:rPr>
                <w:sz w:val="21"/>
                <w:szCs w:val="21"/>
                <w:color w:val="auto"/>
              </w:rPr>
            </w:pPr>
          </w:p>
        </w:tc>
        <w:tc>
          <w:tcPr>
            <w:tcW w:w="780" w:type="dxa"/>
            <w:vAlign w:val="bottom"/>
          </w:tcPr>
          <w:p>
            <w:pPr>
              <w:jc w:val="right"/>
              <w:ind w:right="95"/>
              <w:spacing w:after="0"/>
              <w:rPr>
                <w:sz w:val="20"/>
                <w:szCs w:val="20"/>
                <w:color w:val="auto"/>
              </w:rPr>
            </w:pPr>
            <w:r>
              <w:rPr>
                <w:rFonts w:ascii="Arial" w:cs="Arial" w:eastAsia="Arial" w:hAnsi="Arial"/>
                <w:sz w:val="18"/>
                <w:szCs w:val="18"/>
                <w:color w:val="auto"/>
              </w:rPr>
              <w:t>9.4</w:t>
            </w:r>
          </w:p>
        </w:tc>
        <w:tc>
          <w:tcPr>
            <w:tcW w:w="480" w:type="dxa"/>
            <w:vAlign w:val="bottom"/>
          </w:tcPr>
          <w:p>
            <w:pPr>
              <w:spacing w:after="0"/>
              <w:rPr>
                <w:sz w:val="21"/>
                <w:szCs w:val="21"/>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43"/>
        </w:trPr>
        <w:tc>
          <w:tcPr>
            <w:tcW w:w="4360" w:type="dxa"/>
            <w:vAlign w:val="bottom"/>
            <w:shd w:val="clear" w:color="auto" w:fill="E6E6E6"/>
          </w:tcPr>
          <w:p>
            <w:pPr>
              <w:spacing w:after="0" w:line="243" w:lineRule="exact"/>
              <w:rPr>
                <w:sz w:val="20"/>
                <w:szCs w:val="20"/>
                <w:color w:val="auto"/>
              </w:rPr>
            </w:pPr>
            <w:r>
              <w:rPr>
                <w:rFonts w:ascii="Arial" w:cs="Arial" w:eastAsia="Arial" w:hAnsi="Arial"/>
                <w:sz w:val="17"/>
                <w:szCs w:val="17"/>
                <w:color w:val="auto"/>
              </w:rPr>
              <w:t>Fixed Income</w:t>
            </w:r>
            <w:r>
              <w:rPr>
                <w:rFonts w:ascii="Arial" w:cs="Arial" w:eastAsia="Arial" w:hAnsi="Arial"/>
                <w:sz w:val="28"/>
                <w:szCs w:val="28"/>
                <w:color w:val="auto"/>
                <w:vertAlign w:val="superscript"/>
              </w:rPr>
              <w:t>(3)</w:t>
            </w:r>
          </w:p>
        </w:tc>
        <w:tc>
          <w:tcPr>
            <w:tcW w:w="2520" w:type="dxa"/>
            <w:vAlign w:val="bottom"/>
            <w:shd w:val="clear" w:color="auto" w:fill="E6E6E6"/>
          </w:tcPr>
          <w:p>
            <w:pPr>
              <w:spacing w:after="0"/>
              <w:rPr>
                <w:sz w:val="21"/>
                <w:szCs w:val="21"/>
                <w:color w:val="auto"/>
              </w:rPr>
            </w:pPr>
          </w:p>
        </w:tc>
        <w:tc>
          <w:tcPr>
            <w:tcW w:w="800" w:type="dxa"/>
            <w:vAlign w:val="bottom"/>
            <w:shd w:val="clear" w:color="auto" w:fill="E6E6E6"/>
          </w:tcPr>
          <w:p>
            <w:pPr>
              <w:jc w:val="right"/>
              <w:ind w:right="75"/>
              <w:spacing w:after="0"/>
              <w:rPr>
                <w:sz w:val="20"/>
                <w:szCs w:val="20"/>
                <w:color w:val="auto"/>
              </w:rPr>
            </w:pPr>
            <w:r>
              <w:rPr>
                <w:rFonts w:ascii="Arial" w:cs="Arial" w:eastAsia="Arial" w:hAnsi="Arial"/>
                <w:sz w:val="18"/>
                <w:szCs w:val="18"/>
                <w:color w:val="auto"/>
              </w:rPr>
              <w:t>41.0</w:t>
            </w:r>
          </w:p>
        </w:tc>
        <w:tc>
          <w:tcPr>
            <w:tcW w:w="460" w:type="dxa"/>
            <w:vAlign w:val="bottom"/>
            <w:shd w:val="clear" w:color="auto" w:fill="E6E6E6"/>
          </w:tcPr>
          <w:p>
            <w:pPr>
              <w:spacing w:after="0"/>
              <w:rPr>
                <w:sz w:val="21"/>
                <w:szCs w:val="21"/>
                <w:color w:val="auto"/>
              </w:rPr>
            </w:pPr>
          </w:p>
        </w:tc>
        <w:tc>
          <w:tcPr>
            <w:tcW w:w="800" w:type="dxa"/>
            <w:vAlign w:val="bottom"/>
            <w:shd w:val="clear" w:color="auto" w:fill="E6E6E6"/>
          </w:tcPr>
          <w:p>
            <w:pPr>
              <w:jc w:val="right"/>
              <w:ind w:right="75"/>
              <w:spacing w:after="0"/>
              <w:rPr>
                <w:sz w:val="20"/>
                <w:szCs w:val="20"/>
                <w:color w:val="auto"/>
              </w:rPr>
            </w:pPr>
            <w:r>
              <w:rPr>
                <w:rFonts w:ascii="Arial" w:cs="Arial" w:eastAsia="Arial" w:hAnsi="Arial"/>
                <w:sz w:val="18"/>
                <w:szCs w:val="18"/>
                <w:color w:val="auto"/>
              </w:rPr>
              <w:t>34.7</w:t>
            </w:r>
          </w:p>
        </w:tc>
        <w:tc>
          <w:tcPr>
            <w:tcW w:w="480" w:type="dxa"/>
            <w:vAlign w:val="bottom"/>
            <w:shd w:val="clear" w:color="auto" w:fill="E6E6E6"/>
          </w:tcPr>
          <w:p>
            <w:pPr>
              <w:spacing w:after="0"/>
              <w:rPr>
                <w:sz w:val="21"/>
                <w:szCs w:val="21"/>
                <w:color w:val="auto"/>
              </w:rPr>
            </w:pPr>
          </w:p>
        </w:tc>
        <w:tc>
          <w:tcPr>
            <w:tcW w:w="780" w:type="dxa"/>
            <w:vAlign w:val="bottom"/>
            <w:shd w:val="clear" w:color="auto" w:fill="E6E6E6"/>
          </w:tcPr>
          <w:p>
            <w:pPr>
              <w:jc w:val="right"/>
              <w:ind w:right="95"/>
              <w:spacing w:after="0"/>
              <w:rPr>
                <w:sz w:val="20"/>
                <w:szCs w:val="20"/>
                <w:color w:val="auto"/>
              </w:rPr>
            </w:pPr>
            <w:r>
              <w:rPr>
                <w:rFonts w:ascii="Arial" w:cs="Arial" w:eastAsia="Arial" w:hAnsi="Arial"/>
                <w:sz w:val="18"/>
                <w:szCs w:val="18"/>
                <w:color w:val="auto"/>
              </w:rPr>
              <w:t>6.3</w:t>
            </w:r>
          </w:p>
        </w:tc>
        <w:tc>
          <w:tcPr>
            <w:tcW w:w="480" w:type="dxa"/>
            <w:vAlign w:val="bottom"/>
            <w:shd w:val="clear" w:color="auto" w:fill="E6E6E6"/>
          </w:tcPr>
          <w:p>
            <w:pPr>
              <w:spacing w:after="0"/>
              <w:rPr>
                <w:sz w:val="21"/>
                <w:szCs w:val="21"/>
                <w:color w:val="auto"/>
              </w:rPr>
            </w:pPr>
          </w:p>
        </w:tc>
        <w:tc>
          <w:tcPr>
            <w:tcW w:w="740" w:type="dxa"/>
            <w:vAlign w:val="bottom"/>
            <w:shd w:val="clear" w:color="auto" w:fill="E6E6E6"/>
          </w:tcPr>
          <w:p>
            <w:pPr>
              <w:jc w:val="right"/>
              <w:ind w:right="35"/>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r>
      <w:tr>
        <w:trPr>
          <w:trHeight w:val="203"/>
        </w:trPr>
        <w:tc>
          <w:tcPr>
            <w:tcW w:w="4360" w:type="dxa"/>
            <w:vAlign w:val="bottom"/>
          </w:tcPr>
          <w:p>
            <w:pPr>
              <w:spacing w:after="0" w:line="202" w:lineRule="exact"/>
              <w:rPr>
                <w:sz w:val="20"/>
                <w:szCs w:val="20"/>
                <w:color w:val="auto"/>
              </w:rPr>
            </w:pPr>
            <w:r>
              <w:rPr>
                <w:rFonts w:ascii="Arial" w:cs="Arial" w:eastAsia="Arial" w:hAnsi="Arial"/>
                <w:sz w:val="18"/>
                <w:szCs w:val="18"/>
                <w:color w:val="auto"/>
              </w:rPr>
              <w:t>Annuities</w:t>
            </w:r>
          </w:p>
        </w:tc>
        <w:tc>
          <w:tcPr>
            <w:tcW w:w="2520" w:type="dxa"/>
            <w:vAlign w:val="bottom"/>
          </w:tcPr>
          <w:p>
            <w:pPr>
              <w:spacing w:after="0"/>
              <w:rPr>
                <w:sz w:val="17"/>
                <w:szCs w:val="17"/>
                <w:color w:val="auto"/>
              </w:rPr>
            </w:pPr>
          </w:p>
        </w:tc>
        <w:tc>
          <w:tcPr>
            <w:tcW w:w="800" w:type="dxa"/>
            <w:vAlign w:val="bottom"/>
          </w:tcPr>
          <w:p>
            <w:pPr>
              <w:jc w:val="right"/>
              <w:ind w:right="75"/>
              <w:spacing w:after="0" w:line="202" w:lineRule="exact"/>
              <w:rPr>
                <w:sz w:val="20"/>
                <w:szCs w:val="20"/>
                <w:color w:val="auto"/>
              </w:rPr>
            </w:pPr>
            <w:r>
              <w:rPr>
                <w:rFonts w:ascii="Arial" w:cs="Arial" w:eastAsia="Arial" w:hAnsi="Arial"/>
                <w:sz w:val="18"/>
                <w:szCs w:val="18"/>
                <w:color w:val="auto"/>
              </w:rPr>
              <w:t>4.9</w:t>
            </w:r>
          </w:p>
        </w:tc>
        <w:tc>
          <w:tcPr>
            <w:tcW w:w="460" w:type="dxa"/>
            <w:vAlign w:val="bottom"/>
          </w:tcPr>
          <w:p>
            <w:pPr>
              <w:spacing w:after="0"/>
              <w:rPr>
                <w:sz w:val="17"/>
                <w:szCs w:val="17"/>
                <w:color w:val="auto"/>
              </w:rPr>
            </w:pPr>
          </w:p>
        </w:tc>
        <w:tc>
          <w:tcPr>
            <w:tcW w:w="800" w:type="dxa"/>
            <w:vAlign w:val="bottom"/>
          </w:tcPr>
          <w:p>
            <w:pPr>
              <w:jc w:val="right"/>
              <w:ind w:right="75"/>
              <w:spacing w:after="0" w:line="202" w:lineRule="exact"/>
              <w:rPr>
                <w:sz w:val="20"/>
                <w:szCs w:val="20"/>
                <w:color w:val="auto"/>
              </w:rPr>
            </w:pPr>
            <w:r>
              <w:rPr>
                <w:rFonts w:ascii="Arial" w:cs="Arial" w:eastAsia="Arial" w:hAnsi="Arial"/>
                <w:sz w:val="18"/>
                <w:szCs w:val="18"/>
                <w:color w:val="auto"/>
              </w:rPr>
              <w:t>—</w:t>
            </w:r>
          </w:p>
        </w:tc>
        <w:tc>
          <w:tcPr>
            <w:tcW w:w="480" w:type="dxa"/>
            <w:vAlign w:val="bottom"/>
          </w:tcPr>
          <w:p>
            <w:pPr>
              <w:spacing w:after="0"/>
              <w:rPr>
                <w:sz w:val="17"/>
                <w:szCs w:val="17"/>
                <w:color w:val="auto"/>
              </w:rPr>
            </w:pPr>
          </w:p>
        </w:tc>
        <w:tc>
          <w:tcPr>
            <w:tcW w:w="780" w:type="dxa"/>
            <w:vAlign w:val="bottom"/>
          </w:tcPr>
          <w:p>
            <w:pPr>
              <w:jc w:val="right"/>
              <w:ind w:right="95"/>
              <w:spacing w:after="0" w:line="202" w:lineRule="exact"/>
              <w:rPr>
                <w:sz w:val="20"/>
                <w:szCs w:val="20"/>
                <w:color w:val="auto"/>
              </w:rPr>
            </w:pPr>
            <w:r>
              <w:rPr>
                <w:rFonts w:ascii="Arial" w:cs="Arial" w:eastAsia="Arial" w:hAnsi="Arial"/>
                <w:sz w:val="18"/>
                <w:szCs w:val="18"/>
                <w:color w:val="auto"/>
              </w:rPr>
              <w:t>—</w:t>
            </w:r>
          </w:p>
        </w:tc>
        <w:tc>
          <w:tcPr>
            <w:tcW w:w="480" w:type="dxa"/>
            <w:vAlign w:val="bottom"/>
          </w:tcPr>
          <w:p>
            <w:pPr>
              <w:spacing w:after="0"/>
              <w:rPr>
                <w:sz w:val="17"/>
                <w:szCs w:val="17"/>
                <w:color w:val="auto"/>
              </w:rPr>
            </w:pPr>
          </w:p>
        </w:tc>
        <w:tc>
          <w:tcPr>
            <w:tcW w:w="740" w:type="dxa"/>
            <w:vAlign w:val="bottom"/>
          </w:tcPr>
          <w:p>
            <w:pPr>
              <w:jc w:val="right"/>
              <w:ind w:right="35"/>
              <w:spacing w:after="0" w:line="202" w:lineRule="exact"/>
              <w:rPr>
                <w:sz w:val="20"/>
                <w:szCs w:val="20"/>
                <w:color w:val="auto"/>
              </w:rPr>
            </w:pPr>
            <w:r>
              <w:rPr>
                <w:rFonts w:ascii="Arial" w:cs="Arial" w:eastAsia="Arial" w:hAnsi="Arial"/>
                <w:sz w:val="18"/>
                <w:szCs w:val="18"/>
                <w:color w:val="auto"/>
              </w:rPr>
              <w:t>4.9</w:t>
            </w:r>
          </w:p>
        </w:tc>
        <w:tc>
          <w:tcPr>
            <w:tcW w:w="20" w:type="dxa"/>
            <w:vAlign w:val="bottom"/>
          </w:tcPr>
          <w:p>
            <w:pPr>
              <w:spacing w:after="0"/>
              <w:rPr>
                <w:sz w:val="17"/>
                <w:szCs w:val="17"/>
                <w:color w:val="auto"/>
              </w:rPr>
            </w:pPr>
          </w:p>
        </w:tc>
      </w:tr>
      <w:tr>
        <w:trPr>
          <w:trHeight w:val="243"/>
        </w:trPr>
        <w:tc>
          <w:tcPr>
            <w:tcW w:w="4360" w:type="dxa"/>
            <w:vAlign w:val="bottom"/>
            <w:shd w:val="clear" w:color="auto" w:fill="E6E6E6"/>
          </w:tcPr>
          <w:p>
            <w:pPr>
              <w:spacing w:after="0" w:line="243" w:lineRule="exact"/>
              <w:rPr>
                <w:sz w:val="20"/>
                <w:szCs w:val="20"/>
                <w:color w:val="auto"/>
              </w:rPr>
            </w:pPr>
            <w:r>
              <w:rPr>
                <w:rFonts w:ascii="Arial" w:cs="Arial" w:eastAsia="Arial" w:hAnsi="Arial"/>
                <w:sz w:val="17"/>
                <w:szCs w:val="17"/>
                <w:color w:val="auto"/>
              </w:rPr>
              <w:t>Real estate</w:t>
            </w:r>
            <w:r>
              <w:rPr>
                <w:rFonts w:ascii="Arial" w:cs="Arial" w:eastAsia="Arial" w:hAnsi="Arial"/>
                <w:sz w:val="28"/>
                <w:szCs w:val="28"/>
                <w:color w:val="auto"/>
                <w:vertAlign w:val="superscript"/>
              </w:rPr>
              <w:t>(4)</w:t>
            </w:r>
          </w:p>
        </w:tc>
        <w:tc>
          <w:tcPr>
            <w:tcW w:w="2520" w:type="dxa"/>
            <w:vAlign w:val="bottom"/>
            <w:shd w:val="clear" w:color="auto" w:fill="E6E6E6"/>
          </w:tcPr>
          <w:p>
            <w:pPr>
              <w:spacing w:after="0"/>
              <w:rPr>
                <w:sz w:val="21"/>
                <w:szCs w:val="21"/>
                <w:color w:val="auto"/>
              </w:rPr>
            </w:pPr>
          </w:p>
        </w:tc>
        <w:tc>
          <w:tcPr>
            <w:tcW w:w="800" w:type="dxa"/>
            <w:vAlign w:val="bottom"/>
            <w:shd w:val="clear" w:color="auto" w:fill="E6E6E6"/>
          </w:tcPr>
          <w:p>
            <w:pPr>
              <w:jc w:val="right"/>
              <w:ind w:right="75"/>
              <w:spacing w:after="0"/>
              <w:rPr>
                <w:sz w:val="20"/>
                <w:szCs w:val="20"/>
                <w:color w:val="auto"/>
              </w:rPr>
            </w:pPr>
            <w:r>
              <w:rPr>
                <w:rFonts w:ascii="Arial" w:cs="Arial" w:eastAsia="Arial" w:hAnsi="Arial"/>
                <w:sz w:val="18"/>
                <w:szCs w:val="18"/>
                <w:color w:val="auto"/>
              </w:rPr>
              <w:t>1.0</w:t>
            </w:r>
          </w:p>
        </w:tc>
        <w:tc>
          <w:tcPr>
            <w:tcW w:w="460" w:type="dxa"/>
            <w:vAlign w:val="bottom"/>
            <w:shd w:val="clear" w:color="auto" w:fill="E6E6E6"/>
          </w:tcPr>
          <w:p>
            <w:pPr>
              <w:spacing w:after="0"/>
              <w:rPr>
                <w:sz w:val="21"/>
                <w:szCs w:val="21"/>
                <w:color w:val="auto"/>
              </w:rPr>
            </w:pPr>
          </w:p>
        </w:tc>
        <w:tc>
          <w:tcPr>
            <w:tcW w:w="800" w:type="dxa"/>
            <w:vAlign w:val="bottom"/>
            <w:shd w:val="clear" w:color="auto" w:fill="E6E6E6"/>
          </w:tcPr>
          <w:p>
            <w:pPr>
              <w:jc w:val="right"/>
              <w:ind w:right="75"/>
              <w:spacing w:after="0"/>
              <w:rPr>
                <w:sz w:val="20"/>
                <w:szCs w:val="20"/>
                <w:color w:val="auto"/>
              </w:rPr>
            </w:pPr>
            <w:r>
              <w:rPr>
                <w:rFonts w:ascii="Arial" w:cs="Arial" w:eastAsia="Arial" w:hAnsi="Arial"/>
                <w:sz w:val="18"/>
                <w:szCs w:val="18"/>
                <w:color w:val="auto"/>
              </w:rPr>
              <w:t>—</w:t>
            </w:r>
          </w:p>
        </w:tc>
        <w:tc>
          <w:tcPr>
            <w:tcW w:w="480" w:type="dxa"/>
            <w:vAlign w:val="bottom"/>
            <w:shd w:val="clear" w:color="auto" w:fill="E6E6E6"/>
          </w:tcPr>
          <w:p>
            <w:pPr>
              <w:spacing w:after="0"/>
              <w:rPr>
                <w:sz w:val="21"/>
                <w:szCs w:val="21"/>
                <w:color w:val="auto"/>
              </w:rPr>
            </w:pPr>
          </w:p>
        </w:tc>
        <w:tc>
          <w:tcPr>
            <w:tcW w:w="780" w:type="dxa"/>
            <w:vAlign w:val="bottom"/>
            <w:shd w:val="clear" w:color="auto" w:fill="E6E6E6"/>
          </w:tcPr>
          <w:p>
            <w:pPr>
              <w:jc w:val="right"/>
              <w:ind w:right="95"/>
              <w:spacing w:after="0"/>
              <w:rPr>
                <w:sz w:val="20"/>
                <w:szCs w:val="20"/>
                <w:color w:val="auto"/>
              </w:rPr>
            </w:pPr>
            <w:r>
              <w:rPr>
                <w:rFonts w:ascii="Arial" w:cs="Arial" w:eastAsia="Arial" w:hAnsi="Arial"/>
                <w:sz w:val="18"/>
                <w:szCs w:val="18"/>
                <w:color w:val="auto"/>
              </w:rPr>
              <w:t>1.0</w:t>
            </w:r>
          </w:p>
        </w:tc>
        <w:tc>
          <w:tcPr>
            <w:tcW w:w="480" w:type="dxa"/>
            <w:vAlign w:val="bottom"/>
            <w:shd w:val="clear" w:color="auto" w:fill="E6E6E6"/>
          </w:tcPr>
          <w:p>
            <w:pPr>
              <w:spacing w:after="0"/>
              <w:rPr>
                <w:sz w:val="21"/>
                <w:szCs w:val="21"/>
                <w:color w:val="auto"/>
              </w:rPr>
            </w:pPr>
          </w:p>
        </w:tc>
        <w:tc>
          <w:tcPr>
            <w:tcW w:w="740" w:type="dxa"/>
            <w:vAlign w:val="bottom"/>
            <w:shd w:val="clear" w:color="auto" w:fill="E6E6E6"/>
          </w:tcPr>
          <w:p>
            <w:pPr>
              <w:jc w:val="right"/>
              <w:ind w:right="35"/>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r>
      <w:tr>
        <w:trPr>
          <w:trHeight w:val="108"/>
        </w:trPr>
        <w:tc>
          <w:tcPr>
            <w:tcW w:w="4360" w:type="dxa"/>
            <w:vAlign w:val="bottom"/>
            <w:tcBorders>
              <w:bottom w:val="single" w:sz="8" w:color="808080"/>
            </w:tcBorders>
          </w:tcPr>
          <w:p>
            <w:pPr>
              <w:spacing w:after="0"/>
              <w:rPr>
                <w:sz w:val="9"/>
                <w:szCs w:val="9"/>
                <w:color w:val="auto"/>
              </w:rPr>
            </w:pPr>
          </w:p>
        </w:tc>
        <w:tc>
          <w:tcPr>
            <w:tcW w:w="252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r>
      <w:tr>
        <w:trPr>
          <w:trHeight w:val="316"/>
        </w:trPr>
        <w:tc>
          <w:tcPr>
            <w:tcW w:w="4360" w:type="dxa"/>
            <w:vAlign w:val="bottom"/>
          </w:tcPr>
          <w:p>
            <w:pPr>
              <w:spacing w:after="0"/>
              <w:rPr>
                <w:sz w:val="24"/>
                <w:szCs w:val="24"/>
                <w:color w:val="auto"/>
              </w:rPr>
            </w:pPr>
          </w:p>
        </w:tc>
        <w:tc>
          <w:tcPr>
            <w:tcW w:w="25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75"/>
              <w:spacing w:after="0"/>
              <w:rPr>
                <w:sz w:val="20"/>
                <w:szCs w:val="20"/>
                <w:color w:val="auto"/>
              </w:rPr>
            </w:pPr>
            <w:r>
              <w:rPr>
                <w:rFonts w:ascii="Arial" w:cs="Arial" w:eastAsia="Arial" w:hAnsi="Arial"/>
                <w:sz w:val="18"/>
                <w:szCs w:val="18"/>
                <w:color w:val="auto"/>
              </w:rPr>
              <w:t>126.5</w:t>
            </w:r>
          </w:p>
        </w:tc>
        <w:tc>
          <w:tcPr>
            <w:tcW w:w="46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75"/>
              <w:spacing w:after="0"/>
              <w:rPr>
                <w:sz w:val="20"/>
                <w:szCs w:val="20"/>
                <w:color w:val="auto"/>
              </w:rPr>
            </w:pPr>
            <w:r>
              <w:rPr>
                <w:rFonts w:ascii="Arial" w:cs="Arial" w:eastAsia="Arial" w:hAnsi="Arial"/>
                <w:sz w:val="18"/>
                <w:szCs w:val="18"/>
                <w:color w:val="auto"/>
              </w:rPr>
              <w:t>104.9</w:t>
            </w:r>
          </w:p>
        </w:tc>
        <w:tc>
          <w:tcPr>
            <w:tcW w:w="48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95"/>
              <w:spacing w:after="0"/>
              <w:rPr>
                <w:sz w:val="20"/>
                <w:szCs w:val="20"/>
                <w:color w:val="auto"/>
              </w:rPr>
            </w:pPr>
            <w:r>
              <w:rPr>
                <w:rFonts w:ascii="Arial" w:cs="Arial" w:eastAsia="Arial" w:hAnsi="Arial"/>
                <w:sz w:val="18"/>
                <w:szCs w:val="18"/>
                <w:color w:val="auto"/>
              </w:rPr>
              <w:t>16.7</w:t>
            </w:r>
          </w:p>
        </w:tc>
        <w:tc>
          <w:tcPr>
            <w:tcW w:w="48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35"/>
              <w:spacing w:after="0"/>
              <w:rPr>
                <w:sz w:val="20"/>
                <w:szCs w:val="20"/>
                <w:color w:val="auto"/>
              </w:rPr>
            </w:pPr>
            <w:r>
              <w:rPr>
                <w:rFonts w:ascii="Arial" w:cs="Arial" w:eastAsia="Arial" w:hAnsi="Arial"/>
                <w:sz w:val="18"/>
                <w:szCs w:val="18"/>
                <w:color w:val="auto"/>
              </w:rPr>
              <w:t>4.9</w:t>
            </w:r>
          </w:p>
        </w:tc>
        <w:tc>
          <w:tcPr>
            <w:tcW w:w="20" w:type="dxa"/>
            <w:vAlign w:val="bottom"/>
          </w:tcPr>
          <w:p>
            <w:pPr>
              <w:spacing w:after="0"/>
              <w:rPr>
                <w:sz w:val="24"/>
                <w:szCs w:val="24"/>
                <w:color w:val="auto"/>
              </w:rPr>
            </w:pPr>
          </w:p>
        </w:tc>
      </w:tr>
      <w:tr>
        <w:trPr>
          <w:trHeight w:val="97"/>
        </w:trPr>
        <w:tc>
          <w:tcPr>
            <w:tcW w:w="4360" w:type="dxa"/>
            <w:vAlign w:val="bottom"/>
            <w:tcBorders>
              <w:bottom w:val="single" w:sz="8" w:color="808080"/>
            </w:tcBorders>
          </w:tcPr>
          <w:p>
            <w:pPr>
              <w:spacing w:after="0"/>
              <w:rPr>
                <w:sz w:val="8"/>
                <w:szCs w:val="8"/>
                <w:color w:val="auto"/>
              </w:rPr>
            </w:pPr>
          </w:p>
        </w:tc>
        <w:tc>
          <w:tcPr>
            <w:tcW w:w="252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r>
    </w:tbl>
    <w:p>
      <w:pPr>
        <w:spacing w:after="0" w:line="354" w:lineRule="exact"/>
        <w:rPr>
          <w:sz w:val="20"/>
          <w:szCs w:val="20"/>
          <w:color w:val="auto"/>
        </w:rPr>
      </w:pPr>
    </w:p>
    <w:p>
      <w:pPr>
        <w:ind w:left="460" w:hanging="452"/>
        <w:spacing w:after="0"/>
        <w:tabs>
          <w:tab w:leader="none" w:pos="460" w:val="left"/>
        </w:tabs>
        <w:numPr>
          <w:ilvl w:val="0"/>
          <w:numId w:val="14"/>
        </w:numPr>
        <w:rPr>
          <w:rFonts w:ascii="Arial" w:cs="Arial" w:eastAsia="Arial" w:hAnsi="Arial"/>
          <w:sz w:val="12"/>
          <w:szCs w:val="12"/>
          <w:color w:val="auto"/>
        </w:rPr>
      </w:pPr>
      <w:r>
        <w:rPr>
          <w:rFonts w:ascii="Arial" w:cs="Arial" w:eastAsia="Arial" w:hAnsi="Arial"/>
          <w:sz w:val="12"/>
          <w:szCs w:val="12"/>
          <w:color w:val="auto"/>
        </w:rPr>
        <w:t>Funds which invest in a diversified portfolio of publicly traded U.S. common stocks of large-cap, medium-cap and small-cap companies. There are no restrictions on these investments.</w:t>
      </w:r>
    </w:p>
    <w:p>
      <w:pPr>
        <w:spacing w:after="0" w:line="159" w:lineRule="exact"/>
        <w:rPr>
          <w:rFonts w:ascii="Arial" w:cs="Arial" w:eastAsia="Arial" w:hAnsi="Arial"/>
          <w:sz w:val="12"/>
          <w:szCs w:val="12"/>
          <w:color w:val="auto"/>
        </w:rPr>
      </w:pPr>
    </w:p>
    <w:p>
      <w:pPr>
        <w:ind w:left="460" w:hanging="452"/>
        <w:spacing w:after="0"/>
        <w:tabs>
          <w:tab w:leader="none" w:pos="460" w:val="left"/>
        </w:tabs>
        <w:numPr>
          <w:ilvl w:val="0"/>
          <w:numId w:val="14"/>
        </w:numPr>
        <w:rPr>
          <w:rFonts w:ascii="Arial" w:cs="Arial" w:eastAsia="Arial" w:hAnsi="Arial"/>
          <w:sz w:val="12"/>
          <w:szCs w:val="12"/>
          <w:color w:val="auto"/>
        </w:rPr>
      </w:pPr>
      <w:r>
        <w:rPr>
          <w:rFonts w:ascii="Arial" w:cs="Arial" w:eastAsia="Arial" w:hAnsi="Arial"/>
          <w:sz w:val="12"/>
          <w:szCs w:val="12"/>
          <w:color w:val="auto"/>
        </w:rPr>
        <w:t>Funds which invest in a diversified portfolio of publicly traded common stock of non-U.S. companies, primarily in Europe and Asia. There are no restrictions on these investments.</w:t>
      </w:r>
    </w:p>
    <w:p>
      <w:pPr>
        <w:spacing w:after="0" w:line="159" w:lineRule="exact"/>
        <w:rPr>
          <w:rFonts w:ascii="Arial" w:cs="Arial" w:eastAsia="Arial" w:hAnsi="Arial"/>
          <w:sz w:val="12"/>
          <w:szCs w:val="12"/>
          <w:color w:val="auto"/>
        </w:rPr>
      </w:pPr>
    </w:p>
    <w:p>
      <w:pPr>
        <w:ind w:left="460" w:hanging="452"/>
        <w:spacing w:after="0"/>
        <w:tabs>
          <w:tab w:leader="none" w:pos="460" w:val="left"/>
        </w:tabs>
        <w:numPr>
          <w:ilvl w:val="0"/>
          <w:numId w:val="14"/>
        </w:numPr>
        <w:rPr>
          <w:rFonts w:ascii="Arial" w:cs="Arial" w:eastAsia="Arial" w:hAnsi="Arial"/>
          <w:sz w:val="12"/>
          <w:szCs w:val="12"/>
          <w:color w:val="auto"/>
        </w:rPr>
      </w:pPr>
      <w:r>
        <w:rPr>
          <w:rFonts w:ascii="Arial" w:cs="Arial" w:eastAsia="Arial" w:hAnsi="Arial"/>
          <w:sz w:val="12"/>
          <w:szCs w:val="12"/>
          <w:color w:val="auto"/>
        </w:rPr>
        <w:t>Funds which invest in a diversified portfolio of publicly traded government bonds, corporate bonds and mortgage-backed securities. There are no restrictions on these investments.</w:t>
      </w:r>
    </w:p>
    <w:p>
      <w:pPr>
        <w:spacing w:after="0" w:line="159" w:lineRule="exact"/>
        <w:rPr>
          <w:rFonts w:ascii="Arial" w:cs="Arial" w:eastAsia="Arial" w:hAnsi="Arial"/>
          <w:sz w:val="12"/>
          <w:szCs w:val="12"/>
          <w:color w:val="auto"/>
        </w:rPr>
      </w:pPr>
    </w:p>
    <w:p>
      <w:pPr>
        <w:ind w:left="460" w:right="640" w:hanging="452"/>
        <w:spacing w:after="0" w:line="239" w:lineRule="auto"/>
        <w:tabs>
          <w:tab w:leader="none" w:pos="460" w:val="left"/>
        </w:tabs>
        <w:numPr>
          <w:ilvl w:val="0"/>
          <w:numId w:val="14"/>
        </w:numPr>
        <w:rPr>
          <w:rFonts w:ascii="Arial" w:cs="Arial" w:eastAsia="Arial" w:hAnsi="Arial"/>
          <w:sz w:val="14"/>
          <w:szCs w:val="14"/>
          <w:color w:val="auto"/>
        </w:rPr>
      </w:pPr>
      <w:r>
        <w:rPr>
          <w:rFonts w:ascii="Arial" w:cs="Arial" w:eastAsia="Arial" w:hAnsi="Arial"/>
          <w:sz w:val="14"/>
          <w:szCs w:val="14"/>
          <w:color w:val="auto"/>
        </w:rPr>
        <w:t>Represents assets of a non-U.S. entity plan invested in a fund whose underlying investments are comprised of properties. The fund has publicly available quoted market prices and there are no restrictions on these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2663825</wp:posOffset>
            </wp:positionH>
            <wp:positionV relativeFrom="paragraph">
              <wp:posOffset>128905</wp:posOffset>
            </wp:positionV>
            <wp:extent cx="1929765" cy="231775"/>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08">
                      <a:extLst>
                        <a:ext uri="{28A0092B-C50C-407E-A947-70E740481C1C}"/>
                      </a:extLst>
                    </a:blip>
                    <a:srcRect/>
                    <a:stretch>
                      <a:fillRect/>
                    </a:stretch>
                  </pic:blipFill>
                  <pic:spPr bwMode="auto">
                    <a:xfrm>
                      <a:off x="0" y="0"/>
                      <a:ext cx="1929765"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38735"/>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0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40"/>
          </w:cols>
          <w:pgMar w:left="240" w:top="833" w:right="219" w:bottom="1440" w:gutter="0" w:footer="0" w:header="0"/>
        </w:sectPr>
      </w:pPr>
    </w:p>
    <w:bookmarkStart w:id="76" w:name="page77"/>
    <w:bookmarkEnd w:id="7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320040</wp:posOffset>
            </wp:positionV>
            <wp:extent cx="7263765" cy="8890"/>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0">
                      <a:extLst>
                        <a:ext uri="{28A0092B-C50C-407E-A947-70E740481C1C}"/>
                      </a:extLst>
                    </a:blip>
                    <a:srcRect/>
                    <a:stretch>
                      <a:fillRect/>
                    </a:stretch>
                  </pic:blipFill>
                  <pic:spPr bwMode="auto">
                    <a:xfrm>
                      <a:off x="0" y="0"/>
                      <a:ext cx="7263765" cy="8890"/>
                    </a:xfrm>
                    <a:prstGeom prst="rect">
                      <a:avLst/>
                    </a:prstGeom>
                    <a:noFill/>
                  </pic:spPr>
                </pic:pic>
              </a:graphicData>
            </a:graphic>
          </wp:anchor>
        </w:drawing>
        <w:t>Contributions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In fiscal 2011, the Company expects to contribute $11.2 to the Pension Plan.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Estimated future benefit payments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expected future benefit payments under the Pension Plans and the Post-Retirement Benefits by 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263765" cy="8890"/>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1">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690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780" w:type="dxa"/>
            <w:vAlign w:val="bottom"/>
          </w:tcPr>
          <w:p>
            <w:pPr>
              <w:jc w:val="right"/>
              <w:spacing w:after="0"/>
              <w:rPr>
                <w:sz w:val="20"/>
                <w:szCs w:val="20"/>
                <w:color w:val="auto"/>
              </w:rPr>
            </w:pPr>
            <w:r>
              <w:rPr>
                <w:rFonts w:ascii="Arial" w:cs="Arial" w:eastAsia="Arial" w:hAnsi="Arial"/>
                <w:sz w:val="14"/>
                <w:szCs w:val="14"/>
                <w:b w:val="1"/>
                <w:bCs w:val="1"/>
                <w:color w:val="auto"/>
              </w:rPr>
              <w:t>Post-Retirement</w:t>
            </w: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95"/>
        </w:trPr>
        <w:tc>
          <w:tcPr>
            <w:tcW w:w="6900" w:type="dxa"/>
            <w:vAlign w:val="bottom"/>
          </w:tcPr>
          <w:p>
            <w:pPr>
              <w:spacing w:after="0"/>
              <w:rPr>
                <w:sz w:val="8"/>
                <w:szCs w:val="8"/>
                <w:color w:val="auto"/>
              </w:rPr>
            </w:pPr>
          </w:p>
        </w:tc>
        <w:tc>
          <w:tcPr>
            <w:tcW w:w="1980" w:type="dxa"/>
            <w:vAlign w:val="bottom"/>
          </w:tcPr>
          <w:p>
            <w:pPr>
              <w:spacing w:after="0"/>
              <w:rPr>
                <w:sz w:val="8"/>
                <w:szCs w:val="8"/>
                <w:color w:val="auto"/>
              </w:rPr>
            </w:pPr>
          </w:p>
        </w:tc>
        <w:tc>
          <w:tcPr>
            <w:tcW w:w="178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r>
      <w:tr>
        <w:trPr>
          <w:trHeight w:val="233"/>
        </w:trPr>
        <w:tc>
          <w:tcPr>
            <w:tcW w:w="690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Medicare</w:t>
            </w:r>
          </w:p>
        </w:tc>
      </w:tr>
      <w:tr>
        <w:trPr>
          <w:trHeight w:val="149"/>
        </w:trPr>
        <w:tc>
          <w:tcPr>
            <w:tcW w:w="6900" w:type="dxa"/>
            <w:vAlign w:val="bottom"/>
          </w:tcPr>
          <w:p>
            <w:pPr>
              <w:spacing w:after="0"/>
              <w:rPr>
                <w:sz w:val="12"/>
                <w:szCs w:val="12"/>
                <w:color w:val="auto"/>
              </w:rPr>
            </w:pPr>
          </w:p>
        </w:tc>
        <w:tc>
          <w:tcPr>
            <w:tcW w:w="1980" w:type="dxa"/>
            <w:vAlign w:val="bottom"/>
          </w:tcPr>
          <w:p>
            <w:pPr>
              <w:jc w:val="right"/>
              <w:ind w:right="257"/>
              <w:spacing w:after="0" w:line="149" w:lineRule="exact"/>
              <w:rPr>
                <w:sz w:val="20"/>
                <w:szCs w:val="20"/>
                <w:color w:val="auto"/>
              </w:rPr>
            </w:pPr>
            <w:r>
              <w:rPr>
                <w:rFonts w:ascii="Arial" w:cs="Arial" w:eastAsia="Arial" w:hAnsi="Arial"/>
                <w:sz w:val="14"/>
                <w:szCs w:val="14"/>
                <w:b w:val="1"/>
                <w:bCs w:val="1"/>
                <w:color w:val="auto"/>
              </w:rPr>
              <w:t>Pension</w:t>
            </w:r>
          </w:p>
        </w:tc>
        <w:tc>
          <w:tcPr>
            <w:tcW w:w="1780" w:type="dxa"/>
            <w:vAlign w:val="bottom"/>
          </w:tcPr>
          <w:p>
            <w:pPr>
              <w:jc w:val="right"/>
              <w:ind w:right="678"/>
              <w:spacing w:after="0" w:line="149" w:lineRule="exact"/>
              <w:rPr>
                <w:sz w:val="20"/>
                <w:szCs w:val="20"/>
                <w:color w:val="auto"/>
              </w:rPr>
            </w:pPr>
            <w:r>
              <w:rPr>
                <w:rFonts w:ascii="Arial" w:cs="Arial" w:eastAsia="Arial" w:hAnsi="Arial"/>
                <w:sz w:val="14"/>
                <w:szCs w:val="14"/>
                <w:b w:val="1"/>
                <w:bCs w:val="1"/>
                <w:color w:val="auto"/>
              </w:rPr>
              <w:t>Benefit</w:t>
            </w:r>
          </w:p>
        </w:tc>
        <w:tc>
          <w:tcPr>
            <w:tcW w:w="780" w:type="dxa"/>
            <w:vAlign w:val="bottom"/>
            <w:gridSpan w:val="2"/>
          </w:tcPr>
          <w:p>
            <w:pPr>
              <w:jc w:val="right"/>
              <w:ind w:right="140"/>
              <w:spacing w:after="0" w:line="149" w:lineRule="exact"/>
              <w:rPr>
                <w:sz w:val="20"/>
                <w:szCs w:val="20"/>
                <w:color w:val="auto"/>
              </w:rPr>
            </w:pPr>
            <w:r>
              <w:rPr>
                <w:rFonts w:ascii="Arial" w:cs="Arial" w:eastAsia="Arial" w:hAnsi="Arial"/>
                <w:sz w:val="14"/>
                <w:szCs w:val="14"/>
                <w:b w:val="1"/>
                <w:bCs w:val="1"/>
                <w:color w:val="auto"/>
              </w:rPr>
              <w:t>Subsidy</w:t>
            </w:r>
          </w:p>
        </w:tc>
      </w:tr>
      <w:tr>
        <w:trPr>
          <w:trHeight w:val="178"/>
        </w:trPr>
        <w:tc>
          <w:tcPr>
            <w:tcW w:w="6900" w:type="dxa"/>
            <w:vAlign w:val="bottom"/>
          </w:tcPr>
          <w:p>
            <w:pPr>
              <w:spacing w:after="0"/>
              <w:rPr>
                <w:sz w:val="15"/>
                <w:szCs w:val="15"/>
                <w:color w:val="auto"/>
              </w:rPr>
            </w:pPr>
          </w:p>
        </w:tc>
        <w:tc>
          <w:tcPr>
            <w:tcW w:w="1980" w:type="dxa"/>
            <w:vAlign w:val="bottom"/>
          </w:tcPr>
          <w:p>
            <w:pPr>
              <w:jc w:val="right"/>
              <w:ind w:right="257"/>
              <w:spacing w:after="0"/>
              <w:rPr>
                <w:sz w:val="20"/>
                <w:szCs w:val="20"/>
                <w:color w:val="auto"/>
              </w:rPr>
            </w:pPr>
            <w:r>
              <w:rPr>
                <w:rFonts w:ascii="Arial" w:cs="Arial" w:eastAsia="Arial" w:hAnsi="Arial"/>
                <w:sz w:val="14"/>
                <w:szCs w:val="14"/>
                <w:b w:val="1"/>
                <w:bCs w:val="1"/>
                <w:color w:val="auto"/>
              </w:rPr>
              <w:t>Benefits</w:t>
            </w:r>
          </w:p>
        </w:tc>
        <w:tc>
          <w:tcPr>
            <w:tcW w:w="1780" w:type="dxa"/>
            <w:vAlign w:val="bottom"/>
          </w:tcPr>
          <w:p>
            <w:pPr>
              <w:jc w:val="right"/>
              <w:ind w:right="678"/>
              <w:spacing w:after="0"/>
              <w:rPr>
                <w:sz w:val="20"/>
                <w:szCs w:val="20"/>
                <w:color w:val="auto"/>
              </w:rPr>
            </w:pPr>
            <w:r>
              <w:rPr>
                <w:rFonts w:ascii="Arial" w:cs="Arial" w:eastAsia="Arial" w:hAnsi="Arial"/>
                <w:sz w:val="14"/>
                <w:szCs w:val="14"/>
                <w:b w:val="1"/>
                <w:bCs w:val="1"/>
                <w:color w:val="auto"/>
              </w:rPr>
              <w:t>Payments</w:t>
            </w:r>
          </w:p>
        </w:tc>
        <w:tc>
          <w:tcPr>
            <w:tcW w:w="78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Receipts</w:t>
            </w:r>
          </w:p>
        </w:tc>
      </w:tr>
      <w:tr>
        <w:trPr>
          <w:trHeight w:val="95"/>
        </w:trPr>
        <w:tc>
          <w:tcPr>
            <w:tcW w:w="6900" w:type="dxa"/>
            <w:vAlign w:val="bottom"/>
            <w:tcBorders>
              <w:bottom w:val="single" w:sz="8" w:color="auto"/>
            </w:tcBorders>
          </w:tcPr>
          <w:p>
            <w:pPr>
              <w:spacing w:after="0"/>
              <w:rPr>
                <w:sz w:val="8"/>
                <w:szCs w:val="8"/>
                <w:color w:val="auto"/>
              </w:rPr>
            </w:pPr>
          </w:p>
        </w:tc>
        <w:tc>
          <w:tcPr>
            <w:tcW w:w="1980" w:type="dxa"/>
            <w:vAlign w:val="bottom"/>
            <w:tcBorders>
              <w:bottom w:val="single" w:sz="8" w:color="auto"/>
            </w:tcBorders>
          </w:tcPr>
          <w:p>
            <w:pPr>
              <w:spacing w:after="0"/>
              <w:rPr>
                <w:sz w:val="8"/>
                <w:szCs w:val="8"/>
                <w:color w:val="auto"/>
              </w:rPr>
            </w:pPr>
          </w:p>
        </w:tc>
        <w:tc>
          <w:tcPr>
            <w:tcW w:w="178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r>
      <w:tr>
        <w:trPr>
          <w:trHeight w:val="102"/>
        </w:trPr>
        <w:tc>
          <w:tcPr>
            <w:tcW w:w="6900" w:type="dxa"/>
            <w:vAlign w:val="bottom"/>
          </w:tcPr>
          <w:p>
            <w:pPr>
              <w:spacing w:after="0"/>
              <w:rPr>
                <w:sz w:val="8"/>
                <w:szCs w:val="8"/>
                <w:color w:val="auto"/>
              </w:rPr>
            </w:pPr>
          </w:p>
        </w:tc>
        <w:tc>
          <w:tcPr>
            <w:tcW w:w="1980" w:type="dxa"/>
            <w:vAlign w:val="bottom"/>
          </w:tcPr>
          <w:p>
            <w:pPr>
              <w:spacing w:after="0"/>
              <w:rPr>
                <w:sz w:val="8"/>
                <w:szCs w:val="8"/>
                <w:color w:val="auto"/>
              </w:rPr>
            </w:pPr>
          </w:p>
        </w:tc>
        <w:tc>
          <w:tcPr>
            <w:tcW w:w="1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203"/>
        </w:trPr>
        <w:tc>
          <w:tcPr>
            <w:tcW w:w="690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2011</w:t>
            </w:r>
          </w:p>
        </w:tc>
        <w:tc>
          <w:tcPr>
            <w:tcW w:w="1980" w:type="dxa"/>
            <w:vAlign w:val="bottom"/>
            <w:shd w:val="clear" w:color="auto" w:fill="E6E6E6"/>
          </w:tcPr>
          <w:p>
            <w:pPr>
              <w:jc w:val="right"/>
              <w:ind w:right="257"/>
              <w:spacing w:after="0" w:line="202" w:lineRule="exact"/>
              <w:rPr>
                <w:sz w:val="20"/>
                <w:szCs w:val="20"/>
                <w:color w:val="auto"/>
              </w:rPr>
            </w:pPr>
            <w:r>
              <w:rPr>
                <w:rFonts w:ascii="Arial" w:cs="Arial" w:eastAsia="Arial" w:hAnsi="Arial"/>
                <w:sz w:val="18"/>
                <w:szCs w:val="18"/>
                <w:color w:val="auto"/>
              </w:rPr>
              <w:t>18.2</w:t>
            </w:r>
          </w:p>
        </w:tc>
        <w:tc>
          <w:tcPr>
            <w:tcW w:w="1780" w:type="dxa"/>
            <w:vAlign w:val="bottom"/>
            <w:shd w:val="clear" w:color="auto" w:fill="E6E6E6"/>
          </w:tcPr>
          <w:p>
            <w:pPr>
              <w:jc w:val="right"/>
              <w:ind w:right="678"/>
              <w:spacing w:after="0" w:line="202" w:lineRule="exact"/>
              <w:rPr>
                <w:sz w:val="20"/>
                <w:szCs w:val="20"/>
                <w:color w:val="auto"/>
              </w:rPr>
            </w:pPr>
            <w:r>
              <w:rPr>
                <w:rFonts w:ascii="Arial" w:cs="Arial" w:eastAsia="Arial" w:hAnsi="Arial"/>
                <w:sz w:val="18"/>
                <w:szCs w:val="18"/>
                <w:color w:val="auto"/>
              </w:rPr>
              <w:t>3.2</w:t>
            </w:r>
          </w:p>
        </w:tc>
        <w:tc>
          <w:tcPr>
            <w:tcW w:w="760" w:type="dxa"/>
            <w:vAlign w:val="bottom"/>
            <w:shd w:val="clear" w:color="auto" w:fill="E6E6E6"/>
          </w:tcPr>
          <w:p>
            <w:pPr>
              <w:jc w:val="right"/>
              <w:ind w:right="38"/>
              <w:spacing w:after="0" w:line="202" w:lineRule="exact"/>
              <w:rPr>
                <w:sz w:val="20"/>
                <w:szCs w:val="20"/>
                <w:color w:val="auto"/>
              </w:rPr>
            </w:pPr>
            <w:r>
              <w:rPr>
                <w:rFonts w:ascii="Arial" w:cs="Arial" w:eastAsia="Arial" w:hAnsi="Arial"/>
                <w:sz w:val="18"/>
                <w:szCs w:val="18"/>
                <w:color w:val="auto"/>
              </w:rPr>
              <w:t>0.2</w:t>
            </w:r>
          </w:p>
        </w:tc>
        <w:tc>
          <w:tcPr>
            <w:tcW w:w="20" w:type="dxa"/>
            <w:vAlign w:val="bottom"/>
          </w:tcPr>
          <w:p>
            <w:pPr>
              <w:spacing w:after="0"/>
              <w:rPr>
                <w:sz w:val="17"/>
                <w:szCs w:val="17"/>
                <w:color w:val="auto"/>
              </w:rPr>
            </w:pPr>
          </w:p>
        </w:tc>
      </w:tr>
      <w:tr>
        <w:trPr>
          <w:trHeight w:val="203"/>
        </w:trPr>
        <w:tc>
          <w:tcPr>
            <w:tcW w:w="6900" w:type="dxa"/>
            <w:vAlign w:val="bottom"/>
          </w:tcPr>
          <w:p>
            <w:pPr>
              <w:spacing w:after="0" w:line="202" w:lineRule="exact"/>
              <w:rPr>
                <w:sz w:val="20"/>
                <w:szCs w:val="20"/>
                <w:color w:val="auto"/>
              </w:rPr>
            </w:pPr>
            <w:r>
              <w:rPr>
                <w:rFonts w:ascii="Arial" w:cs="Arial" w:eastAsia="Arial" w:hAnsi="Arial"/>
                <w:sz w:val="18"/>
                <w:szCs w:val="18"/>
                <w:color w:val="auto"/>
              </w:rPr>
              <w:t>2012</w:t>
            </w:r>
          </w:p>
        </w:tc>
        <w:tc>
          <w:tcPr>
            <w:tcW w:w="1980" w:type="dxa"/>
            <w:vAlign w:val="bottom"/>
          </w:tcPr>
          <w:p>
            <w:pPr>
              <w:jc w:val="right"/>
              <w:ind w:right="257"/>
              <w:spacing w:after="0" w:line="202" w:lineRule="exact"/>
              <w:rPr>
                <w:sz w:val="20"/>
                <w:szCs w:val="20"/>
                <w:color w:val="auto"/>
              </w:rPr>
            </w:pPr>
            <w:r>
              <w:rPr>
                <w:rFonts w:ascii="Arial" w:cs="Arial" w:eastAsia="Arial" w:hAnsi="Arial"/>
                <w:sz w:val="18"/>
                <w:szCs w:val="18"/>
                <w:color w:val="auto"/>
              </w:rPr>
              <w:t>11.4</w:t>
            </w:r>
          </w:p>
        </w:tc>
        <w:tc>
          <w:tcPr>
            <w:tcW w:w="1780" w:type="dxa"/>
            <w:vAlign w:val="bottom"/>
          </w:tcPr>
          <w:p>
            <w:pPr>
              <w:jc w:val="right"/>
              <w:ind w:right="678"/>
              <w:spacing w:after="0" w:line="202" w:lineRule="exact"/>
              <w:rPr>
                <w:sz w:val="20"/>
                <w:szCs w:val="20"/>
                <w:color w:val="auto"/>
              </w:rPr>
            </w:pPr>
            <w:r>
              <w:rPr>
                <w:rFonts w:ascii="Arial" w:cs="Arial" w:eastAsia="Arial" w:hAnsi="Arial"/>
                <w:sz w:val="18"/>
                <w:szCs w:val="18"/>
                <w:color w:val="auto"/>
              </w:rPr>
              <w:t>2.7</w:t>
            </w:r>
          </w:p>
        </w:tc>
        <w:tc>
          <w:tcPr>
            <w:tcW w:w="760" w:type="dxa"/>
            <w:vAlign w:val="bottom"/>
          </w:tcPr>
          <w:p>
            <w:pPr>
              <w:jc w:val="right"/>
              <w:ind w:right="38"/>
              <w:spacing w:after="0" w:line="202" w:lineRule="exact"/>
              <w:rPr>
                <w:sz w:val="20"/>
                <w:szCs w:val="20"/>
                <w:color w:val="auto"/>
              </w:rPr>
            </w:pPr>
            <w:r>
              <w:rPr>
                <w:rFonts w:ascii="Arial" w:cs="Arial" w:eastAsia="Arial" w:hAnsi="Arial"/>
                <w:sz w:val="18"/>
                <w:szCs w:val="18"/>
                <w:color w:val="auto"/>
              </w:rPr>
              <w:t>0.2</w:t>
            </w:r>
          </w:p>
        </w:tc>
        <w:tc>
          <w:tcPr>
            <w:tcW w:w="20" w:type="dxa"/>
            <w:vAlign w:val="bottom"/>
          </w:tcPr>
          <w:p>
            <w:pPr>
              <w:spacing w:after="0"/>
              <w:rPr>
                <w:sz w:val="17"/>
                <w:szCs w:val="17"/>
                <w:color w:val="auto"/>
              </w:rPr>
            </w:pPr>
          </w:p>
        </w:tc>
      </w:tr>
      <w:tr>
        <w:trPr>
          <w:trHeight w:val="203"/>
        </w:trPr>
        <w:tc>
          <w:tcPr>
            <w:tcW w:w="690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2013</w:t>
            </w:r>
          </w:p>
        </w:tc>
        <w:tc>
          <w:tcPr>
            <w:tcW w:w="1980" w:type="dxa"/>
            <w:vAlign w:val="bottom"/>
            <w:shd w:val="clear" w:color="auto" w:fill="E6E6E6"/>
          </w:tcPr>
          <w:p>
            <w:pPr>
              <w:jc w:val="right"/>
              <w:ind w:right="257"/>
              <w:spacing w:after="0" w:line="202" w:lineRule="exact"/>
              <w:rPr>
                <w:sz w:val="20"/>
                <w:szCs w:val="20"/>
                <w:color w:val="auto"/>
              </w:rPr>
            </w:pPr>
            <w:r>
              <w:rPr>
                <w:rFonts w:ascii="Arial" w:cs="Arial" w:eastAsia="Arial" w:hAnsi="Arial"/>
                <w:sz w:val="18"/>
                <w:szCs w:val="18"/>
                <w:color w:val="auto"/>
              </w:rPr>
              <w:t>10.8</w:t>
            </w:r>
          </w:p>
        </w:tc>
        <w:tc>
          <w:tcPr>
            <w:tcW w:w="1780" w:type="dxa"/>
            <w:vAlign w:val="bottom"/>
            <w:shd w:val="clear" w:color="auto" w:fill="E6E6E6"/>
          </w:tcPr>
          <w:p>
            <w:pPr>
              <w:jc w:val="right"/>
              <w:ind w:right="678"/>
              <w:spacing w:after="0" w:line="202" w:lineRule="exact"/>
              <w:rPr>
                <w:sz w:val="20"/>
                <w:szCs w:val="20"/>
                <w:color w:val="auto"/>
              </w:rPr>
            </w:pPr>
            <w:r>
              <w:rPr>
                <w:rFonts w:ascii="Arial" w:cs="Arial" w:eastAsia="Arial" w:hAnsi="Arial"/>
                <w:sz w:val="18"/>
                <w:szCs w:val="18"/>
                <w:color w:val="auto"/>
              </w:rPr>
              <w:t>2.7</w:t>
            </w:r>
          </w:p>
        </w:tc>
        <w:tc>
          <w:tcPr>
            <w:tcW w:w="760" w:type="dxa"/>
            <w:vAlign w:val="bottom"/>
            <w:shd w:val="clear" w:color="auto" w:fill="E6E6E6"/>
          </w:tcPr>
          <w:p>
            <w:pPr>
              <w:jc w:val="right"/>
              <w:ind w:right="38"/>
              <w:spacing w:after="0" w:line="202" w:lineRule="exact"/>
              <w:rPr>
                <w:sz w:val="20"/>
                <w:szCs w:val="20"/>
                <w:color w:val="auto"/>
              </w:rPr>
            </w:pPr>
            <w:r>
              <w:rPr>
                <w:rFonts w:ascii="Arial" w:cs="Arial" w:eastAsia="Arial" w:hAnsi="Arial"/>
                <w:sz w:val="18"/>
                <w:szCs w:val="18"/>
                <w:color w:val="auto"/>
              </w:rPr>
              <w:t>0.3</w:t>
            </w:r>
          </w:p>
        </w:tc>
        <w:tc>
          <w:tcPr>
            <w:tcW w:w="20" w:type="dxa"/>
            <w:vAlign w:val="bottom"/>
          </w:tcPr>
          <w:p>
            <w:pPr>
              <w:spacing w:after="0"/>
              <w:rPr>
                <w:sz w:val="17"/>
                <w:szCs w:val="17"/>
                <w:color w:val="auto"/>
              </w:rPr>
            </w:pPr>
          </w:p>
        </w:tc>
      </w:tr>
      <w:tr>
        <w:trPr>
          <w:trHeight w:val="203"/>
        </w:trPr>
        <w:tc>
          <w:tcPr>
            <w:tcW w:w="6900" w:type="dxa"/>
            <w:vAlign w:val="bottom"/>
          </w:tcPr>
          <w:p>
            <w:pPr>
              <w:spacing w:after="0" w:line="202" w:lineRule="exact"/>
              <w:rPr>
                <w:sz w:val="20"/>
                <w:szCs w:val="20"/>
                <w:color w:val="auto"/>
              </w:rPr>
            </w:pPr>
            <w:r>
              <w:rPr>
                <w:rFonts w:ascii="Arial" w:cs="Arial" w:eastAsia="Arial" w:hAnsi="Arial"/>
                <w:sz w:val="18"/>
                <w:szCs w:val="18"/>
                <w:color w:val="auto"/>
              </w:rPr>
              <w:t>2014</w:t>
            </w:r>
          </w:p>
        </w:tc>
        <w:tc>
          <w:tcPr>
            <w:tcW w:w="1980" w:type="dxa"/>
            <w:vAlign w:val="bottom"/>
          </w:tcPr>
          <w:p>
            <w:pPr>
              <w:jc w:val="right"/>
              <w:ind w:right="257"/>
              <w:spacing w:after="0" w:line="202" w:lineRule="exact"/>
              <w:rPr>
                <w:sz w:val="20"/>
                <w:szCs w:val="20"/>
                <w:color w:val="auto"/>
              </w:rPr>
            </w:pPr>
            <w:r>
              <w:rPr>
                <w:rFonts w:ascii="Arial" w:cs="Arial" w:eastAsia="Arial" w:hAnsi="Arial"/>
                <w:sz w:val="18"/>
                <w:szCs w:val="18"/>
                <w:color w:val="auto"/>
              </w:rPr>
              <w:t>10.6</w:t>
            </w:r>
          </w:p>
        </w:tc>
        <w:tc>
          <w:tcPr>
            <w:tcW w:w="1780" w:type="dxa"/>
            <w:vAlign w:val="bottom"/>
          </w:tcPr>
          <w:p>
            <w:pPr>
              <w:jc w:val="right"/>
              <w:ind w:right="678"/>
              <w:spacing w:after="0" w:line="202" w:lineRule="exact"/>
              <w:rPr>
                <w:sz w:val="20"/>
                <w:szCs w:val="20"/>
                <w:color w:val="auto"/>
              </w:rPr>
            </w:pPr>
            <w:r>
              <w:rPr>
                <w:rFonts w:ascii="Arial" w:cs="Arial" w:eastAsia="Arial" w:hAnsi="Arial"/>
                <w:sz w:val="18"/>
                <w:szCs w:val="18"/>
                <w:color w:val="auto"/>
              </w:rPr>
              <w:t>2.7</w:t>
            </w:r>
          </w:p>
        </w:tc>
        <w:tc>
          <w:tcPr>
            <w:tcW w:w="760" w:type="dxa"/>
            <w:vAlign w:val="bottom"/>
          </w:tcPr>
          <w:p>
            <w:pPr>
              <w:jc w:val="right"/>
              <w:ind w:right="38"/>
              <w:spacing w:after="0" w:line="202" w:lineRule="exact"/>
              <w:rPr>
                <w:sz w:val="20"/>
                <w:szCs w:val="20"/>
                <w:color w:val="auto"/>
              </w:rPr>
            </w:pPr>
            <w:r>
              <w:rPr>
                <w:rFonts w:ascii="Arial" w:cs="Arial" w:eastAsia="Arial" w:hAnsi="Arial"/>
                <w:sz w:val="18"/>
                <w:szCs w:val="18"/>
                <w:color w:val="auto"/>
              </w:rPr>
              <w:t>0.3</w:t>
            </w:r>
          </w:p>
        </w:tc>
        <w:tc>
          <w:tcPr>
            <w:tcW w:w="20" w:type="dxa"/>
            <w:vAlign w:val="bottom"/>
          </w:tcPr>
          <w:p>
            <w:pPr>
              <w:spacing w:after="0"/>
              <w:rPr>
                <w:sz w:val="17"/>
                <w:szCs w:val="17"/>
                <w:color w:val="auto"/>
              </w:rPr>
            </w:pPr>
          </w:p>
        </w:tc>
      </w:tr>
      <w:tr>
        <w:trPr>
          <w:trHeight w:val="203"/>
        </w:trPr>
        <w:tc>
          <w:tcPr>
            <w:tcW w:w="690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2015</w:t>
            </w:r>
          </w:p>
        </w:tc>
        <w:tc>
          <w:tcPr>
            <w:tcW w:w="1980" w:type="dxa"/>
            <w:vAlign w:val="bottom"/>
            <w:shd w:val="clear" w:color="auto" w:fill="E6E6E6"/>
          </w:tcPr>
          <w:p>
            <w:pPr>
              <w:jc w:val="right"/>
              <w:ind w:right="257"/>
              <w:spacing w:after="0" w:line="202" w:lineRule="exact"/>
              <w:rPr>
                <w:sz w:val="20"/>
                <w:szCs w:val="20"/>
                <w:color w:val="auto"/>
              </w:rPr>
            </w:pPr>
            <w:r>
              <w:rPr>
                <w:rFonts w:ascii="Arial" w:cs="Arial" w:eastAsia="Arial" w:hAnsi="Arial"/>
                <w:sz w:val="18"/>
                <w:szCs w:val="18"/>
                <w:color w:val="auto"/>
              </w:rPr>
              <w:t>10.5</w:t>
            </w:r>
          </w:p>
        </w:tc>
        <w:tc>
          <w:tcPr>
            <w:tcW w:w="1780" w:type="dxa"/>
            <w:vAlign w:val="bottom"/>
            <w:shd w:val="clear" w:color="auto" w:fill="E6E6E6"/>
          </w:tcPr>
          <w:p>
            <w:pPr>
              <w:jc w:val="right"/>
              <w:ind w:right="678"/>
              <w:spacing w:after="0" w:line="202" w:lineRule="exact"/>
              <w:rPr>
                <w:sz w:val="20"/>
                <w:szCs w:val="20"/>
                <w:color w:val="auto"/>
              </w:rPr>
            </w:pPr>
            <w:r>
              <w:rPr>
                <w:rFonts w:ascii="Arial" w:cs="Arial" w:eastAsia="Arial" w:hAnsi="Arial"/>
                <w:sz w:val="18"/>
                <w:szCs w:val="18"/>
                <w:color w:val="auto"/>
              </w:rPr>
              <w:t>2.7</w:t>
            </w:r>
          </w:p>
        </w:tc>
        <w:tc>
          <w:tcPr>
            <w:tcW w:w="760" w:type="dxa"/>
            <w:vAlign w:val="bottom"/>
            <w:shd w:val="clear" w:color="auto" w:fill="E6E6E6"/>
          </w:tcPr>
          <w:p>
            <w:pPr>
              <w:jc w:val="right"/>
              <w:ind w:right="38"/>
              <w:spacing w:after="0" w:line="202" w:lineRule="exact"/>
              <w:rPr>
                <w:sz w:val="20"/>
                <w:szCs w:val="20"/>
                <w:color w:val="auto"/>
              </w:rPr>
            </w:pPr>
            <w:r>
              <w:rPr>
                <w:rFonts w:ascii="Arial" w:cs="Arial" w:eastAsia="Arial" w:hAnsi="Arial"/>
                <w:sz w:val="18"/>
                <w:szCs w:val="18"/>
                <w:color w:val="auto"/>
              </w:rPr>
              <w:t>0.3</w:t>
            </w:r>
          </w:p>
        </w:tc>
        <w:tc>
          <w:tcPr>
            <w:tcW w:w="20" w:type="dxa"/>
            <w:vAlign w:val="bottom"/>
          </w:tcPr>
          <w:p>
            <w:pPr>
              <w:spacing w:after="0"/>
              <w:rPr>
                <w:sz w:val="17"/>
                <w:szCs w:val="17"/>
                <w:color w:val="auto"/>
              </w:rPr>
            </w:pPr>
          </w:p>
        </w:tc>
      </w:tr>
      <w:tr>
        <w:trPr>
          <w:trHeight w:val="214"/>
        </w:trPr>
        <w:tc>
          <w:tcPr>
            <w:tcW w:w="6900" w:type="dxa"/>
            <w:vAlign w:val="bottom"/>
          </w:tcPr>
          <w:p>
            <w:pPr>
              <w:spacing w:after="0"/>
              <w:rPr>
                <w:sz w:val="20"/>
                <w:szCs w:val="20"/>
                <w:color w:val="auto"/>
              </w:rPr>
            </w:pPr>
            <w:r>
              <w:rPr>
                <w:rFonts w:ascii="Arial" w:cs="Arial" w:eastAsia="Arial" w:hAnsi="Arial"/>
                <w:sz w:val="18"/>
                <w:szCs w:val="18"/>
                <w:color w:val="auto"/>
              </w:rPr>
              <w:t>2016-2020</w:t>
            </w:r>
          </w:p>
        </w:tc>
        <w:tc>
          <w:tcPr>
            <w:tcW w:w="1980" w:type="dxa"/>
            <w:vAlign w:val="bottom"/>
          </w:tcPr>
          <w:p>
            <w:pPr>
              <w:jc w:val="right"/>
              <w:ind w:right="257"/>
              <w:spacing w:after="0"/>
              <w:rPr>
                <w:sz w:val="20"/>
                <w:szCs w:val="20"/>
                <w:color w:val="auto"/>
              </w:rPr>
            </w:pPr>
            <w:r>
              <w:rPr>
                <w:rFonts w:ascii="Arial" w:cs="Arial" w:eastAsia="Arial" w:hAnsi="Arial"/>
                <w:sz w:val="18"/>
                <w:szCs w:val="18"/>
                <w:color w:val="auto"/>
              </w:rPr>
              <w:t>52.8</w:t>
            </w:r>
          </w:p>
        </w:tc>
        <w:tc>
          <w:tcPr>
            <w:tcW w:w="1780" w:type="dxa"/>
            <w:vAlign w:val="bottom"/>
          </w:tcPr>
          <w:p>
            <w:pPr>
              <w:jc w:val="right"/>
              <w:ind w:right="678"/>
              <w:spacing w:after="0"/>
              <w:rPr>
                <w:sz w:val="20"/>
                <w:szCs w:val="20"/>
                <w:color w:val="auto"/>
              </w:rPr>
            </w:pPr>
            <w:r>
              <w:rPr>
                <w:rFonts w:ascii="Arial" w:cs="Arial" w:eastAsia="Arial" w:hAnsi="Arial"/>
                <w:sz w:val="18"/>
                <w:szCs w:val="18"/>
                <w:color w:val="auto"/>
              </w:rPr>
              <w:t>12.7</w:t>
            </w:r>
          </w:p>
        </w:tc>
        <w:tc>
          <w:tcPr>
            <w:tcW w:w="760" w:type="dxa"/>
            <w:vAlign w:val="bottom"/>
          </w:tcPr>
          <w:p>
            <w:pPr>
              <w:jc w:val="right"/>
              <w:ind w:right="38"/>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r>
      <w:tr>
        <w:trPr>
          <w:trHeight w:val="97"/>
        </w:trPr>
        <w:tc>
          <w:tcPr>
            <w:tcW w:w="6900" w:type="dxa"/>
            <w:vAlign w:val="bottom"/>
            <w:tcBorders>
              <w:bottom w:val="single" w:sz="8" w:color="808080"/>
            </w:tcBorders>
          </w:tcPr>
          <w:p>
            <w:pPr>
              <w:spacing w:after="0"/>
              <w:rPr>
                <w:sz w:val="8"/>
                <w:szCs w:val="8"/>
                <w:color w:val="auto"/>
              </w:rPr>
            </w:pPr>
          </w:p>
        </w:tc>
        <w:tc>
          <w:tcPr>
            <w:tcW w:w="1980" w:type="dxa"/>
            <w:vAlign w:val="bottom"/>
            <w:tcBorders>
              <w:bottom w:val="single" w:sz="8" w:color="808080"/>
            </w:tcBorders>
          </w:tcPr>
          <w:p>
            <w:pPr>
              <w:spacing w:after="0"/>
              <w:rPr>
                <w:sz w:val="8"/>
                <w:szCs w:val="8"/>
                <w:color w:val="auto"/>
              </w:rPr>
            </w:pPr>
          </w:p>
        </w:tc>
        <w:tc>
          <w:tcPr>
            <w:tcW w:w="178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r>
      <w:tr>
        <w:trPr>
          <w:trHeight w:val="532"/>
        </w:trPr>
        <w:tc>
          <w:tcPr>
            <w:tcW w:w="6900" w:type="dxa"/>
            <w:vAlign w:val="bottom"/>
          </w:tcPr>
          <w:p>
            <w:pPr>
              <w:spacing w:after="0"/>
              <w:rPr>
                <w:sz w:val="20"/>
                <w:szCs w:val="20"/>
                <w:color w:val="auto"/>
              </w:rPr>
            </w:pPr>
            <w:r>
              <w:rPr>
                <w:rFonts w:ascii="Arial" w:cs="Arial" w:eastAsia="Arial" w:hAnsi="Arial"/>
                <w:sz w:val="18"/>
                <w:szCs w:val="18"/>
                <w:b w:val="1"/>
                <w:bCs w:val="1"/>
                <w:color w:val="auto"/>
              </w:rPr>
              <w:t>Assumed health care cost trend rates at May 31:</w:t>
            </w:r>
          </w:p>
        </w:tc>
        <w:tc>
          <w:tcPr>
            <w:tcW w:w="19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26"/>
        </w:trPr>
        <w:tc>
          <w:tcPr>
            <w:tcW w:w="690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263"/>
        </w:trPr>
        <w:tc>
          <w:tcPr>
            <w:tcW w:w="6900" w:type="dxa"/>
            <w:vAlign w:val="bottom"/>
          </w:tcPr>
          <w:p>
            <w:pPr>
              <w:spacing w:after="0"/>
              <w:rPr>
                <w:sz w:val="22"/>
                <w:szCs w:val="22"/>
                <w:color w:val="auto"/>
              </w:rPr>
            </w:pPr>
          </w:p>
        </w:tc>
        <w:tc>
          <w:tcPr>
            <w:tcW w:w="1980" w:type="dxa"/>
            <w:vAlign w:val="bottom"/>
          </w:tcPr>
          <w:p>
            <w:pPr>
              <w:spacing w:after="0"/>
              <w:rPr>
                <w:sz w:val="22"/>
                <w:szCs w:val="22"/>
                <w:color w:val="auto"/>
              </w:rPr>
            </w:pPr>
          </w:p>
        </w:tc>
        <w:tc>
          <w:tcPr>
            <w:tcW w:w="1780" w:type="dxa"/>
            <w:vAlign w:val="bottom"/>
          </w:tcPr>
          <w:p>
            <w:pPr>
              <w:jc w:val="right"/>
              <w:ind w:right="698"/>
              <w:spacing w:after="0"/>
              <w:rPr>
                <w:sz w:val="20"/>
                <w:szCs w:val="20"/>
                <w:color w:val="auto"/>
              </w:rPr>
            </w:pPr>
            <w:r>
              <w:rPr>
                <w:rFonts w:ascii="Arial" w:cs="Arial" w:eastAsia="Arial" w:hAnsi="Arial"/>
                <w:sz w:val="14"/>
                <w:szCs w:val="14"/>
                <w:b w:val="1"/>
                <w:bCs w:val="1"/>
                <w:color w:val="auto"/>
              </w:rPr>
              <w:t>2010</w:t>
            </w:r>
          </w:p>
        </w:tc>
        <w:tc>
          <w:tcPr>
            <w:tcW w:w="760" w:type="dxa"/>
            <w:vAlign w:val="bottom"/>
          </w:tcPr>
          <w:p>
            <w:pPr>
              <w:jc w:val="right"/>
              <w:ind w:right="98"/>
              <w:spacing w:after="0"/>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22"/>
                <w:szCs w:val="22"/>
                <w:color w:val="auto"/>
              </w:rPr>
            </w:pPr>
          </w:p>
        </w:tc>
      </w:tr>
      <w:tr>
        <w:trPr>
          <w:trHeight w:val="95"/>
        </w:trPr>
        <w:tc>
          <w:tcPr>
            <w:tcW w:w="6900" w:type="dxa"/>
            <w:vAlign w:val="bottom"/>
            <w:tcBorders>
              <w:bottom w:val="single" w:sz="8" w:color="auto"/>
            </w:tcBorders>
          </w:tcPr>
          <w:p>
            <w:pPr>
              <w:spacing w:after="0"/>
              <w:rPr>
                <w:sz w:val="8"/>
                <w:szCs w:val="8"/>
                <w:color w:val="auto"/>
              </w:rPr>
            </w:pPr>
          </w:p>
        </w:tc>
        <w:tc>
          <w:tcPr>
            <w:tcW w:w="1980" w:type="dxa"/>
            <w:vAlign w:val="bottom"/>
            <w:tcBorders>
              <w:bottom w:val="single" w:sz="8" w:color="auto"/>
            </w:tcBorders>
          </w:tcPr>
          <w:p>
            <w:pPr>
              <w:spacing w:after="0"/>
              <w:rPr>
                <w:sz w:val="8"/>
                <w:szCs w:val="8"/>
                <w:color w:val="auto"/>
              </w:rPr>
            </w:pPr>
          </w:p>
        </w:tc>
        <w:tc>
          <w:tcPr>
            <w:tcW w:w="178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r>
      <w:tr>
        <w:trPr>
          <w:trHeight w:val="102"/>
        </w:trPr>
        <w:tc>
          <w:tcPr>
            <w:tcW w:w="6900" w:type="dxa"/>
            <w:vAlign w:val="bottom"/>
          </w:tcPr>
          <w:p>
            <w:pPr>
              <w:spacing w:after="0"/>
              <w:rPr>
                <w:sz w:val="8"/>
                <w:szCs w:val="8"/>
                <w:color w:val="auto"/>
              </w:rPr>
            </w:pPr>
          </w:p>
        </w:tc>
        <w:tc>
          <w:tcPr>
            <w:tcW w:w="1980" w:type="dxa"/>
            <w:vAlign w:val="bottom"/>
          </w:tcPr>
          <w:p>
            <w:pPr>
              <w:spacing w:after="0"/>
              <w:rPr>
                <w:sz w:val="8"/>
                <w:szCs w:val="8"/>
                <w:color w:val="auto"/>
              </w:rPr>
            </w:pPr>
          </w:p>
        </w:tc>
        <w:tc>
          <w:tcPr>
            <w:tcW w:w="1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203"/>
        </w:trPr>
        <w:tc>
          <w:tcPr>
            <w:tcW w:w="690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Health care cost trend rate assumed for the next fiscal year</w:t>
            </w:r>
          </w:p>
        </w:tc>
        <w:tc>
          <w:tcPr>
            <w:tcW w:w="1980" w:type="dxa"/>
            <w:vAlign w:val="bottom"/>
            <w:shd w:val="clear" w:color="auto" w:fill="E6E6E6"/>
          </w:tcPr>
          <w:p>
            <w:pPr>
              <w:spacing w:after="0"/>
              <w:rPr>
                <w:sz w:val="17"/>
                <w:szCs w:val="17"/>
                <w:color w:val="auto"/>
              </w:rPr>
            </w:pPr>
          </w:p>
        </w:tc>
        <w:tc>
          <w:tcPr>
            <w:tcW w:w="1780" w:type="dxa"/>
            <w:vAlign w:val="bottom"/>
            <w:shd w:val="clear" w:color="auto" w:fill="E6E6E6"/>
          </w:tcPr>
          <w:p>
            <w:pPr>
              <w:jc w:val="right"/>
              <w:ind w:right="538"/>
              <w:spacing w:after="0" w:line="202" w:lineRule="exact"/>
              <w:rPr>
                <w:sz w:val="20"/>
                <w:szCs w:val="20"/>
                <w:color w:val="auto"/>
              </w:rPr>
            </w:pPr>
            <w:r>
              <w:rPr>
                <w:rFonts w:ascii="Arial" w:cs="Arial" w:eastAsia="Arial" w:hAnsi="Arial"/>
                <w:sz w:val="18"/>
                <w:szCs w:val="18"/>
                <w:color w:val="auto"/>
              </w:rPr>
              <w:t>8.3%</w:t>
            </w:r>
          </w:p>
        </w:tc>
        <w:tc>
          <w:tcPr>
            <w:tcW w:w="76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7.5%</w:t>
            </w:r>
          </w:p>
        </w:tc>
        <w:tc>
          <w:tcPr>
            <w:tcW w:w="20" w:type="dxa"/>
            <w:vAlign w:val="bottom"/>
          </w:tcPr>
          <w:p>
            <w:pPr>
              <w:spacing w:after="0"/>
              <w:rPr>
                <w:sz w:val="17"/>
                <w:szCs w:val="17"/>
                <w:color w:val="auto"/>
              </w:rPr>
            </w:pPr>
          </w:p>
        </w:tc>
      </w:tr>
      <w:tr>
        <w:trPr>
          <w:trHeight w:val="203"/>
        </w:trPr>
        <w:tc>
          <w:tcPr>
            <w:tcW w:w="6900" w:type="dxa"/>
            <w:vAlign w:val="bottom"/>
          </w:tcPr>
          <w:p>
            <w:pPr>
              <w:spacing w:after="0" w:line="202" w:lineRule="exact"/>
              <w:rPr>
                <w:sz w:val="20"/>
                <w:szCs w:val="20"/>
                <w:color w:val="auto"/>
              </w:rPr>
            </w:pPr>
            <w:r>
              <w:rPr>
                <w:rFonts w:ascii="Arial" w:cs="Arial" w:eastAsia="Arial" w:hAnsi="Arial"/>
                <w:sz w:val="18"/>
                <w:szCs w:val="18"/>
                <w:color w:val="auto"/>
              </w:rPr>
              <w:t>Rate to which the cost trend is assumed to decline (the ultimate trend rate)</w:t>
            </w:r>
          </w:p>
        </w:tc>
        <w:tc>
          <w:tcPr>
            <w:tcW w:w="1980" w:type="dxa"/>
            <w:vAlign w:val="bottom"/>
          </w:tcPr>
          <w:p>
            <w:pPr>
              <w:spacing w:after="0"/>
              <w:rPr>
                <w:sz w:val="17"/>
                <w:szCs w:val="17"/>
                <w:color w:val="auto"/>
              </w:rPr>
            </w:pPr>
          </w:p>
        </w:tc>
        <w:tc>
          <w:tcPr>
            <w:tcW w:w="1780" w:type="dxa"/>
            <w:vAlign w:val="bottom"/>
          </w:tcPr>
          <w:p>
            <w:pPr>
              <w:jc w:val="right"/>
              <w:ind w:right="538"/>
              <w:spacing w:after="0" w:line="202" w:lineRule="exact"/>
              <w:rPr>
                <w:sz w:val="20"/>
                <w:szCs w:val="20"/>
                <w:color w:val="auto"/>
              </w:rPr>
            </w:pPr>
            <w:r>
              <w:rPr>
                <w:rFonts w:ascii="Arial" w:cs="Arial" w:eastAsia="Arial" w:hAnsi="Arial"/>
                <w:sz w:val="18"/>
                <w:szCs w:val="18"/>
                <w:color w:val="auto"/>
              </w:rPr>
              <w:t>5.0%</w:t>
            </w: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5.0%</w:t>
            </w:r>
          </w:p>
        </w:tc>
        <w:tc>
          <w:tcPr>
            <w:tcW w:w="20" w:type="dxa"/>
            <w:vAlign w:val="bottom"/>
          </w:tcPr>
          <w:p>
            <w:pPr>
              <w:spacing w:after="0"/>
              <w:rPr>
                <w:sz w:val="17"/>
                <w:szCs w:val="17"/>
                <w:color w:val="auto"/>
              </w:rPr>
            </w:pPr>
          </w:p>
        </w:tc>
      </w:tr>
      <w:tr>
        <w:trPr>
          <w:trHeight w:val="203"/>
        </w:trPr>
        <w:tc>
          <w:tcPr>
            <w:tcW w:w="690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Year that the rate reaches the ultimate trend rate</w:t>
            </w:r>
          </w:p>
        </w:tc>
        <w:tc>
          <w:tcPr>
            <w:tcW w:w="1980" w:type="dxa"/>
            <w:vAlign w:val="bottom"/>
            <w:shd w:val="clear" w:color="auto" w:fill="E6E6E6"/>
          </w:tcPr>
          <w:p>
            <w:pPr>
              <w:spacing w:after="0"/>
              <w:rPr>
                <w:sz w:val="17"/>
                <w:szCs w:val="17"/>
                <w:color w:val="auto"/>
              </w:rPr>
            </w:pPr>
          </w:p>
        </w:tc>
        <w:tc>
          <w:tcPr>
            <w:tcW w:w="1780" w:type="dxa"/>
            <w:vAlign w:val="bottom"/>
            <w:shd w:val="clear" w:color="auto" w:fill="E6E6E6"/>
          </w:tcPr>
          <w:p>
            <w:pPr>
              <w:jc w:val="right"/>
              <w:ind w:right="698"/>
              <w:spacing w:after="0" w:line="202" w:lineRule="exact"/>
              <w:rPr>
                <w:sz w:val="20"/>
                <w:szCs w:val="20"/>
                <w:color w:val="auto"/>
              </w:rPr>
            </w:pPr>
            <w:r>
              <w:rPr>
                <w:rFonts w:ascii="Arial" w:cs="Arial" w:eastAsia="Arial" w:hAnsi="Arial"/>
                <w:sz w:val="18"/>
                <w:szCs w:val="18"/>
                <w:color w:val="auto"/>
              </w:rPr>
              <w:t>2019</w:t>
            </w:r>
          </w:p>
        </w:tc>
        <w:tc>
          <w:tcPr>
            <w:tcW w:w="760" w:type="dxa"/>
            <w:vAlign w:val="bottom"/>
            <w:shd w:val="clear" w:color="auto" w:fill="E6E6E6"/>
          </w:tcPr>
          <w:p>
            <w:pPr>
              <w:jc w:val="right"/>
              <w:ind w:right="98"/>
              <w:spacing w:after="0" w:line="202" w:lineRule="exact"/>
              <w:rPr>
                <w:sz w:val="20"/>
                <w:szCs w:val="20"/>
                <w:color w:val="auto"/>
              </w:rPr>
            </w:pPr>
            <w:r>
              <w:rPr>
                <w:rFonts w:ascii="Arial" w:cs="Arial" w:eastAsia="Arial" w:hAnsi="Arial"/>
                <w:sz w:val="18"/>
                <w:szCs w:val="18"/>
                <w:color w:val="auto"/>
              </w:rPr>
              <w:t>2017</w:t>
            </w:r>
          </w:p>
        </w:tc>
        <w:tc>
          <w:tcPr>
            <w:tcW w:w="20" w:type="dxa"/>
            <w:vAlign w:val="bottom"/>
          </w:tcPr>
          <w:p>
            <w:pPr>
              <w:spacing w:after="0"/>
              <w:rPr>
                <w:sz w:val="17"/>
                <w:szCs w:val="17"/>
                <w:color w:val="auto"/>
              </w:rPr>
            </w:pPr>
          </w:p>
        </w:tc>
      </w:tr>
      <w:tr>
        <w:trPr>
          <w:trHeight w:val="108"/>
        </w:trPr>
        <w:tc>
          <w:tcPr>
            <w:tcW w:w="6900" w:type="dxa"/>
            <w:vAlign w:val="bottom"/>
            <w:tcBorders>
              <w:bottom w:val="single" w:sz="8" w:color="808080"/>
            </w:tcBorders>
          </w:tcPr>
          <w:p>
            <w:pPr>
              <w:spacing w:after="0"/>
              <w:rPr>
                <w:sz w:val="9"/>
                <w:szCs w:val="9"/>
                <w:color w:val="auto"/>
              </w:rPr>
            </w:pPr>
          </w:p>
        </w:tc>
        <w:tc>
          <w:tcPr>
            <w:tcW w:w="1980" w:type="dxa"/>
            <w:vAlign w:val="bottom"/>
            <w:tcBorders>
              <w:bottom w:val="single" w:sz="8" w:color="808080"/>
            </w:tcBorders>
          </w:tcPr>
          <w:p>
            <w:pPr>
              <w:spacing w:after="0"/>
              <w:rPr>
                <w:sz w:val="9"/>
                <w:szCs w:val="9"/>
                <w:color w:val="auto"/>
              </w:rPr>
            </w:pPr>
          </w:p>
        </w:tc>
        <w:tc>
          <w:tcPr>
            <w:tcW w:w="178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r>
    </w:tbl>
    <w:p>
      <w:pPr>
        <w:spacing w:after="0" w:line="316"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Assumed health care cost trend rates could have a significant effect on the amounts reported for the post-retirement health care plan. A one percentage point change in assumed health care cost trend rates would have the following effects: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200660</wp:posOffset>
            </wp:positionV>
            <wp:extent cx="7263765" cy="8890"/>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2">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740" w:type="dxa"/>
            <w:vAlign w:val="bottom"/>
          </w:tcPr>
          <w:p>
            <w:pPr>
              <w:spacing w:after="0"/>
              <w:rPr>
                <w:sz w:val="15"/>
                <w:szCs w:val="15"/>
                <w:color w:val="auto"/>
              </w:rPr>
            </w:pPr>
          </w:p>
        </w:tc>
        <w:tc>
          <w:tcPr>
            <w:tcW w:w="3580" w:type="dxa"/>
            <w:vAlign w:val="bottom"/>
          </w:tcPr>
          <w:p>
            <w:pPr>
              <w:spacing w:after="0"/>
              <w:rPr>
                <w:sz w:val="15"/>
                <w:szCs w:val="15"/>
                <w:color w:val="auto"/>
              </w:rPr>
            </w:pPr>
          </w:p>
        </w:tc>
        <w:tc>
          <w:tcPr>
            <w:tcW w:w="760" w:type="dxa"/>
            <w:vAlign w:val="bottom"/>
          </w:tcPr>
          <w:p>
            <w:pPr>
              <w:jc w:val="right"/>
              <w:ind w:right="79"/>
              <w:spacing w:after="0"/>
              <w:rPr>
                <w:sz w:val="20"/>
                <w:szCs w:val="20"/>
                <w:color w:val="auto"/>
              </w:rPr>
            </w:pPr>
            <w:r>
              <w:rPr>
                <w:rFonts w:ascii="Arial" w:cs="Arial" w:eastAsia="Arial" w:hAnsi="Arial"/>
                <w:sz w:val="14"/>
                <w:szCs w:val="14"/>
                <w:b w:val="1"/>
                <w:bCs w:val="1"/>
                <w:color w:val="auto"/>
              </w:rPr>
              <w:t>2010</w:t>
            </w:r>
          </w:p>
        </w:tc>
        <w:tc>
          <w:tcPr>
            <w:tcW w:w="620" w:type="dxa"/>
            <w:vAlign w:val="bottom"/>
          </w:tcPr>
          <w:p>
            <w:pPr>
              <w:spacing w:after="0"/>
              <w:rPr>
                <w:sz w:val="15"/>
                <w:szCs w:val="15"/>
                <w:color w:val="auto"/>
              </w:rPr>
            </w:pPr>
          </w:p>
        </w:tc>
        <w:tc>
          <w:tcPr>
            <w:tcW w:w="740" w:type="dxa"/>
            <w:vAlign w:val="bottom"/>
          </w:tcPr>
          <w:p>
            <w:pPr>
              <w:jc w:val="right"/>
              <w:ind w:right="59"/>
              <w:spacing w:after="0"/>
              <w:rPr>
                <w:sz w:val="20"/>
                <w:szCs w:val="20"/>
                <w:color w:val="auto"/>
              </w:rPr>
            </w:pPr>
            <w:r>
              <w:rPr>
                <w:rFonts w:ascii="Arial" w:cs="Arial" w:eastAsia="Arial" w:hAnsi="Arial"/>
                <w:sz w:val="14"/>
                <w:szCs w:val="14"/>
                <w:b w:val="1"/>
                <w:bCs w:val="1"/>
                <w:color w:val="auto"/>
              </w:rPr>
              <w:t>2009</w:t>
            </w:r>
          </w:p>
        </w:tc>
      </w:tr>
      <w:tr>
        <w:trPr>
          <w:trHeight w:val="95"/>
        </w:trPr>
        <w:tc>
          <w:tcPr>
            <w:tcW w:w="5740" w:type="dxa"/>
            <w:vAlign w:val="bottom"/>
            <w:tcBorders>
              <w:bottom w:val="single" w:sz="8" w:color="auto"/>
            </w:tcBorders>
          </w:tcPr>
          <w:p>
            <w:pPr>
              <w:spacing w:after="0"/>
              <w:rPr>
                <w:sz w:val="8"/>
                <w:szCs w:val="8"/>
                <w:color w:val="auto"/>
              </w:rPr>
            </w:pPr>
          </w:p>
        </w:tc>
        <w:tc>
          <w:tcPr>
            <w:tcW w:w="358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r>
      <w:tr>
        <w:trPr>
          <w:trHeight w:val="307"/>
        </w:trPr>
        <w:tc>
          <w:tcPr>
            <w:tcW w:w="5740" w:type="dxa"/>
            <w:vAlign w:val="bottom"/>
          </w:tcPr>
          <w:p>
            <w:pPr>
              <w:spacing w:after="0"/>
              <w:rPr>
                <w:sz w:val="20"/>
                <w:szCs w:val="20"/>
                <w:color w:val="auto"/>
              </w:rPr>
            </w:pPr>
            <w:r>
              <w:rPr>
                <w:rFonts w:ascii="Arial" w:cs="Arial" w:eastAsia="Arial" w:hAnsi="Arial"/>
                <w:sz w:val="18"/>
                <w:szCs w:val="18"/>
                <w:color w:val="auto"/>
              </w:rPr>
              <w:t>Total service and interest cost</w:t>
            </w:r>
          </w:p>
        </w:tc>
        <w:tc>
          <w:tcPr>
            <w:tcW w:w="3580" w:type="dxa"/>
            <w:vAlign w:val="bottom"/>
          </w:tcPr>
          <w:p>
            <w:pPr>
              <w:jc w:val="right"/>
              <w:ind w:right="232"/>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79"/>
              <w:spacing w:after="0"/>
              <w:rPr>
                <w:sz w:val="20"/>
                <w:szCs w:val="20"/>
                <w:color w:val="auto"/>
              </w:rPr>
            </w:pPr>
            <w:r>
              <w:rPr>
                <w:rFonts w:ascii="Arial" w:cs="Arial" w:eastAsia="Arial" w:hAnsi="Arial"/>
                <w:sz w:val="18"/>
                <w:szCs w:val="18"/>
                <w:color w:val="auto"/>
              </w:rPr>
              <w:t>0.1</w:t>
            </w:r>
          </w:p>
        </w:tc>
        <w:tc>
          <w:tcPr>
            <w:tcW w:w="620" w:type="dxa"/>
            <w:vAlign w:val="bottom"/>
          </w:tcPr>
          <w:p>
            <w:pPr>
              <w:jc w:val="right"/>
              <w:ind w:right="252"/>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59"/>
              <w:spacing w:after="0"/>
              <w:rPr>
                <w:sz w:val="20"/>
                <w:szCs w:val="20"/>
                <w:color w:val="auto"/>
              </w:rPr>
            </w:pPr>
            <w:r>
              <w:rPr>
                <w:rFonts w:ascii="Arial" w:cs="Arial" w:eastAsia="Arial" w:hAnsi="Arial"/>
                <w:sz w:val="18"/>
                <w:szCs w:val="18"/>
                <w:color w:val="auto"/>
              </w:rPr>
              <w:t>0.2</w:t>
            </w:r>
          </w:p>
        </w:tc>
      </w:tr>
      <w:tr>
        <w:trPr>
          <w:trHeight w:val="211"/>
        </w:trPr>
        <w:tc>
          <w:tcPr>
            <w:tcW w:w="5740" w:type="dxa"/>
            <w:vAlign w:val="bottom"/>
          </w:tcPr>
          <w:p>
            <w:pPr>
              <w:spacing w:after="0"/>
              <w:rPr>
                <w:sz w:val="20"/>
                <w:szCs w:val="20"/>
                <w:color w:val="auto"/>
              </w:rPr>
            </w:pPr>
            <w:r>
              <w:rPr>
                <w:rFonts w:ascii="Arial" w:cs="Arial" w:eastAsia="Arial" w:hAnsi="Arial"/>
                <w:sz w:val="18"/>
                <w:szCs w:val="18"/>
                <w:color w:val="auto"/>
              </w:rPr>
              <w:t>Post-retirement benefit obligation</w:t>
            </w:r>
          </w:p>
        </w:tc>
        <w:tc>
          <w:tcPr>
            <w:tcW w:w="3580" w:type="dxa"/>
            <w:vAlign w:val="bottom"/>
          </w:tcPr>
          <w:p>
            <w:pPr>
              <w:spacing w:after="0"/>
              <w:rPr>
                <w:sz w:val="18"/>
                <w:szCs w:val="18"/>
                <w:color w:val="auto"/>
              </w:rPr>
            </w:pPr>
          </w:p>
        </w:tc>
        <w:tc>
          <w:tcPr>
            <w:tcW w:w="760" w:type="dxa"/>
            <w:vAlign w:val="bottom"/>
          </w:tcPr>
          <w:p>
            <w:pPr>
              <w:jc w:val="right"/>
              <w:ind w:right="79"/>
              <w:spacing w:after="0"/>
              <w:rPr>
                <w:sz w:val="20"/>
                <w:szCs w:val="20"/>
                <w:color w:val="auto"/>
              </w:rPr>
            </w:pPr>
            <w:r>
              <w:rPr>
                <w:rFonts w:ascii="Arial" w:cs="Arial" w:eastAsia="Arial" w:hAnsi="Arial"/>
                <w:sz w:val="18"/>
                <w:szCs w:val="18"/>
                <w:color w:val="auto"/>
              </w:rPr>
              <w:t>3.4</w:t>
            </w:r>
          </w:p>
        </w:tc>
        <w:tc>
          <w:tcPr>
            <w:tcW w:w="620" w:type="dxa"/>
            <w:vAlign w:val="bottom"/>
          </w:tcPr>
          <w:p>
            <w:pPr>
              <w:spacing w:after="0"/>
              <w:rPr>
                <w:sz w:val="18"/>
                <w:szCs w:val="18"/>
                <w:color w:val="auto"/>
              </w:rPr>
            </w:pPr>
          </w:p>
        </w:tc>
        <w:tc>
          <w:tcPr>
            <w:tcW w:w="740" w:type="dxa"/>
            <w:vAlign w:val="bottom"/>
          </w:tcPr>
          <w:p>
            <w:pPr>
              <w:jc w:val="right"/>
              <w:ind w:right="59"/>
              <w:spacing w:after="0"/>
              <w:rPr>
                <w:sz w:val="20"/>
                <w:szCs w:val="20"/>
                <w:color w:val="auto"/>
              </w:rPr>
            </w:pPr>
            <w:r>
              <w:rPr>
                <w:rFonts w:ascii="Arial" w:cs="Arial" w:eastAsia="Arial" w:hAnsi="Arial"/>
                <w:sz w:val="18"/>
                <w:szCs w:val="18"/>
                <w:color w:val="auto"/>
              </w:rPr>
              <w:t>2.7</w:t>
            </w:r>
          </w:p>
        </w:tc>
      </w:tr>
      <w:tr>
        <w:trPr>
          <w:trHeight w:val="97"/>
        </w:trPr>
        <w:tc>
          <w:tcPr>
            <w:tcW w:w="5740" w:type="dxa"/>
            <w:vAlign w:val="bottom"/>
            <w:tcBorders>
              <w:bottom w:val="single" w:sz="8" w:color="808080"/>
            </w:tcBorders>
          </w:tcPr>
          <w:p>
            <w:pPr>
              <w:spacing w:after="0"/>
              <w:rPr>
                <w:sz w:val="8"/>
                <w:szCs w:val="8"/>
                <w:color w:val="auto"/>
              </w:rPr>
            </w:pPr>
          </w:p>
        </w:tc>
        <w:tc>
          <w:tcPr>
            <w:tcW w:w="358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r>
    </w:tbl>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Defined contribution plans</w:t>
      </w:r>
    </w:p>
    <w:p>
      <w:pPr>
        <w:spacing w:after="0" w:line="222"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The Company also provides defined contribution plans for certain eligible employees. In the United States, the Company sponsors a 401(k) retirement plan and has contributed $5.0, $7.1 and $6.9 for fiscal 2010, 2009 and 2008, respectively.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ACCRUED SEVERANCE</w:t>
      </w:r>
    </w:p>
    <w:p>
      <w:pPr>
        <w:spacing w:after="0" w:line="231"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During fiscal 2009, the Company initiated certain cost reduction measures, including a previously announced voluntary retirement program and a workforce reduction program. The table set forth below provides information regarding severance costs appearing on the Company’s Consolidated Statements of Operations associated with these cost reduction measures. The severance accrual of $3.4 and $3.4 as of May 31, 2010 and 2009, respectively, is included in Other accrued expenses on the Company’s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207645</wp:posOffset>
            </wp:positionV>
            <wp:extent cx="7263765" cy="8890"/>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3">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77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60" w:type="dxa"/>
            <w:vAlign w:val="bottom"/>
          </w:tcPr>
          <w:p>
            <w:pPr>
              <w:jc w:val="right"/>
              <w:ind w:right="177"/>
              <w:spacing w:after="0"/>
              <w:rPr>
                <w:sz w:val="20"/>
                <w:szCs w:val="20"/>
                <w:color w:val="auto"/>
              </w:rPr>
            </w:pPr>
            <w:r>
              <w:rPr>
                <w:rFonts w:ascii="Arial" w:cs="Arial" w:eastAsia="Arial" w:hAnsi="Arial"/>
                <w:sz w:val="14"/>
                <w:szCs w:val="14"/>
                <w:b w:val="1"/>
                <w:bCs w:val="1"/>
                <w:color w:val="auto"/>
              </w:rPr>
              <w:t>2010</w:t>
            </w:r>
          </w:p>
        </w:tc>
        <w:tc>
          <w:tcPr>
            <w:tcW w:w="460" w:type="dxa"/>
            <w:vAlign w:val="bottom"/>
          </w:tcPr>
          <w:p>
            <w:pPr>
              <w:spacing w:after="0"/>
              <w:rPr>
                <w:sz w:val="15"/>
                <w:szCs w:val="15"/>
                <w:color w:val="auto"/>
              </w:rPr>
            </w:pPr>
          </w:p>
        </w:tc>
        <w:tc>
          <w:tcPr>
            <w:tcW w:w="780" w:type="dxa"/>
            <w:vAlign w:val="bottom"/>
          </w:tcPr>
          <w:p>
            <w:pPr>
              <w:jc w:val="right"/>
              <w:ind w:right="37"/>
              <w:spacing w:after="0"/>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95"/>
        </w:trPr>
        <w:tc>
          <w:tcPr>
            <w:tcW w:w="77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r>
      <w:tr>
        <w:trPr>
          <w:trHeight w:val="102"/>
        </w:trPr>
        <w:tc>
          <w:tcPr>
            <w:tcW w:w="7740" w:type="dxa"/>
            <w:vAlign w:val="bottom"/>
          </w:tcPr>
          <w:p>
            <w:pPr>
              <w:spacing w:after="0"/>
              <w:rPr>
                <w:sz w:val="8"/>
                <w:szCs w:val="8"/>
                <w:color w:val="auto"/>
              </w:rPr>
            </w:pPr>
          </w:p>
        </w:tc>
        <w:tc>
          <w:tcPr>
            <w:tcW w:w="460" w:type="dxa"/>
            <w:vAlign w:val="bottom"/>
          </w:tcPr>
          <w:p>
            <w:pPr>
              <w:spacing w:after="0"/>
              <w:rPr>
                <w:sz w:val="8"/>
                <w:szCs w:val="8"/>
                <w:color w:val="auto"/>
              </w:rPr>
            </w:pPr>
          </w:p>
        </w:tc>
        <w:tc>
          <w:tcPr>
            <w:tcW w:w="660" w:type="dxa"/>
            <w:vAlign w:val="bottom"/>
          </w:tcPr>
          <w:p>
            <w:pPr>
              <w:spacing w:after="0"/>
              <w:rPr>
                <w:sz w:val="8"/>
                <w:szCs w:val="8"/>
                <w:color w:val="auto"/>
              </w:rPr>
            </w:pPr>
          </w:p>
        </w:tc>
        <w:tc>
          <w:tcPr>
            <w:tcW w:w="560" w:type="dxa"/>
            <w:vAlign w:val="bottom"/>
          </w:tcPr>
          <w:p>
            <w:pPr>
              <w:spacing w:after="0"/>
              <w:rPr>
                <w:sz w:val="8"/>
                <w:szCs w:val="8"/>
                <w:color w:val="auto"/>
              </w:rPr>
            </w:pPr>
          </w:p>
        </w:tc>
        <w:tc>
          <w:tcPr>
            <w:tcW w:w="760" w:type="dxa"/>
            <w:vAlign w:val="bottom"/>
          </w:tcPr>
          <w:p>
            <w:pPr>
              <w:spacing w:after="0"/>
              <w:rPr>
                <w:sz w:val="8"/>
                <w:szCs w:val="8"/>
                <w:color w:val="auto"/>
              </w:rPr>
            </w:pPr>
          </w:p>
        </w:tc>
        <w:tc>
          <w:tcPr>
            <w:tcW w:w="46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203"/>
        </w:trPr>
        <w:tc>
          <w:tcPr>
            <w:tcW w:w="774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Beginning balance</w:t>
            </w:r>
          </w:p>
        </w:tc>
        <w:tc>
          <w:tcPr>
            <w:tcW w:w="460" w:type="dxa"/>
            <w:vAlign w:val="bottom"/>
            <w:shd w:val="clear" w:color="auto" w:fill="E6E6E6"/>
          </w:tcPr>
          <w:p>
            <w:pPr>
              <w:spacing w:after="0"/>
              <w:rPr>
                <w:sz w:val="17"/>
                <w:szCs w:val="17"/>
                <w:color w:val="auto"/>
              </w:rPr>
            </w:pPr>
          </w:p>
        </w:tc>
        <w:tc>
          <w:tcPr>
            <w:tcW w:w="660" w:type="dxa"/>
            <w:vAlign w:val="bottom"/>
            <w:shd w:val="clear" w:color="auto" w:fill="E6E6E6"/>
          </w:tcPr>
          <w:p>
            <w:pPr>
              <w:spacing w:after="0"/>
              <w:rPr>
                <w:sz w:val="17"/>
                <w:szCs w:val="17"/>
                <w:color w:val="auto"/>
              </w:rPr>
            </w:pPr>
          </w:p>
        </w:tc>
        <w:tc>
          <w:tcPr>
            <w:tcW w:w="560" w:type="dxa"/>
            <w:vAlign w:val="bottom"/>
            <w:shd w:val="clear" w:color="auto" w:fill="E6E6E6"/>
          </w:tcPr>
          <w:p>
            <w:pPr>
              <w:jc w:val="right"/>
              <w:ind w:right="332"/>
              <w:spacing w:after="0" w:line="202" w:lineRule="exact"/>
              <w:rPr>
                <w:sz w:val="20"/>
                <w:szCs w:val="20"/>
                <w:color w:val="auto"/>
              </w:rPr>
            </w:pPr>
            <w:r>
              <w:rPr>
                <w:rFonts w:ascii="Arial" w:cs="Arial" w:eastAsia="Arial" w:hAnsi="Arial"/>
                <w:sz w:val="18"/>
                <w:szCs w:val="18"/>
                <w:color w:val="auto"/>
              </w:rPr>
              <w:t>$</w:t>
            </w:r>
          </w:p>
        </w:tc>
        <w:tc>
          <w:tcPr>
            <w:tcW w:w="760" w:type="dxa"/>
            <w:vAlign w:val="bottom"/>
            <w:shd w:val="clear" w:color="auto" w:fill="E6E6E6"/>
          </w:tcPr>
          <w:p>
            <w:pPr>
              <w:jc w:val="right"/>
              <w:ind w:right="177"/>
              <w:spacing w:after="0" w:line="202" w:lineRule="exact"/>
              <w:rPr>
                <w:sz w:val="20"/>
                <w:szCs w:val="20"/>
                <w:color w:val="auto"/>
              </w:rPr>
            </w:pPr>
            <w:r>
              <w:rPr>
                <w:rFonts w:ascii="Arial" w:cs="Arial" w:eastAsia="Arial" w:hAnsi="Arial"/>
                <w:sz w:val="18"/>
                <w:szCs w:val="18"/>
                <w:color w:val="auto"/>
              </w:rPr>
              <w:t>3.4</w:t>
            </w:r>
          </w:p>
        </w:tc>
        <w:tc>
          <w:tcPr>
            <w:tcW w:w="460" w:type="dxa"/>
            <w:vAlign w:val="bottom"/>
            <w:shd w:val="clear" w:color="auto" w:fill="E6E6E6"/>
          </w:tcPr>
          <w:p>
            <w:pPr>
              <w:jc w:val="right"/>
              <w:ind w:right="192"/>
              <w:spacing w:after="0" w:line="202" w:lineRule="exact"/>
              <w:rPr>
                <w:sz w:val="20"/>
                <w:szCs w:val="20"/>
                <w:color w:val="auto"/>
              </w:rPr>
            </w:pPr>
            <w:r>
              <w:rPr>
                <w:rFonts w:ascii="Arial" w:cs="Arial" w:eastAsia="Arial" w:hAnsi="Arial"/>
                <w:sz w:val="18"/>
                <w:szCs w:val="18"/>
                <w:color w:val="auto"/>
              </w:rPr>
              <w:t>$</w:t>
            </w:r>
          </w:p>
        </w:tc>
        <w:tc>
          <w:tcPr>
            <w:tcW w:w="780" w:type="dxa"/>
            <w:vAlign w:val="bottom"/>
            <w:shd w:val="clear" w:color="auto" w:fill="E6E6E6"/>
          </w:tcPr>
          <w:p>
            <w:pPr>
              <w:jc w:val="right"/>
              <w:ind w:right="37"/>
              <w:spacing w:after="0" w:line="202" w:lineRule="exact"/>
              <w:rPr>
                <w:sz w:val="20"/>
                <w:szCs w:val="20"/>
                <w:color w:val="auto"/>
              </w:rPr>
            </w:pPr>
            <w:r>
              <w:rPr>
                <w:rFonts w:ascii="Arial" w:cs="Arial" w:eastAsia="Arial" w:hAnsi="Arial"/>
                <w:sz w:val="18"/>
                <w:szCs w:val="18"/>
                <w:color w:val="auto"/>
              </w:rPr>
              <w:t>0.4</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7740" w:type="dxa"/>
            <w:vAlign w:val="bottom"/>
          </w:tcPr>
          <w:p>
            <w:pPr>
              <w:spacing w:after="0" w:line="202" w:lineRule="exact"/>
              <w:rPr>
                <w:sz w:val="20"/>
                <w:szCs w:val="20"/>
                <w:color w:val="auto"/>
              </w:rPr>
            </w:pPr>
            <w:r>
              <w:rPr>
                <w:rFonts w:ascii="Arial" w:cs="Arial" w:eastAsia="Arial" w:hAnsi="Arial"/>
                <w:sz w:val="18"/>
                <w:szCs w:val="18"/>
                <w:color w:val="auto"/>
              </w:rPr>
              <w:t>Accruals</w:t>
            </w:r>
          </w:p>
        </w:tc>
        <w:tc>
          <w:tcPr>
            <w:tcW w:w="4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60" w:type="dxa"/>
            <w:vAlign w:val="bottom"/>
          </w:tcPr>
          <w:p>
            <w:pPr>
              <w:jc w:val="right"/>
              <w:ind w:right="177"/>
              <w:spacing w:after="0" w:line="202" w:lineRule="exact"/>
              <w:rPr>
                <w:sz w:val="20"/>
                <w:szCs w:val="20"/>
                <w:color w:val="auto"/>
              </w:rPr>
            </w:pPr>
            <w:r>
              <w:rPr>
                <w:rFonts w:ascii="Arial" w:cs="Arial" w:eastAsia="Arial" w:hAnsi="Arial"/>
                <w:sz w:val="18"/>
                <w:szCs w:val="18"/>
                <w:color w:val="auto"/>
              </w:rPr>
              <w:t>9.2</w:t>
            </w:r>
          </w:p>
        </w:tc>
        <w:tc>
          <w:tcPr>
            <w:tcW w:w="460" w:type="dxa"/>
            <w:vAlign w:val="bottom"/>
          </w:tcPr>
          <w:p>
            <w:pPr>
              <w:spacing w:after="0"/>
              <w:rPr>
                <w:sz w:val="17"/>
                <w:szCs w:val="17"/>
                <w:color w:val="auto"/>
              </w:rPr>
            </w:pPr>
          </w:p>
        </w:tc>
        <w:tc>
          <w:tcPr>
            <w:tcW w:w="780" w:type="dxa"/>
            <w:vAlign w:val="bottom"/>
          </w:tcPr>
          <w:p>
            <w:pPr>
              <w:jc w:val="right"/>
              <w:ind w:right="37"/>
              <w:spacing w:after="0" w:line="202" w:lineRule="exact"/>
              <w:rPr>
                <w:sz w:val="20"/>
                <w:szCs w:val="20"/>
                <w:color w:val="auto"/>
              </w:rPr>
            </w:pPr>
            <w:r>
              <w:rPr>
                <w:rFonts w:ascii="Arial" w:cs="Arial" w:eastAsia="Arial" w:hAnsi="Arial"/>
                <w:sz w:val="18"/>
                <w:szCs w:val="18"/>
                <w:color w:val="auto"/>
              </w:rPr>
              <w:t>23.9</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774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Payments</w:t>
            </w:r>
          </w:p>
        </w:tc>
        <w:tc>
          <w:tcPr>
            <w:tcW w:w="460" w:type="dxa"/>
            <w:vAlign w:val="bottom"/>
            <w:shd w:val="clear" w:color="auto" w:fill="E6E6E6"/>
          </w:tcPr>
          <w:p>
            <w:pPr>
              <w:spacing w:after="0"/>
              <w:rPr>
                <w:sz w:val="17"/>
                <w:szCs w:val="17"/>
                <w:color w:val="auto"/>
              </w:rPr>
            </w:pPr>
          </w:p>
        </w:tc>
        <w:tc>
          <w:tcPr>
            <w:tcW w:w="660" w:type="dxa"/>
            <w:vAlign w:val="bottom"/>
            <w:shd w:val="clear" w:color="auto" w:fill="E6E6E6"/>
          </w:tcPr>
          <w:p>
            <w:pPr>
              <w:spacing w:after="0"/>
              <w:rPr>
                <w:sz w:val="17"/>
                <w:szCs w:val="17"/>
                <w:color w:val="auto"/>
              </w:rPr>
            </w:pPr>
          </w:p>
        </w:tc>
        <w:tc>
          <w:tcPr>
            <w:tcW w:w="560" w:type="dxa"/>
            <w:vAlign w:val="bottom"/>
            <w:shd w:val="clear" w:color="auto" w:fill="E6E6E6"/>
          </w:tcPr>
          <w:p>
            <w:pPr>
              <w:spacing w:after="0"/>
              <w:rPr>
                <w:sz w:val="17"/>
                <w:szCs w:val="17"/>
                <w:color w:val="auto"/>
              </w:rPr>
            </w:pPr>
          </w:p>
        </w:tc>
        <w:tc>
          <w:tcPr>
            <w:tcW w:w="760" w:type="dxa"/>
            <w:vAlign w:val="bottom"/>
            <w:shd w:val="clear" w:color="auto" w:fill="E6E6E6"/>
          </w:tcPr>
          <w:p>
            <w:pPr>
              <w:jc w:val="right"/>
              <w:ind w:right="117"/>
              <w:spacing w:after="0" w:line="202" w:lineRule="exact"/>
              <w:rPr>
                <w:sz w:val="20"/>
                <w:szCs w:val="20"/>
                <w:color w:val="auto"/>
              </w:rPr>
            </w:pPr>
            <w:r>
              <w:rPr>
                <w:rFonts w:ascii="Arial" w:cs="Arial" w:eastAsia="Arial" w:hAnsi="Arial"/>
                <w:sz w:val="18"/>
                <w:szCs w:val="18"/>
                <w:color w:val="auto"/>
              </w:rPr>
              <w:t>(9.2)</w:t>
            </w:r>
          </w:p>
        </w:tc>
        <w:tc>
          <w:tcPr>
            <w:tcW w:w="460" w:type="dxa"/>
            <w:vAlign w:val="bottom"/>
            <w:shd w:val="clear" w:color="auto" w:fill="E6E6E6"/>
          </w:tcPr>
          <w:p>
            <w:pPr>
              <w:spacing w:after="0"/>
              <w:rPr>
                <w:sz w:val="17"/>
                <w:szCs w:val="17"/>
                <w:color w:val="auto"/>
              </w:rPr>
            </w:pPr>
          </w:p>
        </w:tc>
        <w:tc>
          <w:tcPr>
            <w:tcW w:w="78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(20.9)</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08"/>
        </w:trPr>
        <w:tc>
          <w:tcPr>
            <w:tcW w:w="774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316"/>
        </w:trPr>
        <w:tc>
          <w:tcPr>
            <w:tcW w:w="7740" w:type="dxa"/>
            <w:vAlign w:val="bottom"/>
          </w:tcPr>
          <w:p>
            <w:pPr>
              <w:spacing w:after="0"/>
              <w:rPr>
                <w:sz w:val="20"/>
                <w:szCs w:val="20"/>
                <w:color w:val="auto"/>
              </w:rPr>
            </w:pPr>
            <w:r>
              <w:rPr>
                <w:rFonts w:ascii="Arial" w:cs="Arial" w:eastAsia="Arial" w:hAnsi="Arial"/>
                <w:sz w:val="18"/>
                <w:szCs w:val="18"/>
                <w:b w:val="1"/>
                <w:bCs w:val="1"/>
                <w:color w:val="auto"/>
              </w:rPr>
              <w:t>Ending balance</w:t>
            </w: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60" w:type="dxa"/>
            <w:vAlign w:val="bottom"/>
          </w:tcPr>
          <w:p>
            <w:pPr>
              <w:jc w:val="right"/>
              <w:ind w:right="332"/>
              <w:spacing w:after="0"/>
              <w:rPr>
                <w:sz w:val="20"/>
                <w:szCs w:val="20"/>
                <w:color w:val="auto"/>
              </w:rPr>
            </w:pPr>
            <w:r>
              <w:rPr>
                <w:rFonts w:ascii="Arial" w:cs="Arial" w:eastAsia="Arial" w:hAnsi="Arial"/>
                <w:sz w:val="18"/>
                <w:szCs w:val="18"/>
                <w:b w:val="1"/>
                <w:bCs w:val="1"/>
                <w:color w:val="auto"/>
              </w:rPr>
              <w:t>$</w:t>
            </w:r>
          </w:p>
        </w:tc>
        <w:tc>
          <w:tcPr>
            <w:tcW w:w="760" w:type="dxa"/>
            <w:vAlign w:val="bottom"/>
          </w:tcPr>
          <w:p>
            <w:pPr>
              <w:jc w:val="right"/>
              <w:ind w:right="177"/>
              <w:spacing w:after="0"/>
              <w:rPr>
                <w:sz w:val="20"/>
                <w:szCs w:val="20"/>
                <w:color w:val="auto"/>
              </w:rPr>
            </w:pPr>
            <w:r>
              <w:rPr>
                <w:rFonts w:ascii="Arial" w:cs="Arial" w:eastAsia="Arial" w:hAnsi="Arial"/>
                <w:sz w:val="18"/>
                <w:szCs w:val="18"/>
                <w:b w:val="1"/>
                <w:bCs w:val="1"/>
                <w:color w:val="auto"/>
              </w:rPr>
              <w:t>3.4</w:t>
            </w:r>
          </w:p>
        </w:tc>
        <w:tc>
          <w:tcPr>
            <w:tcW w:w="460" w:type="dxa"/>
            <w:vAlign w:val="bottom"/>
          </w:tcPr>
          <w:p>
            <w:pPr>
              <w:jc w:val="right"/>
              <w:ind w:right="192"/>
              <w:spacing w:after="0"/>
              <w:rPr>
                <w:sz w:val="20"/>
                <w:szCs w:val="20"/>
                <w:color w:val="auto"/>
              </w:rPr>
            </w:pPr>
            <w:r>
              <w:rPr>
                <w:rFonts w:ascii="Arial" w:cs="Arial" w:eastAsia="Arial" w:hAnsi="Arial"/>
                <w:sz w:val="18"/>
                <w:szCs w:val="18"/>
                <w:b w:val="1"/>
                <w:bCs w:val="1"/>
                <w:color w:val="auto"/>
              </w:rPr>
              <w:t>$</w:t>
            </w:r>
          </w:p>
        </w:tc>
        <w:tc>
          <w:tcPr>
            <w:tcW w:w="780" w:type="dxa"/>
            <w:vAlign w:val="bottom"/>
          </w:tcPr>
          <w:p>
            <w:pPr>
              <w:jc w:val="right"/>
              <w:ind w:right="37"/>
              <w:spacing w:after="0"/>
              <w:rPr>
                <w:sz w:val="20"/>
                <w:szCs w:val="20"/>
                <w:color w:val="auto"/>
              </w:rPr>
            </w:pPr>
            <w:r>
              <w:rPr>
                <w:rFonts w:ascii="Arial" w:cs="Arial" w:eastAsia="Arial" w:hAnsi="Arial"/>
                <w:sz w:val="18"/>
                <w:szCs w:val="18"/>
                <w:b w:val="1"/>
                <w:bCs w:val="1"/>
                <w:color w:val="auto"/>
              </w:rPr>
              <w:t>3.4</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20"/>
        </w:trPr>
        <w:tc>
          <w:tcPr>
            <w:tcW w:w="7740" w:type="dxa"/>
            <w:vAlign w:val="bottom"/>
            <w:tcBorders>
              <w:bottom w:val="single" w:sz="8" w:color="808080"/>
            </w:tcBorders>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r>
      <w:tr>
        <w:trPr>
          <w:trHeight w:val="535"/>
        </w:trPr>
        <w:tc>
          <w:tcPr>
            <w:tcW w:w="7740" w:type="dxa"/>
            <w:vAlign w:val="bottom"/>
          </w:tcPr>
          <w:p>
            <w:pPr>
              <w:spacing w:after="0"/>
              <w:rPr>
                <w:sz w:val="20"/>
                <w:szCs w:val="20"/>
                <w:color w:val="auto"/>
              </w:rPr>
            </w:pPr>
            <w:r>
              <w:rPr>
                <w:rFonts w:ascii="Arial" w:cs="Arial" w:eastAsia="Arial" w:hAnsi="Arial"/>
                <w:sz w:val="18"/>
                <w:szCs w:val="18"/>
                <w:b w:val="1"/>
                <w:bCs w:val="1"/>
                <w:color w:val="auto"/>
              </w:rPr>
              <w:t>13. EARNINGS PER SHARE</w:t>
            </w: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2"/>
        </w:trPr>
        <w:tc>
          <w:tcPr>
            <w:tcW w:w="7740" w:type="dxa"/>
            <w:vAlign w:val="bottom"/>
          </w:tcPr>
          <w:p>
            <w:pPr>
              <w:spacing w:after="0"/>
              <w:rPr>
                <w:sz w:val="20"/>
                <w:szCs w:val="20"/>
                <w:color w:val="auto"/>
              </w:rPr>
            </w:pPr>
            <w:r>
              <w:rPr>
                <w:rFonts w:ascii="Arial" w:cs="Arial" w:eastAsia="Arial" w:hAnsi="Arial"/>
                <w:sz w:val="18"/>
                <w:szCs w:val="18"/>
                <w:color w:val="auto"/>
                <w:w w:val="89"/>
              </w:rPr>
              <w:t>The following table sets forth the computation of basic earnings per share for the fiscal years ended May 31:</w:t>
            </w: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40"/>
        </w:trPr>
        <w:tc>
          <w:tcPr>
            <w:tcW w:w="77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63"/>
        </w:trPr>
        <w:tc>
          <w:tcPr>
            <w:tcW w:w="77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2010</w:t>
            </w:r>
          </w:p>
        </w:tc>
        <w:tc>
          <w:tcPr>
            <w:tcW w:w="560" w:type="dxa"/>
            <w:vAlign w:val="bottom"/>
          </w:tcPr>
          <w:p>
            <w:pPr>
              <w:spacing w:after="0"/>
              <w:rPr>
                <w:sz w:val="22"/>
                <w:szCs w:val="22"/>
                <w:color w:val="auto"/>
              </w:rPr>
            </w:pPr>
          </w:p>
        </w:tc>
        <w:tc>
          <w:tcPr>
            <w:tcW w:w="760" w:type="dxa"/>
            <w:vAlign w:val="bottom"/>
          </w:tcPr>
          <w:p>
            <w:pPr>
              <w:jc w:val="right"/>
              <w:ind w:right="77"/>
              <w:spacing w:after="0"/>
              <w:rPr>
                <w:sz w:val="20"/>
                <w:szCs w:val="20"/>
                <w:color w:val="auto"/>
              </w:rPr>
            </w:pPr>
            <w:r>
              <w:rPr>
                <w:rFonts w:ascii="Arial" w:cs="Arial" w:eastAsia="Arial" w:hAnsi="Arial"/>
                <w:sz w:val="14"/>
                <w:szCs w:val="14"/>
                <w:b w:val="1"/>
                <w:bCs w:val="1"/>
                <w:color w:val="auto"/>
              </w:rPr>
              <w:t>2009</w:t>
            </w:r>
          </w:p>
        </w:tc>
        <w:tc>
          <w:tcPr>
            <w:tcW w:w="460" w:type="dxa"/>
            <w:vAlign w:val="bottom"/>
          </w:tcPr>
          <w:p>
            <w:pPr>
              <w:spacing w:after="0"/>
              <w:rPr>
                <w:sz w:val="22"/>
                <w:szCs w:val="22"/>
                <w:color w:val="auto"/>
              </w:rPr>
            </w:pPr>
          </w:p>
        </w:tc>
        <w:tc>
          <w:tcPr>
            <w:tcW w:w="780" w:type="dxa"/>
            <w:vAlign w:val="bottom"/>
          </w:tcPr>
          <w:p>
            <w:pPr>
              <w:jc w:val="right"/>
              <w:ind w:right="37"/>
              <w:spacing w:after="0"/>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95"/>
        </w:trPr>
        <w:tc>
          <w:tcPr>
            <w:tcW w:w="77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r>
      <w:tr>
        <w:trPr>
          <w:trHeight w:val="102"/>
        </w:trPr>
        <w:tc>
          <w:tcPr>
            <w:tcW w:w="7740" w:type="dxa"/>
            <w:vAlign w:val="bottom"/>
          </w:tcPr>
          <w:p>
            <w:pPr>
              <w:spacing w:after="0"/>
              <w:rPr>
                <w:sz w:val="8"/>
                <w:szCs w:val="8"/>
                <w:color w:val="auto"/>
              </w:rPr>
            </w:pPr>
          </w:p>
        </w:tc>
        <w:tc>
          <w:tcPr>
            <w:tcW w:w="460" w:type="dxa"/>
            <w:vAlign w:val="bottom"/>
          </w:tcPr>
          <w:p>
            <w:pPr>
              <w:spacing w:after="0"/>
              <w:rPr>
                <w:sz w:val="8"/>
                <w:szCs w:val="8"/>
                <w:color w:val="auto"/>
              </w:rPr>
            </w:pPr>
          </w:p>
        </w:tc>
        <w:tc>
          <w:tcPr>
            <w:tcW w:w="660" w:type="dxa"/>
            <w:vAlign w:val="bottom"/>
          </w:tcPr>
          <w:p>
            <w:pPr>
              <w:spacing w:after="0"/>
              <w:rPr>
                <w:sz w:val="8"/>
                <w:szCs w:val="8"/>
                <w:color w:val="auto"/>
              </w:rPr>
            </w:pPr>
          </w:p>
        </w:tc>
        <w:tc>
          <w:tcPr>
            <w:tcW w:w="560" w:type="dxa"/>
            <w:vAlign w:val="bottom"/>
          </w:tcPr>
          <w:p>
            <w:pPr>
              <w:spacing w:after="0"/>
              <w:rPr>
                <w:sz w:val="8"/>
                <w:szCs w:val="8"/>
                <w:color w:val="auto"/>
              </w:rPr>
            </w:pPr>
          </w:p>
        </w:tc>
        <w:tc>
          <w:tcPr>
            <w:tcW w:w="760" w:type="dxa"/>
            <w:vAlign w:val="bottom"/>
          </w:tcPr>
          <w:p>
            <w:pPr>
              <w:spacing w:after="0"/>
              <w:rPr>
                <w:sz w:val="8"/>
                <w:szCs w:val="8"/>
                <w:color w:val="auto"/>
              </w:rPr>
            </w:pPr>
          </w:p>
        </w:tc>
        <w:tc>
          <w:tcPr>
            <w:tcW w:w="46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203"/>
        </w:trPr>
        <w:tc>
          <w:tcPr>
            <w:tcW w:w="774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Earnings from continuing operations</w:t>
            </w:r>
          </w:p>
        </w:tc>
        <w:tc>
          <w:tcPr>
            <w:tcW w:w="460" w:type="dxa"/>
            <w:vAlign w:val="bottom"/>
            <w:shd w:val="clear" w:color="auto" w:fill="E6E6E6"/>
          </w:tcPr>
          <w:p>
            <w:pPr>
              <w:jc w:val="right"/>
              <w:ind w:right="152"/>
              <w:spacing w:after="0" w:line="202" w:lineRule="exact"/>
              <w:rPr>
                <w:sz w:val="20"/>
                <w:szCs w:val="20"/>
                <w:color w:val="auto"/>
              </w:rPr>
            </w:pPr>
            <w:r>
              <w:rPr>
                <w:rFonts w:ascii="Arial" w:cs="Arial" w:eastAsia="Arial" w:hAnsi="Arial"/>
                <w:sz w:val="18"/>
                <w:szCs w:val="18"/>
                <w:color w:val="auto"/>
              </w:rPr>
              <w:t>$</w:t>
            </w:r>
          </w:p>
        </w:tc>
        <w:tc>
          <w:tcPr>
            <w:tcW w:w="66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58.7</w:t>
            </w:r>
          </w:p>
        </w:tc>
        <w:tc>
          <w:tcPr>
            <w:tcW w:w="560" w:type="dxa"/>
            <w:vAlign w:val="bottom"/>
            <w:shd w:val="clear" w:color="auto" w:fill="E6E6E6"/>
          </w:tcPr>
          <w:p>
            <w:pPr>
              <w:jc w:val="right"/>
              <w:ind w:right="132"/>
              <w:spacing w:after="0" w:line="202" w:lineRule="exact"/>
              <w:rPr>
                <w:sz w:val="20"/>
                <w:szCs w:val="20"/>
                <w:color w:val="auto"/>
              </w:rPr>
            </w:pPr>
            <w:r>
              <w:rPr>
                <w:rFonts w:ascii="Arial" w:cs="Arial" w:eastAsia="Arial" w:hAnsi="Arial"/>
                <w:sz w:val="18"/>
                <w:szCs w:val="18"/>
                <w:color w:val="auto"/>
              </w:rPr>
              <w:t>$</w:t>
            </w:r>
          </w:p>
        </w:tc>
        <w:tc>
          <w:tcPr>
            <w:tcW w:w="760" w:type="dxa"/>
            <w:vAlign w:val="bottom"/>
            <w:shd w:val="clear" w:color="auto" w:fill="E6E6E6"/>
          </w:tcPr>
          <w:p>
            <w:pPr>
              <w:jc w:val="right"/>
              <w:ind w:right="77"/>
              <w:spacing w:after="0" w:line="202" w:lineRule="exact"/>
              <w:rPr>
                <w:sz w:val="20"/>
                <w:szCs w:val="20"/>
                <w:color w:val="auto"/>
              </w:rPr>
            </w:pPr>
            <w:r>
              <w:rPr>
                <w:rFonts w:ascii="Arial" w:cs="Arial" w:eastAsia="Arial" w:hAnsi="Arial"/>
                <w:sz w:val="18"/>
                <w:szCs w:val="18"/>
                <w:color w:val="auto"/>
              </w:rPr>
              <w:t>13.2</w:t>
            </w:r>
          </w:p>
        </w:tc>
        <w:tc>
          <w:tcPr>
            <w:tcW w:w="460" w:type="dxa"/>
            <w:vAlign w:val="bottom"/>
            <w:shd w:val="clear" w:color="auto" w:fill="E6E6E6"/>
          </w:tcPr>
          <w:p>
            <w:pPr>
              <w:jc w:val="right"/>
              <w:ind w:right="92"/>
              <w:spacing w:after="0" w:line="202" w:lineRule="exact"/>
              <w:rPr>
                <w:sz w:val="20"/>
                <w:szCs w:val="20"/>
                <w:color w:val="auto"/>
              </w:rPr>
            </w:pPr>
            <w:r>
              <w:rPr>
                <w:rFonts w:ascii="Arial" w:cs="Arial" w:eastAsia="Arial" w:hAnsi="Arial"/>
                <w:sz w:val="18"/>
                <w:szCs w:val="18"/>
                <w:color w:val="auto"/>
              </w:rPr>
              <w:t>$</w:t>
            </w:r>
          </w:p>
        </w:tc>
        <w:tc>
          <w:tcPr>
            <w:tcW w:w="780" w:type="dxa"/>
            <w:vAlign w:val="bottom"/>
            <w:shd w:val="clear" w:color="auto" w:fill="E6E6E6"/>
          </w:tcPr>
          <w:p>
            <w:pPr>
              <w:jc w:val="right"/>
              <w:ind w:right="37"/>
              <w:spacing w:after="0" w:line="202" w:lineRule="exact"/>
              <w:rPr>
                <w:sz w:val="20"/>
                <w:szCs w:val="20"/>
                <w:color w:val="auto"/>
              </w:rPr>
            </w:pPr>
            <w:r>
              <w:rPr>
                <w:rFonts w:ascii="Arial" w:cs="Arial" w:eastAsia="Arial" w:hAnsi="Arial"/>
                <w:sz w:val="18"/>
                <w:szCs w:val="18"/>
                <w:color w:val="auto"/>
              </w:rPr>
              <w:t>117.3</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7740" w:type="dxa"/>
            <w:vAlign w:val="bottom"/>
          </w:tcPr>
          <w:p>
            <w:pPr>
              <w:spacing w:after="0" w:line="202" w:lineRule="exact"/>
              <w:rPr>
                <w:sz w:val="20"/>
                <w:szCs w:val="20"/>
                <w:color w:val="auto"/>
              </w:rPr>
            </w:pPr>
            <w:r>
              <w:rPr>
                <w:rFonts w:ascii="Arial" w:cs="Arial" w:eastAsia="Arial" w:hAnsi="Arial"/>
                <w:sz w:val="18"/>
                <w:szCs w:val="18"/>
                <w:color w:val="auto"/>
              </w:rPr>
              <w:t>Loss from discontinued operations, net of tax</w:t>
            </w:r>
          </w:p>
        </w:tc>
        <w:tc>
          <w:tcPr>
            <w:tcW w:w="46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(2.6)</w:t>
            </w:r>
          </w:p>
        </w:tc>
        <w:tc>
          <w:tcPr>
            <w:tcW w:w="560" w:type="dxa"/>
            <w:vAlign w:val="bottom"/>
          </w:tcPr>
          <w:p>
            <w:pPr>
              <w:spacing w:after="0"/>
              <w:rPr>
                <w:sz w:val="17"/>
                <w:szCs w:val="17"/>
                <w:color w:val="auto"/>
              </w:rPr>
            </w:pPr>
          </w:p>
        </w:tc>
        <w:tc>
          <w:tcPr>
            <w:tcW w:w="760" w:type="dxa"/>
            <w:vAlign w:val="bottom"/>
          </w:tcPr>
          <w:p>
            <w:pPr>
              <w:jc w:val="right"/>
              <w:ind w:right="17"/>
              <w:spacing w:after="0" w:line="202" w:lineRule="exact"/>
              <w:rPr>
                <w:sz w:val="20"/>
                <w:szCs w:val="20"/>
                <w:color w:val="auto"/>
              </w:rPr>
            </w:pPr>
            <w:r>
              <w:rPr>
                <w:rFonts w:ascii="Arial" w:cs="Arial" w:eastAsia="Arial" w:hAnsi="Arial"/>
                <w:sz w:val="18"/>
                <w:szCs w:val="18"/>
                <w:color w:val="auto"/>
              </w:rPr>
              <w:t>(27.5)</w:t>
            </w:r>
          </w:p>
        </w:tc>
        <w:tc>
          <w:tcPr>
            <w:tcW w:w="46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(134.5)</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774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Net income (loss)</w:t>
            </w:r>
          </w:p>
        </w:tc>
        <w:tc>
          <w:tcPr>
            <w:tcW w:w="460" w:type="dxa"/>
            <w:vAlign w:val="bottom"/>
            <w:shd w:val="clear" w:color="auto" w:fill="E6E6E6"/>
          </w:tcPr>
          <w:p>
            <w:pPr>
              <w:spacing w:after="0"/>
              <w:rPr>
                <w:sz w:val="17"/>
                <w:szCs w:val="17"/>
                <w:color w:val="auto"/>
              </w:rPr>
            </w:pPr>
          </w:p>
        </w:tc>
        <w:tc>
          <w:tcPr>
            <w:tcW w:w="66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56.1</w:t>
            </w:r>
          </w:p>
        </w:tc>
        <w:tc>
          <w:tcPr>
            <w:tcW w:w="560" w:type="dxa"/>
            <w:vAlign w:val="bottom"/>
            <w:shd w:val="clear" w:color="auto" w:fill="E6E6E6"/>
          </w:tcPr>
          <w:p>
            <w:pPr>
              <w:spacing w:after="0"/>
              <w:rPr>
                <w:sz w:val="17"/>
                <w:szCs w:val="17"/>
                <w:color w:val="auto"/>
              </w:rPr>
            </w:pPr>
          </w:p>
        </w:tc>
        <w:tc>
          <w:tcPr>
            <w:tcW w:w="760" w:type="dxa"/>
            <w:vAlign w:val="bottom"/>
            <w:shd w:val="clear" w:color="auto" w:fill="E6E6E6"/>
          </w:tcPr>
          <w:p>
            <w:pPr>
              <w:jc w:val="right"/>
              <w:ind w:right="17"/>
              <w:spacing w:after="0" w:line="202" w:lineRule="exact"/>
              <w:rPr>
                <w:sz w:val="20"/>
                <w:szCs w:val="20"/>
                <w:color w:val="auto"/>
              </w:rPr>
            </w:pPr>
            <w:r>
              <w:rPr>
                <w:rFonts w:ascii="Arial" w:cs="Arial" w:eastAsia="Arial" w:hAnsi="Arial"/>
                <w:sz w:val="18"/>
                <w:szCs w:val="18"/>
                <w:color w:val="auto"/>
              </w:rPr>
              <w:t>(14.3)</w:t>
            </w:r>
          </w:p>
        </w:tc>
        <w:tc>
          <w:tcPr>
            <w:tcW w:w="460" w:type="dxa"/>
            <w:vAlign w:val="bottom"/>
            <w:shd w:val="clear" w:color="auto" w:fill="E6E6E6"/>
          </w:tcPr>
          <w:p>
            <w:pPr>
              <w:spacing w:after="0"/>
              <w:rPr>
                <w:sz w:val="17"/>
                <w:szCs w:val="17"/>
                <w:color w:val="auto"/>
              </w:rPr>
            </w:pPr>
          </w:p>
        </w:tc>
        <w:tc>
          <w:tcPr>
            <w:tcW w:w="78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(17.2)</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-1562100</wp:posOffset>
            </wp:positionV>
            <wp:extent cx="12700" cy="29845"/>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-1562100</wp:posOffset>
            </wp:positionV>
            <wp:extent cx="12700" cy="29845"/>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-1562100</wp:posOffset>
            </wp:positionV>
            <wp:extent cx="12700" cy="29845"/>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-1562100</wp:posOffset>
            </wp:positionV>
            <wp:extent cx="12700" cy="29845"/>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-1562100</wp:posOffset>
            </wp:positionV>
            <wp:extent cx="12700" cy="29845"/>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-1562100</wp:posOffset>
            </wp:positionV>
            <wp:extent cx="12700" cy="29845"/>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-1562100</wp:posOffset>
            </wp:positionV>
            <wp:extent cx="12700" cy="29845"/>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-1562100</wp:posOffset>
            </wp:positionV>
            <wp:extent cx="12700" cy="29845"/>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-1562100</wp:posOffset>
            </wp:positionV>
            <wp:extent cx="12700" cy="29845"/>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2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823" w:right="199" w:bottom="0" w:gutter="0" w:footer="0" w:header="0"/>
        </w:sectPr>
      </w:pPr>
    </w:p>
    <w:bookmarkStart w:id="77" w:name="page78"/>
    <w:bookmarkEnd w:id="77"/>
    <w:tbl>
      <w:tblPr>
        <w:tblLayout w:type="fixed"/>
        <w:tblInd w:w="0" w:type="dxa"/>
        <w:tblCellMar>
          <w:top w:w="0" w:type="dxa"/>
          <w:left w:w="0" w:type="dxa"/>
          <w:bottom w:w="0" w:type="dxa"/>
          <w:right w:w="0" w:type="dxa"/>
        </w:tblCellMar>
      </w:tblPr>
      <w:tr>
        <w:trPr>
          <w:trHeight w:val="207"/>
        </w:trPr>
        <w:tc>
          <w:tcPr>
            <w:tcW w:w="7520" w:type="dxa"/>
            <w:vAlign w:val="bottom"/>
            <w:gridSpan w:val="2"/>
          </w:tcPr>
          <w:p>
            <w:pPr>
              <w:spacing w:after="0"/>
              <w:rPr>
                <w:sz w:val="20"/>
                <w:szCs w:val="20"/>
                <w:color w:val="auto"/>
              </w:rPr>
            </w:pPr>
            <w:r>
              <w:rPr>
                <w:rFonts w:ascii="Arial" w:cs="Arial" w:eastAsia="Arial" w:hAnsi="Arial"/>
                <w:sz w:val="18"/>
                <w:szCs w:val="18"/>
                <w:color w:val="auto"/>
                <w:w w:val="99"/>
              </w:rPr>
              <w:t>Weighted average Shares of Class A Stock and Common Stock outstanding for basic earnings</w:t>
            </w:r>
          </w:p>
        </w:tc>
        <w:tc>
          <w:tcPr>
            <w:tcW w:w="640" w:type="dxa"/>
            <w:vAlign w:val="bottom"/>
          </w:tcPr>
          <w:p>
            <w:pPr>
              <w:spacing w:after="0"/>
              <w:rPr>
                <w:sz w:val="17"/>
                <w:szCs w:val="17"/>
                <w:color w:val="auto"/>
              </w:rPr>
            </w:pPr>
          </w:p>
        </w:tc>
        <w:tc>
          <w:tcPr>
            <w:tcW w:w="820" w:type="dxa"/>
            <w:vAlign w:val="bottom"/>
          </w:tcPr>
          <w:p>
            <w:pPr>
              <w:jc w:val="right"/>
              <w:ind w:right="112"/>
              <w:spacing w:after="0"/>
              <w:rPr>
                <w:sz w:val="20"/>
                <w:szCs w:val="20"/>
                <w:color w:val="auto"/>
              </w:rPr>
            </w:pPr>
            <w:r>
              <w:rPr>
                <w:rFonts w:ascii="Arial" w:cs="Arial" w:eastAsia="Arial" w:hAnsi="Arial"/>
                <w:sz w:val="18"/>
                <w:szCs w:val="18"/>
                <w:color w:val="auto"/>
              </w:rPr>
              <w:t>36.5</w:t>
            </w:r>
          </w:p>
        </w:tc>
        <w:tc>
          <w:tcPr>
            <w:tcW w:w="440" w:type="dxa"/>
            <w:vAlign w:val="bottom"/>
          </w:tcPr>
          <w:p>
            <w:pPr>
              <w:spacing w:after="0"/>
              <w:rPr>
                <w:sz w:val="17"/>
                <w:szCs w:val="17"/>
                <w:color w:val="auto"/>
              </w:rPr>
            </w:pPr>
          </w:p>
        </w:tc>
        <w:tc>
          <w:tcPr>
            <w:tcW w:w="800" w:type="dxa"/>
            <w:vAlign w:val="bottom"/>
          </w:tcPr>
          <w:p>
            <w:pPr>
              <w:jc w:val="right"/>
              <w:ind w:right="112"/>
              <w:spacing w:after="0"/>
              <w:rPr>
                <w:sz w:val="20"/>
                <w:szCs w:val="20"/>
                <w:color w:val="auto"/>
              </w:rPr>
            </w:pPr>
            <w:r>
              <w:rPr>
                <w:rFonts w:ascii="Arial" w:cs="Arial" w:eastAsia="Arial" w:hAnsi="Arial"/>
                <w:sz w:val="18"/>
                <w:szCs w:val="18"/>
                <w:color w:val="auto"/>
              </w:rPr>
              <w:t>37.2</w:t>
            </w:r>
          </w:p>
        </w:tc>
        <w:tc>
          <w:tcPr>
            <w:tcW w:w="460" w:type="dxa"/>
            <w:vAlign w:val="bottom"/>
          </w:tcPr>
          <w:p>
            <w:pPr>
              <w:spacing w:after="0"/>
              <w:rPr>
                <w:sz w:val="17"/>
                <w:szCs w:val="17"/>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38.7</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500" w:type="dxa"/>
            <w:vAlign w:val="bottom"/>
          </w:tcPr>
          <w:p>
            <w:pPr>
              <w:ind w:left="140"/>
              <w:spacing w:after="0"/>
              <w:rPr>
                <w:sz w:val="20"/>
                <w:szCs w:val="20"/>
                <w:color w:val="auto"/>
              </w:rPr>
            </w:pPr>
            <w:r>
              <w:rPr>
                <w:rFonts w:ascii="Arial" w:cs="Arial" w:eastAsia="Arial" w:hAnsi="Arial"/>
                <w:sz w:val="18"/>
                <w:szCs w:val="18"/>
                <w:color w:val="auto"/>
              </w:rPr>
              <w:t>per share (in millions)</w:t>
            </w:r>
          </w:p>
        </w:tc>
        <w:tc>
          <w:tcPr>
            <w:tcW w:w="6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750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7520" w:type="dxa"/>
            <w:vAlign w:val="bottom"/>
            <w:gridSpan w:val="2"/>
          </w:tcPr>
          <w:p>
            <w:pPr>
              <w:spacing w:after="0"/>
              <w:rPr>
                <w:sz w:val="8"/>
                <w:szCs w:val="8"/>
                <w:color w:val="auto"/>
              </w:rPr>
            </w:pPr>
          </w:p>
        </w:tc>
        <w:tc>
          <w:tcPr>
            <w:tcW w:w="640" w:type="dxa"/>
            <w:vAlign w:val="bottom"/>
          </w:tcPr>
          <w:p>
            <w:pPr>
              <w:spacing w:after="0"/>
              <w:rPr>
                <w:sz w:val="8"/>
                <w:szCs w:val="8"/>
                <w:color w:val="auto"/>
              </w:rPr>
            </w:pPr>
          </w:p>
        </w:tc>
        <w:tc>
          <w:tcPr>
            <w:tcW w:w="82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500" w:type="dxa"/>
            <w:vAlign w:val="bottom"/>
            <w:shd w:val="clear" w:color="auto" w:fill="E6E6E6"/>
          </w:tcPr>
          <w:p>
            <w:pPr>
              <w:spacing w:after="0" w:line="206" w:lineRule="exact"/>
              <w:rPr>
                <w:sz w:val="20"/>
                <w:szCs w:val="20"/>
                <w:color w:val="auto"/>
              </w:rPr>
            </w:pPr>
            <w:r>
              <w:rPr>
                <w:rFonts w:ascii="Arial" w:cs="Arial" w:eastAsia="Arial" w:hAnsi="Arial"/>
                <w:sz w:val="18"/>
                <w:szCs w:val="18"/>
                <w:color w:val="auto"/>
                <w:w w:val="98"/>
              </w:rPr>
              <w:t>Dilutive effect of Class A Stock and Common Stock potentially issuable pursuant to stock-based</w:t>
            </w:r>
          </w:p>
        </w:tc>
        <w:tc>
          <w:tcPr>
            <w:tcW w:w="640" w:type="dxa"/>
            <w:vAlign w:val="bottom"/>
            <w:shd w:val="clear" w:color="auto" w:fill="E6E6E6"/>
          </w:tcPr>
          <w:p>
            <w:pPr>
              <w:spacing w:after="0"/>
              <w:rPr>
                <w:sz w:val="17"/>
                <w:szCs w:val="17"/>
                <w:color w:val="auto"/>
              </w:rPr>
            </w:pPr>
          </w:p>
        </w:tc>
        <w:tc>
          <w:tcPr>
            <w:tcW w:w="820" w:type="dxa"/>
            <w:vAlign w:val="bottom"/>
            <w:shd w:val="clear" w:color="auto" w:fill="E6E6E6"/>
          </w:tcPr>
          <w:p>
            <w:pPr>
              <w:spacing w:after="0"/>
              <w:rPr>
                <w:sz w:val="17"/>
                <w:szCs w:val="17"/>
                <w:color w:val="auto"/>
              </w:rPr>
            </w:pPr>
          </w:p>
        </w:tc>
        <w:tc>
          <w:tcPr>
            <w:tcW w:w="440" w:type="dxa"/>
            <w:vAlign w:val="bottom"/>
            <w:shd w:val="clear" w:color="auto" w:fill="E6E6E6"/>
          </w:tcPr>
          <w:p>
            <w:pPr>
              <w:spacing w:after="0"/>
              <w:rPr>
                <w:sz w:val="17"/>
                <w:szCs w:val="17"/>
                <w:color w:val="auto"/>
              </w:rPr>
            </w:pPr>
          </w:p>
        </w:tc>
        <w:tc>
          <w:tcPr>
            <w:tcW w:w="800" w:type="dxa"/>
            <w:vAlign w:val="bottom"/>
            <w:shd w:val="clear" w:color="auto" w:fill="E6E6E6"/>
          </w:tcPr>
          <w:p>
            <w:pPr>
              <w:spacing w:after="0"/>
              <w:rPr>
                <w:sz w:val="17"/>
                <w:szCs w:val="17"/>
                <w:color w:val="auto"/>
              </w:rPr>
            </w:pPr>
          </w:p>
        </w:tc>
        <w:tc>
          <w:tcPr>
            <w:tcW w:w="460" w:type="dxa"/>
            <w:vAlign w:val="bottom"/>
            <w:shd w:val="clear" w:color="auto" w:fill="E6E6E6"/>
          </w:tcPr>
          <w:p>
            <w:pPr>
              <w:spacing w:after="0"/>
              <w:rPr>
                <w:sz w:val="17"/>
                <w:szCs w:val="17"/>
                <w:color w:val="auto"/>
              </w:rPr>
            </w:pPr>
          </w:p>
        </w:tc>
        <w:tc>
          <w:tcPr>
            <w:tcW w:w="740" w:type="dxa"/>
            <w:vAlign w:val="bottom"/>
            <w:shd w:val="clear" w:color="auto" w:fill="E6E6E6"/>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500" w:type="dxa"/>
            <w:vAlign w:val="bottom"/>
            <w:shd w:val="clear" w:color="auto" w:fill="E6E6E6"/>
          </w:tcPr>
          <w:p>
            <w:pPr>
              <w:ind w:left="140"/>
              <w:spacing w:after="0" w:line="200" w:lineRule="exact"/>
              <w:rPr>
                <w:sz w:val="20"/>
                <w:szCs w:val="20"/>
                <w:color w:val="auto"/>
              </w:rPr>
            </w:pPr>
            <w:r>
              <w:rPr>
                <w:rFonts w:ascii="Arial" w:cs="Arial" w:eastAsia="Arial" w:hAnsi="Arial"/>
                <w:sz w:val="18"/>
                <w:szCs w:val="18"/>
                <w:color w:val="auto"/>
              </w:rPr>
              <w:t>compensation plans (in millions)</w:t>
            </w:r>
          </w:p>
        </w:tc>
        <w:tc>
          <w:tcPr>
            <w:tcW w:w="640" w:type="dxa"/>
            <w:vAlign w:val="bottom"/>
            <w:shd w:val="clear" w:color="auto" w:fill="E6E6E6"/>
          </w:tcPr>
          <w:p>
            <w:pPr>
              <w:spacing w:after="0"/>
              <w:rPr>
                <w:sz w:val="17"/>
                <w:szCs w:val="17"/>
                <w:color w:val="auto"/>
              </w:rPr>
            </w:pPr>
          </w:p>
        </w:tc>
        <w:tc>
          <w:tcPr>
            <w:tcW w:w="820" w:type="dxa"/>
            <w:vAlign w:val="bottom"/>
            <w:shd w:val="clear" w:color="auto" w:fill="E6E6E6"/>
          </w:tcPr>
          <w:p>
            <w:pPr>
              <w:jc w:val="right"/>
              <w:ind w:right="112"/>
              <w:spacing w:after="0" w:line="200" w:lineRule="exact"/>
              <w:rPr>
                <w:sz w:val="20"/>
                <w:szCs w:val="20"/>
                <w:color w:val="auto"/>
              </w:rPr>
            </w:pPr>
            <w:r>
              <w:rPr>
                <w:rFonts w:ascii="Arial" w:cs="Arial" w:eastAsia="Arial" w:hAnsi="Arial"/>
                <w:sz w:val="18"/>
                <w:szCs w:val="18"/>
                <w:color w:val="auto"/>
              </w:rPr>
              <w:t>0.3</w:t>
            </w:r>
          </w:p>
        </w:tc>
        <w:tc>
          <w:tcPr>
            <w:tcW w:w="440" w:type="dxa"/>
            <w:vAlign w:val="bottom"/>
            <w:shd w:val="clear" w:color="auto" w:fill="E6E6E6"/>
          </w:tcPr>
          <w:p>
            <w:pPr>
              <w:spacing w:after="0"/>
              <w:rPr>
                <w:sz w:val="17"/>
                <w:szCs w:val="17"/>
                <w:color w:val="auto"/>
              </w:rPr>
            </w:pPr>
          </w:p>
        </w:tc>
        <w:tc>
          <w:tcPr>
            <w:tcW w:w="800" w:type="dxa"/>
            <w:vAlign w:val="bottom"/>
            <w:shd w:val="clear" w:color="auto" w:fill="E6E6E6"/>
          </w:tcPr>
          <w:p>
            <w:pPr>
              <w:jc w:val="right"/>
              <w:ind w:right="112"/>
              <w:spacing w:after="0" w:line="200" w:lineRule="exact"/>
              <w:rPr>
                <w:sz w:val="20"/>
                <w:szCs w:val="20"/>
                <w:color w:val="auto"/>
              </w:rPr>
            </w:pPr>
            <w:r>
              <w:rPr>
                <w:rFonts w:ascii="Arial" w:cs="Arial" w:eastAsia="Arial" w:hAnsi="Arial"/>
                <w:sz w:val="18"/>
                <w:szCs w:val="18"/>
                <w:color w:val="auto"/>
              </w:rPr>
              <w:t>0.2</w:t>
            </w:r>
          </w:p>
        </w:tc>
        <w:tc>
          <w:tcPr>
            <w:tcW w:w="460" w:type="dxa"/>
            <w:vAlign w:val="bottom"/>
            <w:shd w:val="clear" w:color="auto" w:fill="E6E6E6"/>
          </w:tcPr>
          <w:p>
            <w:pPr>
              <w:spacing w:after="0"/>
              <w:rPr>
                <w:sz w:val="17"/>
                <w:szCs w:val="17"/>
                <w:color w:val="auto"/>
              </w:rPr>
            </w:pPr>
          </w:p>
        </w:tc>
        <w:tc>
          <w:tcPr>
            <w:tcW w:w="740" w:type="dxa"/>
            <w:vAlign w:val="bottom"/>
            <w:shd w:val="clear" w:color="auto" w:fill="E6E6E6"/>
          </w:tcPr>
          <w:p>
            <w:pPr>
              <w:jc w:val="right"/>
              <w:ind w:right="32"/>
              <w:spacing w:after="0" w:line="200" w:lineRule="exact"/>
              <w:rPr>
                <w:sz w:val="20"/>
                <w:szCs w:val="20"/>
                <w:color w:val="auto"/>
              </w:rPr>
            </w:pPr>
            <w:r>
              <w:rPr>
                <w:rFonts w:ascii="Arial" w:cs="Arial" w:eastAsia="Arial" w:hAnsi="Arial"/>
                <w:sz w:val="18"/>
                <w:szCs w:val="18"/>
                <w:color w:val="auto"/>
              </w:rPr>
              <w:t>0.5</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5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7"/>
        </w:trPr>
        <w:tc>
          <w:tcPr>
            <w:tcW w:w="7520" w:type="dxa"/>
            <w:vAlign w:val="bottom"/>
            <w:gridSpan w:val="2"/>
          </w:tcPr>
          <w:p>
            <w:pPr>
              <w:spacing w:after="0"/>
              <w:rPr>
                <w:sz w:val="20"/>
                <w:szCs w:val="20"/>
                <w:color w:val="auto"/>
              </w:rPr>
            </w:pPr>
            <w:r>
              <w:rPr>
                <w:rFonts w:ascii="Arial" w:cs="Arial" w:eastAsia="Arial" w:hAnsi="Arial"/>
                <w:sz w:val="18"/>
                <w:szCs w:val="18"/>
                <w:color w:val="auto"/>
                <w:w w:val="98"/>
              </w:rPr>
              <w:t>Adjusted weighted average Shares of Class A Stock and Common Stock outstanding for diluted</w:t>
            </w:r>
          </w:p>
        </w:tc>
        <w:tc>
          <w:tcPr>
            <w:tcW w:w="6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500" w:type="dxa"/>
            <w:vAlign w:val="bottom"/>
          </w:tcPr>
          <w:p>
            <w:pPr>
              <w:ind w:left="140"/>
              <w:spacing w:after="0"/>
              <w:rPr>
                <w:sz w:val="20"/>
                <w:szCs w:val="20"/>
                <w:color w:val="auto"/>
              </w:rPr>
            </w:pPr>
            <w:r>
              <w:rPr>
                <w:rFonts w:ascii="Arial" w:cs="Arial" w:eastAsia="Arial" w:hAnsi="Arial"/>
                <w:sz w:val="18"/>
                <w:szCs w:val="18"/>
                <w:color w:val="auto"/>
              </w:rPr>
              <w:t>earnings per share (in millions)</w:t>
            </w:r>
          </w:p>
        </w:tc>
        <w:tc>
          <w:tcPr>
            <w:tcW w:w="640" w:type="dxa"/>
            <w:vAlign w:val="bottom"/>
          </w:tcPr>
          <w:p>
            <w:pPr>
              <w:spacing w:after="0"/>
              <w:rPr>
                <w:sz w:val="18"/>
                <w:szCs w:val="18"/>
                <w:color w:val="auto"/>
              </w:rPr>
            </w:pPr>
          </w:p>
        </w:tc>
        <w:tc>
          <w:tcPr>
            <w:tcW w:w="820" w:type="dxa"/>
            <w:vAlign w:val="bottom"/>
          </w:tcPr>
          <w:p>
            <w:pPr>
              <w:jc w:val="right"/>
              <w:ind w:right="112"/>
              <w:spacing w:after="0"/>
              <w:rPr>
                <w:sz w:val="20"/>
                <w:szCs w:val="20"/>
                <w:color w:val="auto"/>
              </w:rPr>
            </w:pPr>
            <w:r>
              <w:rPr>
                <w:rFonts w:ascii="Arial" w:cs="Arial" w:eastAsia="Arial" w:hAnsi="Arial"/>
                <w:sz w:val="18"/>
                <w:szCs w:val="18"/>
                <w:color w:val="auto"/>
              </w:rPr>
              <w:t>36.8</w:t>
            </w:r>
          </w:p>
        </w:tc>
        <w:tc>
          <w:tcPr>
            <w:tcW w:w="440" w:type="dxa"/>
            <w:vAlign w:val="bottom"/>
          </w:tcPr>
          <w:p>
            <w:pPr>
              <w:spacing w:after="0"/>
              <w:rPr>
                <w:sz w:val="18"/>
                <w:szCs w:val="18"/>
                <w:color w:val="auto"/>
              </w:rPr>
            </w:pPr>
          </w:p>
        </w:tc>
        <w:tc>
          <w:tcPr>
            <w:tcW w:w="800" w:type="dxa"/>
            <w:vAlign w:val="bottom"/>
          </w:tcPr>
          <w:p>
            <w:pPr>
              <w:jc w:val="right"/>
              <w:ind w:right="112"/>
              <w:spacing w:after="0"/>
              <w:rPr>
                <w:sz w:val="20"/>
                <w:szCs w:val="20"/>
                <w:color w:val="auto"/>
              </w:rPr>
            </w:pPr>
            <w:r>
              <w:rPr>
                <w:rFonts w:ascii="Arial" w:cs="Arial" w:eastAsia="Arial" w:hAnsi="Arial"/>
                <w:sz w:val="18"/>
                <w:szCs w:val="18"/>
                <w:color w:val="auto"/>
              </w:rPr>
              <w:t>37.4</w:t>
            </w:r>
          </w:p>
        </w:tc>
        <w:tc>
          <w:tcPr>
            <w:tcW w:w="460" w:type="dxa"/>
            <w:vAlign w:val="bottom"/>
          </w:tcPr>
          <w:p>
            <w:pPr>
              <w:spacing w:after="0"/>
              <w:rPr>
                <w:sz w:val="18"/>
                <w:szCs w:val="18"/>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39.2</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0"/>
        </w:trPr>
        <w:tc>
          <w:tcPr>
            <w:tcW w:w="7520" w:type="dxa"/>
            <w:vAlign w:val="bottom"/>
            <w:tcBorders>
              <w:bottom w:val="single" w:sz="8" w:color="808080"/>
            </w:tcBorders>
            <w:gridSpan w:val="2"/>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500" w:type="dxa"/>
            <w:vAlign w:val="bottom"/>
          </w:tcPr>
          <w:p>
            <w:pPr>
              <w:spacing w:after="0"/>
              <w:rPr>
                <w:sz w:val="9"/>
                <w:szCs w:val="9"/>
                <w:color w:val="auto"/>
              </w:rPr>
            </w:pPr>
          </w:p>
        </w:tc>
        <w:tc>
          <w:tcPr>
            <w:tcW w:w="640" w:type="dxa"/>
            <w:vAlign w:val="bottom"/>
          </w:tcPr>
          <w:p>
            <w:pPr>
              <w:spacing w:after="0"/>
              <w:rPr>
                <w:sz w:val="9"/>
                <w:szCs w:val="9"/>
                <w:color w:val="auto"/>
              </w:rPr>
            </w:pPr>
          </w:p>
        </w:tc>
        <w:tc>
          <w:tcPr>
            <w:tcW w:w="8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0" w:type="dxa"/>
            <w:vAlign w:val="bottom"/>
          </w:tcPr>
          <w:p>
            <w:pPr>
              <w:spacing w:after="0"/>
              <w:rPr>
                <w:sz w:val="9"/>
                <w:szCs w:val="9"/>
                <w:color w:val="auto"/>
              </w:rPr>
            </w:pPr>
          </w:p>
        </w:tc>
        <w:tc>
          <w:tcPr>
            <w:tcW w:w="4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500" w:type="dxa"/>
            <w:vAlign w:val="bottom"/>
            <w:shd w:val="clear" w:color="auto" w:fill="E6E6E6"/>
          </w:tcPr>
          <w:p>
            <w:pPr>
              <w:spacing w:after="0" w:line="202" w:lineRule="exact"/>
              <w:rPr>
                <w:sz w:val="20"/>
                <w:szCs w:val="20"/>
                <w:color w:val="auto"/>
              </w:rPr>
            </w:pPr>
            <w:r>
              <w:rPr>
                <w:rFonts w:ascii="Arial" w:cs="Arial" w:eastAsia="Arial" w:hAnsi="Arial"/>
                <w:sz w:val="18"/>
                <w:szCs w:val="18"/>
                <w:b w:val="1"/>
                <w:bCs w:val="1"/>
                <w:color w:val="auto"/>
              </w:rPr>
              <w:t>Earnings (loss) per share of Class A Stock and Common Basic earnings per share:</w:t>
            </w:r>
          </w:p>
        </w:tc>
        <w:tc>
          <w:tcPr>
            <w:tcW w:w="640" w:type="dxa"/>
            <w:vAlign w:val="bottom"/>
            <w:shd w:val="clear" w:color="auto" w:fill="E6E6E6"/>
          </w:tcPr>
          <w:p>
            <w:pPr>
              <w:spacing w:after="0"/>
              <w:rPr>
                <w:sz w:val="17"/>
                <w:szCs w:val="17"/>
                <w:color w:val="auto"/>
              </w:rPr>
            </w:pPr>
          </w:p>
        </w:tc>
        <w:tc>
          <w:tcPr>
            <w:tcW w:w="820" w:type="dxa"/>
            <w:vAlign w:val="bottom"/>
            <w:shd w:val="clear" w:color="auto" w:fill="E6E6E6"/>
          </w:tcPr>
          <w:p>
            <w:pPr>
              <w:spacing w:after="0"/>
              <w:rPr>
                <w:sz w:val="17"/>
                <w:szCs w:val="17"/>
                <w:color w:val="auto"/>
              </w:rPr>
            </w:pPr>
          </w:p>
        </w:tc>
        <w:tc>
          <w:tcPr>
            <w:tcW w:w="440" w:type="dxa"/>
            <w:vAlign w:val="bottom"/>
            <w:shd w:val="clear" w:color="auto" w:fill="E6E6E6"/>
          </w:tcPr>
          <w:p>
            <w:pPr>
              <w:spacing w:after="0"/>
              <w:rPr>
                <w:sz w:val="17"/>
                <w:szCs w:val="17"/>
                <w:color w:val="auto"/>
              </w:rPr>
            </w:pPr>
          </w:p>
        </w:tc>
        <w:tc>
          <w:tcPr>
            <w:tcW w:w="800" w:type="dxa"/>
            <w:vAlign w:val="bottom"/>
            <w:shd w:val="clear" w:color="auto" w:fill="E6E6E6"/>
          </w:tcPr>
          <w:p>
            <w:pPr>
              <w:spacing w:after="0"/>
              <w:rPr>
                <w:sz w:val="17"/>
                <w:szCs w:val="17"/>
                <w:color w:val="auto"/>
              </w:rPr>
            </w:pPr>
          </w:p>
        </w:tc>
        <w:tc>
          <w:tcPr>
            <w:tcW w:w="460" w:type="dxa"/>
            <w:vAlign w:val="bottom"/>
            <w:shd w:val="clear" w:color="auto" w:fill="E6E6E6"/>
          </w:tcPr>
          <w:p>
            <w:pPr>
              <w:spacing w:after="0"/>
              <w:rPr>
                <w:sz w:val="17"/>
                <w:szCs w:val="17"/>
                <w:color w:val="auto"/>
              </w:rPr>
            </w:pPr>
          </w:p>
        </w:tc>
        <w:tc>
          <w:tcPr>
            <w:tcW w:w="740" w:type="dxa"/>
            <w:vAlign w:val="bottom"/>
            <w:shd w:val="clear" w:color="auto" w:fill="E6E6E6"/>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20" w:type="dxa"/>
            <w:vAlign w:val="bottom"/>
            <w:gridSpan w:val="2"/>
          </w:tcPr>
          <w:p>
            <w:pPr>
              <w:spacing w:after="0" w:line="202" w:lineRule="exact"/>
              <w:rPr>
                <w:sz w:val="20"/>
                <w:szCs w:val="20"/>
                <w:color w:val="auto"/>
              </w:rPr>
            </w:pPr>
            <w:r>
              <w:rPr>
                <w:rFonts w:ascii="Arial" w:cs="Arial" w:eastAsia="Arial" w:hAnsi="Arial"/>
                <w:sz w:val="18"/>
                <w:szCs w:val="18"/>
                <w:color w:val="auto"/>
              </w:rPr>
              <w:t>Earnings from continuing operations</w:t>
            </w:r>
          </w:p>
        </w:tc>
        <w:tc>
          <w:tcPr>
            <w:tcW w:w="64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w:t>
            </w:r>
          </w:p>
        </w:tc>
        <w:tc>
          <w:tcPr>
            <w:tcW w:w="82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1.61</w:t>
            </w:r>
          </w:p>
        </w:tc>
        <w:tc>
          <w:tcPr>
            <w:tcW w:w="44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0.35</w:t>
            </w:r>
          </w:p>
        </w:tc>
        <w:tc>
          <w:tcPr>
            <w:tcW w:w="46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w:t>
            </w:r>
          </w:p>
        </w:tc>
        <w:tc>
          <w:tcPr>
            <w:tcW w:w="740" w:type="dxa"/>
            <w:vAlign w:val="bottom"/>
          </w:tcPr>
          <w:p>
            <w:pPr>
              <w:jc w:val="right"/>
              <w:ind w:right="32"/>
              <w:spacing w:after="0" w:line="202" w:lineRule="exact"/>
              <w:rPr>
                <w:sz w:val="20"/>
                <w:szCs w:val="20"/>
                <w:color w:val="auto"/>
              </w:rPr>
            </w:pPr>
            <w:r>
              <w:rPr>
                <w:rFonts w:ascii="Arial" w:cs="Arial" w:eastAsia="Arial" w:hAnsi="Arial"/>
                <w:sz w:val="18"/>
                <w:szCs w:val="18"/>
                <w:color w:val="auto"/>
              </w:rPr>
              <w:t>3.03</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0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Loss from discontinued operations, net of tax</w:t>
            </w:r>
          </w:p>
        </w:tc>
        <w:tc>
          <w:tcPr>
            <w:tcW w:w="640" w:type="dxa"/>
            <w:vAlign w:val="bottom"/>
            <w:shd w:val="clear" w:color="auto" w:fill="E6E6E6"/>
          </w:tcPr>
          <w:p>
            <w:pPr>
              <w:jc w:val="right"/>
              <w:ind w:right="112"/>
              <w:spacing w:after="0" w:line="202" w:lineRule="exact"/>
              <w:rPr>
                <w:sz w:val="20"/>
                <w:szCs w:val="20"/>
                <w:color w:val="auto"/>
              </w:rPr>
            </w:pPr>
            <w:r>
              <w:rPr>
                <w:rFonts w:ascii="Arial" w:cs="Arial" w:eastAsia="Arial" w:hAnsi="Arial"/>
                <w:sz w:val="18"/>
                <w:szCs w:val="18"/>
                <w:color w:val="auto"/>
              </w:rPr>
              <w:t>$</w:t>
            </w:r>
          </w:p>
        </w:tc>
        <w:tc>
          <w:tcPr>
            <w:tcW w:w="820" w:type="dxa"/>
            <w:vAlign w:val="bottom"/>
            <w:shd w:val="clear" w:color="auto" w:fill="E6E6E6"/>
          </w:tcPr>
          <w:p>
            <w:pPr>
              <w:jc w:val="right"/>
              <w:ind w:right="52"/>
              <w:spacing w:after="0" w:line="202" w:lineRule="exact"/>
              <w:rPr>
                <w:sz w:val="20"/>
                <w:szCs w:val="20"/>
                <w:color w:val="auto"/>
              </w:rPr>
            </w:pPr>
            <w:r>
              <w:rPr>
                <w:rFonts w:ascii="Arial" w:cs="Arial" w:eastAsia="Arial" w:hAnsi="Arial"/>
                <w:sz w:val="18"/>
                <w:szCs w:val="18"/>
                <w:color w:val="auto"/>
              </w:rPr>
              <w:t>(0.07)</w:t>
            </w:r>
          </w:p>
        </w:tc>
        <w:tc>
          <w:tcPr>
            <w:tcW w:w="440" w:type="dxa"/>
            <w:vAlign w:val="bottom"/>
            <w:shd w:val="clear" w:color="auto" w:fill="E6E6E6"/>
          </w:tcPr>
          <w:p>
            <w:pPr>
              <w:jc w:val="right"/>
              <w:ind w:right="132"/>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E6E6E6"/>
          </w:tcPr>
          <w:p>
            <w:pPr>
              <w:jc w:val="right"/>
              <w:ind w:right="52"/>
              <w:spacing w:after="0" w:line="202" w:lineRule="exact"/>
              <w:rPr>
                <w:sz w:val="20"/>
                <w:szCs w:val="20"/>
                <w:color w:val="auto"/>
              </w:rPr>
            </w:pPr>
            <w:r>
              <w:rPr>
                <w:rFonts w:ascii="Arial" w:cs="Arial" w:eastAsia="Arial" w:hAnsi="Arial"/>
                <w:sz w:val="18"/>
                <w:szCs w:val="18"/>
                <w:color w:val="auto"/>
              </w:rPr>
              <w:t>(0.74)</w:t>
            </w:r>
          </w:p>
        </w:tc>
        <w:tc>
          <w:tcPr>
            <w:tcW w:w="460" w:type="dxa"/>
            <w:vAlign w:val="bottom"/>
            <w:shd w:val="clear" w:color="auto" w:fill="E6E6E6"/>
          </w:tcPr>
          <w:p>
            <w:pPr>
              <w:jc w:val="right"/>
              <w:ind w:right="132"/>
              <w:spacing w:after="0" w:line="202" w:lineRule="exact"/>
              <w:rPr>
                <w:sz w:val="20"/>
                <w:szCs w:val="20"/>
                <w:color w:val="auto"/>
              </w:rPr>
            </w:pPr>
            <w:r>
              <w:rPr>
                <w:rFonts w:ascii="Arial" w:cs="Arial" w:eastAsia="Arial" w:hAnsi="Arial"/>
                <w:sz w:val="18"/>
                <w:szCs w:val="18"/>
                <w:color w:val="auto"/>
              </w:rPr>
              <w:t>$</w:t>
            </w:r>
          </w:p>
        </w:tc>
        <w:tc>
          <w:tcPr>
            <w:tcW w:w="74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(3.47)</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20" w:type="dxa"/>
            <w:vAlign w:val="bottom"/>
            <w:gridSpan w:val="2"/>
          </w:tcPr>
          <w:p>
            <w:pPr>
              <w:spacing w:after="0" w:line="202" w:lineRule="exact"/>
              <w:rPr>
                <w:sz w:val="20"/>
                <w:szCs w:val="20"/>
                <w:color w:val="auto"/>
              </w:rPr>
            </w:pPr>
            <w:r>
              <w:rPr>
                <w:rFonts w:ascii="Arial" w:cs="Arial" w:eastAsia="Arial" w:hAnsi="Arial"/>
                <w:sz w:val="18"/>
                <w:szCs w:val="18"/>
                <w:color w:val="auto"/>
              </w:rPr>
              <w:t>Net income (loss)</w:t>
            </w:r>
          </w:p>
        </w:tc>
        <w:tc>
          <w:tcPr>
            <w:tcW w:w="64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w:t>
            </w:r>
          </w:p>
        </w:tc>
        <w:tc>
          <w:tcPr>
            <w:tcW w:w="82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1.54</w:t>
            </w:r>
          </w:p>
        </w:tc>
        <w:tc>
          <w:tcPr>
            <w:tcW w:w="44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ind w:right="52"/>
              <w:spacing w:after="0" w:line="202" w:lineRule="exact"/>
              <w:rPr>
                <w:sz w:val="20"/>
                <w:szCs w:val="20"/>
                <w:color w:val="auto"/>
              </w:rPr>
            </w:pPr>
            <w:r>
              <w:rPr>
                <w:rFonts w:ascii="Arial" w:cs="Arial" w:eastAsia="Arial" w:hAnsi="Arial"/>
                <w:sz w:val="18"/>
                <w:szCs w:val="18"/>
                <w:color w:val="auto"/>
              </w:rPr>
              <w:t>(0.39)</w:t>
            </w:r>
          </w:p>
        </w:tc>
        <w:tc>
          <w:tcPr>
            <w:tcW w:w="46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w:t>
            </w: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(0.44)</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00" w:type="dxa"/>
            <w:vAlign w:val="bottom"/>
            <w:shd w:val="clear" w:color="auto" w:fill="E6E6E6"/>
          </w:tcPr>
          <w:p>
            <w:pPr>
              <w:spacing w:after="0" w:line="202" w:lineRule="exact"/>
              <w:rPr>
                <w:sz w:val="20"/>
                <w:szCs w:val="20"/>
                <w:color w:val="auto"/>
              </w:rPr>
            </w:pPr>
            <w:r>
              <w:rPr>
                <w:rFonts w:ascii="Arial" w:cs="Arial" w:eastAsia="Arial" w:hAnsi="Arial"/>
                <w:sz w:val="18"/>
                <w:szCs w:val="18"/>
                <w:b w:val="1"/>
                <w:bCs w:val="1"/>
                <w:color w:val="auto"/>
              </w:rPr>
              <w:t>Diluted earnings per share:</w:t>
            </w:r>
          </w:p>
        </w:tc>
        <w:tc>
          <w:tcPr>
            <w:tcW w:w="640" w:type="dxa"/>
            <w:vAlign w:val="bottom"/>
            <w:shd w:val="clear" w:color="auto" w:fill="E6E6E6"/>
          </w:tcPr>
          <w:p>
            <w:pPr>
              <w:spacing w:after="0"/>
              <w:rPr>
                <w:sz w:val="17"/>
                <w:szCs w:val="17"/>
                <w:color w:val="auto"/>
              </w:rPr>
            </w:pPr>
          </w:p>
        </w:tc>
        <w:tc>
          <w:tcPr>
            <w:tcW w:w="820" w:type="dxa"/>
            <w:vAlign w:val="bottom"/>
            <w:shd w:val="clear" w:color="auto" w:fill="E6E6E6"/>
          </w:tcPr>
          <w:p>
            <w:pPr>
              <w:spacing w:after="0"/>
              <w:rPr>
                <w:sz w:val="17"/>
                <w:szCs w:val="17"/>
                <w:color w:val="auto"/>
              </w:rPr>
            </w:pPr>
          </w:p>
        </w:tc>
        <w:tc>
          <w:tcPr>
            <w:tcW w:w="440" w:type="dxa"/>
            <w:vAlign w:val="bottom"/>
            <w:shd w:val="clear" w:color="auto" w:fill="E6E6E6"/>
          </w:tcPr>
          <w:p>
            <w:pPr>
              <w:spacing w:after="0"/>
              <w:rPr>
                <w:sz w:val="17"/>
                <w:szCs w:val="17"/>
                <w:color w:val="auto"/>
              </w:rPr>
            </w:pPr>
          </w:p>
        </w:tc>
        <w:tc>
          <w:tcPr>
            <w:tcW w:w="800" w:type="dxa"/>
            <w:vAlign w:val="bottom"/>
            <w:shd w:val="clear" w:color="auto" w:fill="E6E6E6"/>
          </w:tcPr>
          <w:p>
            <w:pPr>
              <w:spacing w:after="0"/>
              <w:rPr>
                <w:sz w:val="17"/>
                <w:szCs w:val="17"/>
                <w:color w:val="auto"/>
              </w:rPr>
            </w:pPr>
          </w:p>
        </w:tc>
        <w:tc>
          <w:tcPr>
            <w:tcW w:w="460" w:type="dxa"/>
            <w:vAlign w:val="bottom"/>
            <w:shd w:val="clear" w:color="auto" w:fill="E6E6E6"/>
          </w:tcPr>
          <w:p>
            <w:pPr>
              <w:spacing w:after="0"/>
              <w:rPr>
                <w:sz w:val="17"/>
                <w:szCs w:val="17"/>
                <w:color w:val="auto"/>
              </w:rPr>
            </w:pPr>
          </w:p>
        </w:tc>
        <w:tc>
          <w:tcPr>
            <w:tcW w:w="740" w:type="dxa"/>
            <w:vAlign w:val="bottom"/>
            <w:shd w:val="clear" w:color="auto" w:fill="E6E6E6"/>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20" w:type="dxa"/>
            <w:vAlign w:val="bottom"/>
            <w:gridSpan w:val="2"/>
          </w:tcPr>
          <w:p>
            <w:pPr>
              <w:spacing w:after="0" w:line="202" w:lineRule="exact"/>
              <w:rPr>
                <w:sz w:val="20"/>
                <w:szCs w:val="20"/>
                <w:color w:val="auto"/>
              </w:rPr>
            </w:pPr>
            <w:r>
              <w:rPr>
                <w:rFonts w:ascii="Arial" w:cs="Arial" w:eastAsia="Arial" w:hAnsi="Arial"/>
                <w:sz w:val="18"/>
                <w:szCs w:val="18"/>
                <w:color w:val="auto"/>
              </w:rPr>
              <w:t>Earnings from continuing operations</w:t>
            </w:r>
          </w:p>
        </w:tc>
        <w:tc>
          <w:tcPr>
            <w:tcW w:w="64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w:t>
            </w:r>
          </w:p>
        </w:tc>
        <w:tc>
          <w:tcPr>
            <w:tcW w:w="82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1.59</w:t>
            </w:r>
          </w:p>
        </w:tc>
        <w:tc>
          <w:tcPr>
            <w:tcW w:w="44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0.35</w:t>
            </w:r>
          </w:p>
        </w:tc>
        <w:tc>
          <w:tcPr>
            <w:tcW w:w="46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w:t>
            </w:r>
          </w:p>
        </w:tc>
        <w:tc>
          <w:tcPr>
            <w:tcW w:w="740" w:type="dxa"/>
            <w:vAlign w:val="bottom"/>
          </w:tcPr>
          <w:p>
            <w:pPr>
              <w:jc w:val="right"/>
              <w:ind w:right="32"/>
              <w:spacing w:after="0" w:line="202" w:lineRule="exact"/>
              <w:rPr>
                <w:sz w:val="20"/>
                <w:szCs w:val="20"/>
                <w:color w:val="auto"/>
              </w:rPr>
            </w:pPr>
            <w:r>
              <w:rPr>
                <w:rFonts w:ascii="Arial" w:cs="Arial" w:eastAsia="Arial" w:hAnsi="Arial"/>
                <w:sz w:val="18"/>
                <w:szCs w:val="18"/>
                <w:color w:val="auto"/>
              </w:rPr>
              <w:t>2.99</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0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Loss from discontinued operations, net of tax</w:t>
            </w:r>
          </w:p>
        </w:tc>
        <w:tc>
          <w:tcPr>
            <w:tcW w:w="640" w:type="dxa"/>
            <w:vAlign w:val="bottom"/>
            <w:shd w:val="clear" w:color="auto" w:fill="E6E6E6"/>
          </w:tcPr>
          <w:p>
            <w:pPr>
              <w:jc w:val="right"/>
              <w:ind w:right="112"/>
              <w:spacing w:after="0" w:line="202" w:lineRule="exact"/>
              <w:rPr>
                <w:sz w:val="20"/>
                <w:szCs w:val="20"/>
                <w:color w:val="auto"/>
              </w:rPr>
            </w:pPr>
            <w:r>
              <w:rPr>
                <w:rFonts w:ascii="Arial" w:cs="Arial" w:eastAsia="Arial" w:hAnsi="Arial"/>
                <w:sz w:val="18"/>
                <w:szCs w:val="18"/>
                <w:color w:val="auto"/>
              </w:rPr>
              <w:t>$</w:t>
            </w:r>
          </w:p>
        </w:tc>
        <w:tc>
          <w:tcPr>
            <w:tcW w:w="820" w:type="dxa"/>
            <w:vAlign w:val="bottom"/>
            <w:shd w:val="clear" w:color="auto" w:fill="E6E6E6"/>
          </w:tcPr>
          <w:p>
            <w:pPr>
              <w:jc w:val="right"/>
              <w:ind w:right="52"/>
              <w:spacing w:after="0" w:line="202" w:lineRule="exact"/>
              <w:rPr>
                <w:sz w:val="20"/>
                <w:szCs w:val="20"/>
                <w:color w:val="auto"/>
              </w:rPr>
            </w:pPr>
            <w:r>
              <w:rPr>
                <w:rFonts w:ascii="Arial" w:cs="Arial" w:eastAsia="Arial" w:hAnsi="Arial"/>
                <w:sz w:val="18"/>
                <w:szCs w:val="18"/>
                <w:color w:val="auto"/>
              </w:rPr>
              <w:t>(0.07)</w:t>
            </w:r>
          </w:p>
        </w:tc>
        <w:tc>
          <w:tcPr>
            <w:tcW w:w="440" w:type="dxa"/>
            <w:vAlign w:val="bottom"/>
            <w:shd w:val="clear" w:color="auto" w:fill="E6E6E6"/>
          </w:tcPr>
          <w:p>
            <w:pPr>
              <w:jc w:val="right"/>
              <w:ind w:right="132"/>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E6E6E6"/>
          </w:tcPr>
          <w:p>
            <w:pPr>
              <w:jc w:val="right"/>
              <w:ind w:right="52"/>
              <w:spacing w:after="0" w:line="202" w:lineRule="exact"/>
              <w:rPr>
                <w:sz w:val="20"/>
                <w:szCs w:val="20"/>
                <w:color w:val="auto"/>
              </w:rPr>
            </w:pPr>
            <w:r>
              <w:rPr>
                <w:rFonts w:ascii="Arial" w:cs="Arial" w:eastAsia="Arial" w:hAnsi="Arial"/>
                <w:sz w:val="18"/>
                <w:szCs w:val="18"/>
                <w:color w:val="auto"/>
              </w:rPr>
              <w:t>(0.73)</w:t>
            </w:r>
          </w:p>
        </w:tc>
        <w:tc>
          <w:tcPr>
            <w:tcW w:w="460" w:type="dxa"/>
            <w:vAlign w:val="bottom"/>
            <w:shd w:val="clear" w:color="auto" w:fill="E6E6E6"/>
          </w:tcPr>
          <w:p>
            <w:pPr>
              <w:jc w:val="right"/>
              <w:ind w:right="132"/>
              <w:spacing w:after="0" w:line="202" w:lineRule="exact"/>
              <w:rPr>
                <w:sz w:val="20"/>
                <w:szCs w:val="20"/>
                <w:color w:val="auto"/>
              </w:rPr>
            </w:pPr>
            <w:r>
              <w:rPr>
                <w:rFonts w:ascii="Arial" w:cs="Arial" w:eastAsia="Arial" w:hAnsi="Arial"/>
                <w:sz w:val="18"/>
                <w:szCs w:val="18"/>
                <w:color w:val="auto"/>
              </w:rPr>
              <w:t>$</w:t>
            </w:r>
          </w:p>
        </w:tc>
        <w:tc>
          <w:tcPr>
            <w:tcW w:w="74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(3.43)</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7520" w:type="dxa"/>
            <w:vAlign w:val="bottom"/>
            <w:gridSpan w:val="2"/>
          </w:tcPr>
          <w:p>
            <w:pPr>
              <w:spacing w:after="0"/>
              <w:rPr>
                <w:sz w:val="20"/>
                <w:szCs w:val="20"/>
                <w:color w:val="auto"/>
              </w:rPr>
            </w:pPr>
            <w:r>
              <w:rPr>
                <w:rFonts w:ascii="Arial" w:cs="Arial" w:eastAsia="Arial" w:hAnsi="Arial"/>
                <w:sz w:val="18"/>
                <w:szCs w:val="18"/>
                <w:color w:val="auto"/>
              </w:rPr>
              <w:t>Net income (loss)</w:t>
            </w:r>
          </w:p>
        </w:tc>
        <w:tc>
          <w:tcPr>
            <w:tcW w:w="64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12"/>
              <w:spacing w:after="0"/>
              <w:rPr>
                <w:sz w:val="20"/>
                <w:szCs w:val="20"/>
                <w:color w:val="auto"/>
              </w:rPr>
            </w:pPr>
            <w:r>
              <w:rPr>
                <w:rFonts w:ascii="Arial" w:cs="Arial" w:eastAsia="Arial" w:hAnsi="Arial"/>
                <w:sz w:val="18"/>
                <w:szCs w:val="18"/>
                <w:color w:val="auto"/>
              </w:rPr>
              <w:t>1.52</w:t>
            </w:r>
          </w:p>
        </w:tc>
        <w:tc>
          <w:tcPr>
            <w:tcW w:w="44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52"/>
              <w:spacing w:after="0"/>
              <w:rPr>
                <w:sz w:val="20"/>
                <w:szCs w:val="20"/>
                <w:color w:val="auto"/>
              </w:rPr>
            </w:pPr>
            <w:r>
              <w:rPr>
                <w:rFonts w:ascii="Arial" w:cs="Arial" w:eastAsia="Arial" w:hAnsi="Arial"/>
                <w:sz w:val="18"/>
                <w:szCs w:val="18"/>
                <w:color w:val="auto"/>
              </w:rPr>
              <w:t>(0.38)</w:t>
            </w:r>
          </w:p>
        </w:tc>
        <w:tc>
          <w:tcPr>
            <w:tcW w:w="46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(0.44)</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7"/>
        </w:trPr>
        <w:tc>
          <w:tcPr>
            <w:tcW w:w="20" w:type="dxa"/>
            <w:vAlign w:val="bottom"/>
            <w:tcBorders>
              <w:bottom w:val="single" w:sz="8" w:color="808080"/>
            </w:tcBorders>
          </w:tcPr>
          <w:p>
            <w:pPr>
              <w:spacing w:after="0"/>
              <w:rPr>
                <w:sz w:val="8"/>
                <w:szCs w:val="8"/>
                <w:color w:val="auto"/>
              </w:rPr>
            </w:pPr>
          </w:p>
        </w:tc>
        <w:tc>
          <w:tcPr>
            <w:tcW w:w="750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-1202055</wp:posOffset>
            </wp:positionV>
            <wp:extent cx="12700" cy="29845"/>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-1202055</wp:posOffset>
            </wp:positionV>
            <wp:extent cx="12700" cy="29845"/>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-1202055</wp:posOffset>
            </wp:positionV>
            <wp:extent cx="12700" cy="29845"/>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-1202055</wp:posOffset>
            </wp:positionV>
            <wp:extent cx="12700" cy="29845"/>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-1202055</wp:posOffset>
            </wp:positionV>
            <wp:extent cx="12700" cy="29845"/>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-1202055</wp:posOffset>
            </wp:positionV>
            <wp:extent cx="12700" cy="29845"/>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-1202055</wp:posOffset>
            </wp:positionV>
            <wp:extent cx="12700" cy="29845"/>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-1202055</wp:posOffset>
            </wp:positionV>
            <wp:extent cx="12700" cy="29845"/>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-1202055</wp:posOffset>
            </wp:positionV>
            <wp:extent cx="12700" cy="29845"/>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6649085</wp:posOffset>
            </wp:positionH>
            <wp:positionV relativeFrom="paragraph">
              <wp:posOffset>-1202055</wp:posOffset>
            </wp:positionV>
            <wp:extent cx="12700" cy="29845"/>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-1202055</wp:posOffset>
            </wp:positionV>
            <wp:extent cx="12700" cy="29845"/>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-1202055</wp:posOffset>
            </wp:positionV>
            <wp:extent cx="12700" cy="29845"/>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3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See Note 10, “Treasury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2663825</wp:posOffset>
            </wp:positionH>
            <wp:positionV relativeFrom="paragraph">
              <wp:posOffset>148590</wp:posOffset>
            </wp:positionV>
            <wp:extent cx="1929765" cy="231775"/>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35">
                      <a:extLst>
                        <a:ext uri="{28A0092B-C50C-407E-A947-70E740481C1C}"/>
                      </a:extLst>
                    </a:blip>
                    <a:srcRect/>
                    <a:stretch>
                      <a:fillRect/>
                    </a:stretch>
                  </pic:blipFill>
                  <pic:spPr bwMode="auto">
                    <a:xfrm>
                      <a:off x="0" y="0"/>
                      <a:ext cx="1929765"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38735"/>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3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60"/>
          </w:cols>
          <w:pgMar w:left="240" w:top="138" w:right="199" w:bottom="1440" w:gutter="0" w:footer="0" w:header="0"/>
        </w:sectPr>
      </w:pPr>
    </w:p>
    <w:bookmarkStart w:id="78" w:name="page79"/>
    <w:bookmarkEnd w:id="7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37">
                      <a:extLst>
                        <a:ext uri="{28A0092B-C50C-407E-A947-70E740481C1C}"/>
                      </a:extLst>
                    </a:blip>
                    <a:srcRect/>
                    <a:stretch>
                      <a:fillRect/>
                    </a:stretch>
                  </pic:blipFill>
                  <pic:spPr bwMode="auto">
                    <a:xfrm>
                      <a:off x="0" y="0"/>
                      <a:ext cx="7263765" cy="8890"/>
                    </a:xfrm>
                    <a:prstGeom prst="rect">
                      <a:avLst/>
                    </a:prstGeom>
                    <a:noFill/>
                  </pic:spPr>
                </pic:pic>
              </a:graphicData>
            </a:graphic>
          </wp:anchor>
        </w:drawing>
        <w:t>14. ACCRUED EXPENSES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consist of the following at May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263765" cy="8890"/>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3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622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800" w:type="dxa"/>
            <w:vAlign w:val="bottom"/>
          </w:tcPr>
          <w:p>
            <w:pPr>
              <w:jc w:val="right"/>
              <w:ind w:right="95"/>
              <w:spacing w:after="0"/>
              <w:rPr>
                <w:sz w:val="20"/>
                <w:szCs w:val="20"/>
                <w:color w:val="auto"/>
              </w:rPr>
            </w:pPr>
            <w:r>
              <w:rPr>
                <w:rFonts w:ascii="Arial" w:cs="Arial" w:eastAsia="Arial" w:hAnsi="Arial"/>
                <w:sz w:val="14"/>
                <w:szCs w:val="14"/>
                <w:b w:val="1"/>
                <w:bCs w:val="1"/>
                <w:color w:val="auto"/>
              </w:rPr>
              <w:t>2010</w:t>
            </w:r>
          </w:p>
        </w:tc>
        <w:tc>
          <w:tcPr>
            <w:tcW w:w="440" w:type="dxa"/>
            <w:vAlign w:val="bottom"/>
          </w:tcPr>
          <w:p>
            <w:pPr>
              <w:spacing w:after="0"/>
              <w:rPr>
                <w:sz w:val="15"/>
                <w:szCs w:val="15"/>
                <w:color w:val="auto"/>
              </w:rPr>
            </w:pPr>
          </w:p>
        </w:tc>
        <w:tc>
          <w:tcPr>
            <w:tcW w:w="760" w:type="dxa"/>
            <w:vAlign w:val="bottom"/>
          </w:tcPr>
          <w:p>
            <w:pPr>
              <w:jc w:val="right"/>
              <w:ind w:right="35"/>
              <w:spacing w:after="0"/>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95"/>
        </w:trPr>
        <w:tc>
          <w:tcPr>
            <w:tcW w:w="6220" w:type="dxa"/>
            <w:vAlign w:val="bottom"/>
            <w:tcBorders>
              <w:bottom w:val="single" w:sz="8" w:color="auto"/>
            </w:tcBorders>
          </w:tcPr>
          <w:p>
            <w:pPr>
              <w:spacing w:after="0"/>
              <w:rPr>
                <w:sz w:val="8"/>
                <w:szCs w:val="8"/>
                <w:color w:val="auto"/>
              </w:rPr>
            </w:pPr>
          </w:p>
        </w:tc>
        <w:tc>
          <w:tcPr>
            <w:tcW w:w="32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r>
      <w:tr>
        <w:trPr>
          <w:trHeight w:val="102"/>
        </w:trPr>
        <w:tc>
          <w:tcPr>
            <w:tcW w:w="6220" w:type="dxa"/>
            <w:vAlign w:val="bottom"/>
          </w:tcPr>
          <w:p>
            <w:pPr>
              <w:spacing w:after="0"/>
              <w:rPr>
                <w:sz w:val="8"/>
                <w:szCs w:val="8"/>
                <w:color w:val="auto"/>
              </w:rPr>
            </w:pPr>
          </w:p>
        </w:tc>
        <w:tc>
          <w:tcPr>
            <w:tcW w:w="3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203"/>
        </w:trPr>
        <w:tc>
          <w:tcPr>
            <w:tcW w:w="622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Accrued payroll, payroll taxes and benefits</w:t>
            </w:r>
          </w:p>
        </w:tc>
        <w:tc>
          <w:tcPr>
            <w:tcW w:w="3200" w:type="dxa"/>
            <w:vAlign w:val="bottom"/>
            <w:shd w:val="clear" w:color="auto" w:fill="E6E6E6"/>
          </w:tcPr>
          <w:p>
            <w:pPr>
              <w:jc w:val="right"/>
              <w:ind w:right="112"/>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E6E6E6"/>
          </w:tcPr>
          <w:p>
            <w:pPr>
              <w:jc w:val="right"/>
              <w:ind w:right="95"/>
              <w:spacing w:after="0" w:line="202" w:lineRule="exact"/>
              <w:rPr>
                <w:sz w:val="20"/>
                <w:szCs w:val="20"/>
                <w:color w:val="auto"/>
              </w:rPr>
            </w:pPr>
            <w:r>
              <w:rPr>
                <w:rFonts w:ascii="Arial" w:cs="Arial" w:eastAsia="Arial" w:hAnsi="Arial"/>
                <w:sz w:val="18"/>
                <w:szCs w:val="18"/>
                <w:color w:val="auto"/>
              </w:rPr>
              <w:t>76.1</w:t>
            </w:r>
          </w:p>
        </w:tc>
        <w:tc>
          <w:tcPr>
            <w:tcW w:w="440" w:type="dxa"/>
            <w:vAlign w:val="bottom"/>
            <w:shd w:val="clear" w:color="auto" w:fill="E6E6E6"/>
          </w:tcPr>
          <w:p>
            <w:pPr>
              <w:jc w:val="right"/>
              <w:ind w:right="92"/>
              <w:spacing w:after="0" w:line="202" w:lineRule="exact"/>
              <w:rPr>
                <w:sz w:val="20"/>
                <w:szCs w:val="20"/>
                <w:color w:val="auto"/>
              </w:rPr>
            </w:pPr>
            <w:r>
              <w:rPr>
                <w:rFonts w:ascii="Arial" w:cs="Arial" w:eastAsia="Arial" w:hAnsi="Arial"/>
                <w:sz w:val="18"/>
                <w:szCs w:val="18"/>
                <w:color w:val="auto"/>
              </w:rPr>
              <w:t>$</w:t>
            </w:r>
          </w:p>
        </w:tc>
        <w:tc>
          <w:tcPr>
            <w:tcW w:w="760" w:type="dxa"/>
            <w:vAlign w:val="bottom"/>
            <w:shd w:val="clear" w:color="auto" w:fill="E6E6E6"/>
          </w:tcPr>
          <w:p>
            <w:pPr>
              <w:jc w:val="right"/>
              <w:ind w:right="35"/>
              <w:spacing w:after="0" w:line="202" w:lineRule="exact"/>
              <w:rPr>
                <w:sz w:val="20"/>
                <w:szCs w:val="20"/>
                <w:color w:val="auto"/>
              </w:rPr>
            </w:pPr>
            <w:r>
              <w:rPr>
                <w:rFonts w:ascii="Arial" w:cs="Arial" w:eastAsia="Arial" w:hAnsi="Arial"/>
                <w:sz w:val="18"/>
                <w:szCs w:val="18"/>
                <w:color w:val="auto"/>
              </w:rPr>
              <w:t>57.5</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6220" w:type="dxa"/>
            <w:vAlign w:val="bottom"/>
          </w:tcPr>
          <w:p>
            <w:pPr>
              <w:spacing w:after="0" w:line="202" w:lineRule="exact"/>
              <w:rPr>
                <w:sz w:val="20"/>
                <w:szCs w:val="20"/>
                <w:color w:val="auto"/>
              </w:rPr>
            </w:pPr>
            <w:r>
              <w:rPr>
                <w:rFonts w:ascii="Arial" w:cs="Arial" w:eastAsia="Arial" w:hAnsi="Arial"/>
                <w:sz w:val="18"/>
                <w:szCs w:val="18"/>
                <w:color w:val="auto"/>
              </w:rPr>
              <w:t>Accrued other taxes</w:t>
            </w:r>
          </w:p>
        </w:tc>
        <w:tc>
          <w:tcPr>
            <w:tcW w:w="3200" w:type="dxa"/>
            <w:vAlign w:val="bottom"/>
          </w:tcPr>
          <w:p>
            <w:pPr>
              <w:spacing w:after="0"/>
              <w:rPr>
                <w:sz w:val="17"/>
                <w:szCs w:val="17"/>
                <w:color w:val="auto"/>
              </w:rPr>
            </w:pPr>
          </w:p>
        </w:tc>
        <w:tc>
          <w:tcPr>
            <w:tcW w:w="800" w:type="dxa"/>
            <w:vAlign w:val="bottom"/>
          </w:tcPr>
          <w:p>
            <w:pPr>
              <w:jc w:val="right"/>
              <w:ind w:right="95"/>
              <w:spacing w:after="0" w:line="202" w:lineRule="exact"/>
              <w:rPr>
                <w:sz w:val="20"/>
                <w:szCs w:val="20"/>
                <w:color w:val="auto"/>
              </w:rPr>
            </w:pPr>
            <w:r>
              <w:rPr>
                <w:rFonts w:ascii="Arial" w:cs="Arial" w:eastAsia="Arial" w:hAnsi="Arial"/>
                <w:sz w:val="18"/>
                <w:szCs w:val="18"/>
                <w:color w:val="auto"/>
              </w:rPr>
              <w:t>8.8</w:t>
            </w:r>
          </w:p>
        </w:tc>
        <w:tc>
          <w:tcPr>
            <w:tcW w:w="440" w:type="dxa"/>
            <w:vAlign w:val="bottom"/>
          </w:tcPr>
          <w:p>
            <w:pPr>
              <w:spacing w:after="0"/>
              <w:rPr>
                <w:sz w:val="17"/>
                <w:szCs w:val="17"/>
                <w:color w:val="auto"/>
              </w:rPr>
            </w:pPr>
          </w:p>
        </w:tc>
        <w:tc>
          <w:tcPr>
            <w:tcW w:w="760" w:type="dxa"/>
            <w:vAlign w:val="bottom"/>
          </w:tcPr>
          <w:p>
            <w:pPr>
              <w:jc w:val="right"/>
              <w:ind w:right="35"/>
              <w:spacing w:after="0" w:line="202" w:lineRule="exact"/>
              <w:rPr>
                <w:sz w:val="20"/>
                <w:szCs w:val="20"/>
                <w:color w:val="auto"/>
              </w:rPr>
            </w:pPr>
            <w:r>
              <w:rPr>
                <w:rFonts w:ascii="Arial" w:cs="Arial" w:eastAsia="Arial" w:hAnsi="Arial"/>
                <w:sz w:val="18"/>
                <w:szCs w:val="18"/>
                <w:color w:val="auto"/>
              </w:rPr>
              <w:t>19.3</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622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Accrued commissions</w:t>
            </w:r>
          </w:p>
        </w:tc>
        <w:tc>
          <w:tcPr>
            <w:tcW w:w="3200" w:type="dxa"/>
            <w:vAlign w:val="bottom"/>
            <w:shd w:val="clear" w:color="auto" w:fill="E6E6E6"/>
          </w:tcPr>
          <w:p>
            <w:pPr>
              <w:spacing w:after="0"/>
              <w:rPr>
                <w:sz w:val="17"/>
                <w:szCs w:val="17"/>
                <w:color w:val="auto"/>
              </w:rPr>
            </w:pPr>
          </w:p>
        </w:tc>
        <w:tc>
          <w:tcPr>
            <w:tcW w:w="800" w:type="dxa"/>
            <w:vAlign w:val="bottom"/>
            <w:shd w:val="clear" w:color="auto" w:fill="E6E6E6"/>
          </w:tcPr>
          <w:p>
            <w:pPr>
              <w:jc w:val="right"/>
              <w:ind w:right="95"/>
              <w:spacing w:after="0" w:line="202" w:lineRule="exact"/>
              <w:rPr>
                <w:sz w:val="20"/>
                <w:szCs w:val="20"/>
                <w:color w:val="auto"/>
              </w:rPr>
            </w:pPr>
            <w:r>
              <w:rPr>
                <w:rFonts w:ascii="Arial" w:cs="Arial" w:eastAsia="Arial" w:hAnsi="Arial"/>
                <w:sz w:val="18"/>
                <w:szCs w:val="18"/>
                <w:color w:val="auto"/>
              </w:rPr>
              <w:t>15.9</w:t>
            </w:r>
          </w:p>
        </w:tc>
        <w:tc>
          <w:tcPr>
            <w:tcW w:w="440" w:type="dxa"/>
            <w:vAlign w:val="bottom"/>
            <w:shd w:val="clear" w:color="auto" w:fill="E6E6E6"/>
          </w:tcPr>
          <w:p>
            <w:pPr>
              <w:spacing w:after="0"/>
              <w:rPr>
                <w:sz w:val="17"/>
                <w:szCs w:val="17"/>
                <w:color w:val="auto"/>
              </w:rPr>
            </w:pPr>
          </w:p>
        </w:tc>
        <w:tc>
          <w:tcPr>
            <w:tcW w:w="760" w:type="dxa"/>
            <w:vAlign w:val="bottom"/>
            <w:shd w:val="clear" w:color="auto" w:fill="E6E6E6"/>
          </w:tcPr>
          <w:p>
            <w:pPr>
              <w:jc w:val="right"/>
              <w:ind w:right="35"/>
              <w:spacing w:after="0" w:line="202" w:lineRule="exact"/>
              <w:rPr>
                <w:sz w:val="20"/>
                <w:szCs w:val="20"/>
                <w:color w:val="auto"/>
              </w:rPr>
            </w:pPr>
            <w:r>
              <w:rPr>
                <w:rFonts w:ascii="Arial" w:cs="Arial" w:eastAsia="Arial" w:hAnsi="Arial"/>
                <w:sz w:val="18"/>
                <w:szCs w:val="18"/>
                <w:color w:val="auto"/>
              </w:rPr>
              <w:t>8.7</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6220" w:type="dxa"/>
            <w:vAlign w:val="bottom"/>
          </w:tcPr>
          <w:p>
            <w:pPr>
              <w:spacing w:after="0" w:line="202" w:lineRule="exact"/>
              <w:rPr>
                <w:sz w:val="20"/>
                <w:szCs w:val="20"/>
                <w:color w:val="auto"/>
              </w:rPr>
            </w:pPr>
            <w:r>
              <w:rPr>
                <w:rFonts w:ascii="Arial" w:cs="Arial" w:eastAsia="Arial" w:hAnsi="Arial"/>
                <w:sz w:val="18"/>
                <w:szCs w:val="18"/>
                <w:color w:val="auto"/>
              </w:rPr>
              <w:t>Accrued advertising and promotions</w:t>
            </w:r>
          </w:p>
        </w:tc>
        <w:tc>
          <w:tcPr>
            <w:tcW w:w="3200" w:type="dxa"/>
            <w:vAlign w:val="bottom"/>
          </w:tcPr>
          <w:p>
            <w:pPr>
              <w:spacing w:after="0"/>
              <w:rPr>
                <w:sz w:val="17"/>
                <w:szCs w:val="17"/>
                <w:color w:val="auto"/>
              </w:rPr>
            </w:pPr>
          </w:p>
        </w:tc>
        <w:tc>
          <w:tcPr>
            <w:tcW w:w="800" w:type="dxa"/>
            <w:vAlign w:val="bottom"/>
          </w:tcPr>
          <w:p>
            <w:pPr>
              <w:jc w:val="right"/>
              <w:ind w:right="95"/>
              <w:spacing w:after="0" w:line="202" w:lineRule="exact"/>
              <w:rPr>
                <w:sz w:val="20"/>
                <w:szCs w:val="20"/>
                <w:color w:val="auto"/>
              </w:rPr>
            </w:pPr>
            <w:r>
              <w:rPr>
                <w:rFonts w:ascii="Arial" w:cs="Arial" w:eastAsia="Arial" w:hAnsi="Arial"/>
                <w:sz w:val="18"/>
                <w:szCs w:val="18"/>
                <w:color w:val="auto"/>
              </w:rPr>
              <w:t>23.6</w:t>
            </w:r>
          </w:p>
        </w:tc>
        <w:tc>
          <w:tcPr>
            <w:tcW w:w="440" w:type="dxa"/>
            <w:vAlign w:val="bottom"/>
          </w:tcPr>
          <w:p>
            <w:pPr>
              <w:spacing w:after="0"/>
              <w:rPr>
                <w:sz w:val="17"/>
                <w:szCs w:val="17"/>
                <w:color w:val="auto"/>
              </w:rPr>
            </w:pPr>
          </w:p>
        </w:tc>
        <w:tc>
          <w:tcPr>
            <w:tcW w:w="760" w:type="dxa"/>
            <w:vAlign w:val="bottom"/>
          </w:tcPr>
          <w:p>
            <w:pPr>
              <w:jc w:val="right"/>
              <w:ind w:right="35"/>
              <w:spacing w:after="0" w:line="202" w:lineRule="exact"/>
              <w:rPr>
                <w:sz w:val="20"/>
                <w:szCs w:val="20"/>
                <w:color w:val="auto"/>
              </w:rPr>
            </w:pPr>
            <w:r>
              <w:rPr>
                <w:rFonts w:ascii="Arial" w:cs="Arial" w:eastAsia="Arial" w:hAnsi="Arial"/>
                <w:sz w:val="18"/>
                <w:szCs w:val="18"/>
                <w:color w:val="auto"/>
              </w:rPr>
              <w:t>19.6</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622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Other accrued expenses</w:t>
            </w:r>
          </w:p>
        </w:tc>
        <w:tc>
          <w:tcPr>
            <w:tcW w:w="3200" w:type="dxa"/>
            <w:vAlign w:val="bottom"/>
            <w:shd w:val="clear" w:color="auto" w:fill="E6E6E6"/>
          </w:tcPr>
          <w:p>
            <w:pPr>
              <w:spacing w:after="0"/>
              <w:rPr>
                <w:sz w:val="17"/>
                <w:szCs w:val="17"/>
                <w:color w:val="auto"/>
              </w:rPr>
            </w:pPr>
          </w:p>
        </w:tc>
        <w:tc>
          <w:tcPr>
            <w:tcW w:w="800" w:type="dxa"/>
            <w:vAlign w:val="bottom"/>
            <w:shd w:val="clear" w:color="auto" w:fill="E6E6E6"/>
          </w:tcPr>
          <w:p>
            <w:pPr>
              <w:jc w:val="right"/>
              <w:ind w:right="95"/>
              <w:spacing w:after="0" w:line="202" w:lineRule="exact"/>
              <w:rPr>
                <w:sz w:val="20"/>
                <w:szCs w:val="20"/>
                <w:color w:val="auto"/>
              </w:rPr>
            </w:pPr>
            <w:r>
              <w:rPr>
                <w:rFonts w:ascii="Arial" w:cs="Arial" w:eastAsia="Arial" w:hAnsi="Arial"/>
                <w:sz w:val="18"/>
                <w:szCs w:val="18"/>
                <w:color w:val="auto"/>
              </w:rPr>
              <w:t>30.8</w:t>
            </w:r>
          </w:p>
        </w:tc>
        <w:tc>
          <w:tcPr>
            <w:tcW w:w="440" w:type="dxa"/>
            <w:vAlign w:val="bottom"/>
            <w:shd w:val="clear" w:color="auto" w:fill="E6E6E6"/>
          </w:tcPr>
          <w:p>
            <w:pPr>
              <w:spacing w:after="0"/>
              <w:rPr>
                <w:sz w:val="17"/>
                <w:szCs w:val="17"/>
                <w:color w:val="auto"/>
              </w:rPr>
            </w:pPr>
          </w:p>
        </w:tc>
        <w:tc>
          <w:tcPr>
            <w:tcW w:w="760" w:type="dxa"/>
            <w:vAlign w:val="bottom"/>
            <w:shd w:val="clear" w:color="auto" w:fill="E6E6E6"/>
          </w:tcPr>
          <w:p>
            <w:pPr>
              <w:jc w:val="right"/>
              <w:ind w:right="35"/>
              <w:spacing w:after="0" w:line="202" w:lineRule="exact"/>
              <w:rPr>
                <w:sz w:val="20"/>
                <w:szCs w:val="20"/>
                <w:color w:val="auto"/>
              </w:rPr>
            </w:pPr>
            <w:r>
              <w:rPr>
                <w:rFonts w:ascii="Arial" w:cs="Arial" w:eastAsia="Arial" w:hAnsi="Arial"/>
                <w:sz w:val="18"/>
                <w:szCs w:val="18"/>
                <w:color w:val="auto"/>
              </w:rPr>
              <w:t>33.8</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08"/>
        </w:trPr>
        <w:tc>
          <w:tcPr>
            <w:tcW w:w="6220" w:type="dxa"/>
            <w:vAlign w:val="bottom"/>
            <w:tcBorders>
              <w:bottom w:val="single" w:sz="8" w:color="808080"/>
            </w:tcBorders>
          </w:tcPr>
          <w:p>
            <w:pPr>
              <w:spacing w:after="0"/>
              <w:rPr>
                <w:sz w:val="9"/>
                <w:szCs w:val="9"/>
                <w:color w:val="auto"/>
              </w:rPr>
            </w:pPr>
          </w:p>
        </w:tc>
        <w:tc>
          <w:tcPr>
            <w:tcW w:w="320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316"/>
        </w:trPr>
        <w:tc>
          <w:tcPr>
            <w:tcW w:w="6220" w:type="dxa"/>
            <w:vAlign w:val="bottom"/>
          </w:tcPr>
          <w:p>
            <w:pPr>
              <w:spacing w:after="0"/>
              <w:rPr>
                <w:sz w:val="20"/>
                <w:szCs w:val="20"/>
                <w:color w:val="auto"/>
              </w:rPr>
            </w:pPr>
            <w:r>
              <w:rPr>
                <w:rFonts w:ascii="Arial" w:cs="Arial" w:eastAsia="Arial" w:hAnsi="Arial"/>
                <w:sz w:val="18"/>
                <w:szCs w:val="18"/>
                <w:color w:val="auto"/>
              </w:rPr>
              <w:t>Total accrued expenses</w:t>
            </w:r>
          </w:p>
        </w:tc>
        <w:tc>
          <w:tcPr>
            <w:tcW w:w="320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95"/>
              <w:spacing w:after="0"/>
              <w:rPr>
                <w:sz w:val="20"/>
                <w:szCs w:val="20"/>
                <w:color w:val="auto"/>
              </w:rPr>
            </w:pPr>
            <w:r>
              <w:rPr>
                <w:rFonts w:ascii="Arial" w:cs="Arial" w:eastAsia="Arial" w:hAnsi="Arial"/>
                <w:sz w:val="18"/>
                <w:szCs w:val="18"/>
                <w:color w:val="auto"/>
              </w:rPr>
              <w:t>155.2</w:t>
            </w:r>
          </w:p>
        </w:tc>
        <w:tc>
          <w:tcPr>
            <w:tcW w:w="4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35"/>
              <w:spacing w:after="0"/>
              <w:rPr>
                <w:sz w:val="20"/>
                <w:szCs w:val="20"/>
                <w:color w:val="auto"/>
              </w:rPr>
            </w:pPr>
            <w:r>
              <w:rPr>
                <w:rFonts w:ascii="Arial" w:cs="Arial" w:eastAsia="Arial" w:hAnsi="Arial"/>
                <w:sz w:val="18"/>
                <w:szCs w:val="18"/>
                <w:color w:val="auto"/>
              </w:rPr>
              <w:t>138.9</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20"/>
        </w:trPr>
        <w:tc>
          <w:tcPr>
            <w:tcW w:w="6220" w:type="dxa"/>
            <w:vAlign w:val="bottom"/>
            <w:tcBorders>
              <w:bottom w:val="single" w:sz="8" w:color="808080"/>
            </w:tcBorders>
          </w:tcPr>
          <w:p>
            <w:pPr>
              <w:spacing w:after="0"/>
              <w:rPr>
                <w:sz w:val="10"/>
                <w:szCs w:val="10"/>
                <w:color w:val="auto"/>
              </w:rPr>
            </w:pPr>
          </w:p>
        </w:tc>
        <w:tc>
          <w:tcPr>
            <w:tcW w:w="320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-29210</wp:posOffset>
            </wp:positionV>
            <wp:extent cx="12700" cy="29845"/>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-29210</wp:posOffset>
            </wp:positionV>
            <wp:extent cx="12700" cy="29845"/>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-29210</wp:posOffset>
            </wp:positionV>
            <wp:extent cx="12700" cy="29845"/>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-29210</wp:posOffset>
            </wp:positionV>
            <wp:extent cx="12700" cy="29845"/>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6589395</wp:posOffset>
            </wp:positionH>
            <wp:positionV relativeFrom="paragraph">
              <wp:posOffset>-29210</wp:posOffset>
            </wp:positionV>
            <wp:extent cx="12700" cy="29845"/>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-29210</wp:posOffset>
            </wp:positionV>
            <wp:extent cx="12700" cy="29845"/>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-29210</wp:posOffset>
            </wp:positionV>
            <wp:extent cx="12700" cy="29845"/>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4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OTHER INCOME</w:t>
      </w:r>
    </w:p>
    <w:p>
      <w:pPr>
        <w:spacing w:after="0" w:line="231"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Other income, net for fiscal 2010 was $0.9 consisting of a gain related to the repurchase of 5% Notes. Other income, net for fiscal 2009 was $0.7 consisting of a gain of $0.4 related to the repurchase of 5% Notes and a gain of $0.3 related to an accelerated payment of a note. Other income, net for fiscal 2008 was $2.6 consisting of $1.4 related to a currency gain on settlement of a loan and income of $2.1 related to the repurchase of 5% Notes, partially offset by a $0.9 expense resulting from the early termination of a lease.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OTHER FINANCIAL DATA</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Other advertising expenses were $134.2, $137.6 and $142.8 for the fiscal years ended May 31, 2010, 2009 and 2008, respectively.</w:t>
      </w:r>
    </w:p>
    <w:p>
      <w:pPr>
        <w:spacing w:after="0" w:line="225" w:lineRule="exact"/>
        <w:rPr>
          <w:sz w:val="20"/>
          <w:szCs w:val="20"/>
          <w:color w:val="auto"/>
        </w:rPr>
      </w:pPr>
    </w:p>
    <w:p>
      <w:pPr>
        <w:ind w:right="340"/>
        <w:spacing w:after="0" w:line="332" w:lineRule="auto"/>
        <w:rPr>
          <w:sz w:val="20"/>
          <w:szCs w:val="20"/>
          <w:color w:val="auto"/>
        </w:rPr>
      </w:pPr>
      <w:r>
        <w:rPr>
          <w:rFonts w:ascii="Arial" w:cs="Arial" w:eastAsia="Arial" w:hAnsi="Arial"/>
          <w:sz w:val="16"/>
          <w:szCs w:val="16"/>
          <w:color w:val="auto"/>
        </w:rPr>
        <w:t>Prepublication and production costs were $117.8, $127.5 and $115.5 at May 31, 2010, 2009 and 2008, respectively. The Company amortized $51.0, $44.8 and $46.1 of prepublication and production costs for the fiscal years ended May 31, 2010, 2009 and 2008, respectively.</w:t>
      </w:r>
    </w:p>
    <w:p>
      <w:pPr>
        <w:spacing w:after="0" w:line="139"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Other accrued expenses include a reserve for unredeemed credits issued in conjunction with the Company’s school-based book club and book fair operations of $7.2 and $11.0 at May 31, 2010 and 2009, respectively.</w:t>
      </w:r>
    </w:p>
    <w:p>
      <w:pPr>
        <w:spacing w:after="0" w:line="186" w:lineRule="exact"/>
        <w:rPr>
          <w:sz w:val="20"/>
          <w:szCs w:val="20"/>
          <w:color w:val="auto"/>
        </w:rPr>
      </w:pPr>
    </w:p>
    <w:p>
      <w:pPr>
        <w:ind w:right="220"/>
        <w:spacing w:after="0" w:line="332" w:lineRule="auto"/>
        <w:rPr>
          <w:sz w:val="20"/>
          <w:szCs w:val="20"/>
          <w:color w:val="auto"/>
        </w:rPr>
      </w:pPr>
      <w:r>
        <w:rPr>
          <w:rFonts w:ascii="Arial" w:cs="Arial" w:eastAsia="Arial" w:hAnsi="Arial"/>
          <w:sz w:val="16"/>
          <w:szCs w:val="16"/>
          <w:color w:val="auto"/>
        </w:rPr>
        <w:t>The components of Accumulated other comprehensive loss at May 31, 2010 and 2009 include $28.0 and $30.8, respectively, of foreign currency translation and $86.5 ($57.4 net of tax) and $66.9 ($46.3 net of tax), respectively, of pension obligation in accordance with Topic 715.</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RELATED PARTY TRANSACTIONS</w:t>
      </w:r>
    </w:p>
    <w:p>
      <w:pPr>
        <w:spacing w:after="0" w:line="231" w:lineRule="exact"/>
        <w:rPr>
          <w:sz w:val="20"/>
          <w:szCs w:val="20"/>
          <w:color w:val="auto"/>
        </w:rPr>
      </w:pPr>
    </w:p>
    <w:p>
      <w:pPr>
        <w:ind w:right="120"/>
        <w:spacing w:after="0" w:line="314" w:lineRule="auto"/>
        <w:rPr>
          <w:sz w:val="20"/>
          <w:szCs w:val="20"/>
          <w:color w:val="auto"/>
        </w:rPr>
      </w:pPr>
      <w:r>
        <w:rPr>
          <w:rFonts w:ascii="Arial" w:cs="Arial" w:eastAsia="Arial" w:hAnsi="Arial"/>
          <w:sz w:val="15"/>
          <w:szCs w:val="15"/>
          <w:color w:val="auto"/>
        </w:rPr>
        <w:t>On October 10, 2008, the Company agreed to purchase 100,000 shares of Common Stock from Richard Robinson, Chairman of the Board, President and Chief Executive Officer of the Company, at a price of $20.59 per share, or an aggregate purchase price of $2.1, pursuant to the Company’s previously announced stock repurchase program which had been approved by the Board in May 2008. The purchase price was determined with reference to the last transaction price reported on NASDAQ immediately prior to the purchase. The closing price of the Common Stock on NASDAQ on October 10, 2008 was $23.11 per share. The shares became available for sale due to Mr. Robinson, as a result of current market conditions, being required to sell the shares in order to protect the collateral value underlying a personal loan with a bank secured by the shares. The aforementioned transaction was approved by the Audit Committee and ratified by the Board.</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DERIVATIVES</w:t>
      </w:r>
    </w:p>
    <w:p>
      <w:pPr>
        <w:spacing w:after="0" w:line="231"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The Company enters into foreign currency derivative contracts to economically hedge its exposure to foreign currency fluctuations associated with the forecasted purchase of inventory. These derivative contracts are economic hedges and are not designated as cash flow hedges. The Company marks-to-market these instruments and records the changes in the fair value of these items in current earnings, and the unrealized gain or loss is recognized in other current liabilities. At May 31, 2010, unrealized gains of $0.5 were recognized. At May 31, 2009, unrealized losses of $3.1 were recognized.</w:t>
      </w:r>
    </w:p>
    <w:p>
      <w:pPr>
        <w:spacing w:after="0" w:line="167"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color w:val="auto"/>
        </w:rPr>
        <w:t>The Company also enters into foreign currency derivative contracts to hedge its foreign exchange risk associated with certain receivables denominated in foreign currencies. The Company marks-to-market these instruments and records the changes in the fair value of these items in current earnings, offsetting the foreign exchange gains and losses arising from the effect of changes in exchange rates used to measure the related assets. Unrealized gains related to these derivatives were $0.6 at May 31, 2010. At May 31, 2009, unrealized losses of $0.4 were recognized.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2663825</wp:posOffset>
            </wp:positionH>
            <wp:positionV relativeFrom="paragraph">
              <wp:posOffset>111125</wp:posOffset>
            </wp:positionV>
            <wp:extent cx="1929765" cy="231775"/>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48">
                      <a:extLst>
                        <a:ext uri="{28A0092B-C50C-407E-A947-70E740481C1C}"/>
                      </a:extLst>
                    </a:blip>
                    <a:srcRect/>
                    <a:stretch>
                      <a:fillRect/>
                    </a:stretch>
                  </pic:blipFill>
                  <pic:spPr bwMode="auto">
                    <a:xfrm>
                      <a:off x="0" y="0"/>
                      <a:ext cx="1929765" cy="231775"/>
                    </a:xfrm>
                    <a:prstGeom prst="rect">
                      <a:avLst/>
                    </a:prstGeom>
                    <a:noFill/>
                  </pic:spPr>
                </pic:pic>
              </a:graphicData>
            </a:graphic>
          </wp:anchor>
        </w:drawing>
      </w:r>
    </w:p>
    <w:p>
      <w:pPr>
        <w:sectPr>
          <w:pgSz w:w="11900" w:h="16838" w:orient="portrait"/>
          <w:cols w:equalWidth="0" w:num="1">
            <w:col w:w="11460"/>
          </w:cols>
          <w:pgMar w:left="240" w:top="827" w:right="1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67575" cy="38735"/>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4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60"/>
          </w:cols>
          <w:pgMar w:left="240" w:top="827" w:right="199" w:bottom="1440" w:gutter="0" w:footer="0" w:header="0"/>
          <w:type w:val="continuous"/>
        </w:sectPr>
      </w:pPr>
    </w:p>
    <w:bookmarkStart w:id="79" w:name="page80"/>
    <w:bookmarkEnd w:id="7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50">
                      <a:extLst>
                        <a:ext uri="{28A0092B-C50C-407E-A947-70E740481C1C}"/>
                      </a:extLst>
                    </a:blip>
                    <a:srcRect/>
                    <a:stretch>
                      <a:fillRect/>
                    </a:stretch>
                  </pic:blipFill>
                  <pic:spPr bwMode="auto">
                    <a:xfrm>
                      <a:off x="0" y="0"/>
                      <a:ext cx="7263765" cy="8890"/>
                    </a:xfrm>
                    <a:prstGeom prst="rect">
                      <a:avLst/>
                    </a:prstGeom>
                    <a:noFill/>
                  </pic:spPr>
                </pic:pic>
              </a:graphicData>
            </a:graphic>
          </wp:anchor>
        </w:drawing>
        <w:t>19. FAIR VALUE MEASUREMENTS</w:t>
      </w:r>
    </w:p>
    <w:p>
      <w:pPr>
        <w:spacing w:after="0" w:line="231" w:lineRule="exact"/>
        <w:rPr>
          <w:sz w:val="20"/>
          <w:szCs w:val="20"/>
          <w:color w:val="auto"/>
        </w:rPr>
      </w:pPr>
    </w:p>
    <w:p>
      <w:pPr>
        <w:jc w:val="both"/>
        <w:ind w:right="100"/>
        <w:spacing w:after="0" w:line="314" w:lineRule="auto"/>
        <w:rPr>
          <w:sz w:val="20"/>
          <w:szCs w:val="20"/>
          <w:color w:val="auto"/>
        </w:rPr>
      </w:pPr>
      <w:r>
        <w:rPr>
          <w:rFonts w:ascii="Arial" w:cs="Arial" w:eastAsia="Arial" w:hAnsi="Arial"/>
          <w:sz w:val="15"/>
          <w:szCs w:val="15"/>
          <w:color w:val="auto"/>
        </w:rPr>
        <w:t>On June 1, 2008, the Company adopted a new accounting standard regarding fair value measurements for financial assets and liabilities, as well as for any other assets and liabilities that are carried at fair value on a recurring basis in the Company’s financial statements. The Financial Accounting Standards Board issued a one year deferral of the fair value measurement requirements for non financial assets and liabilities that are not required or permitted to be measured at fair value on a recurring basis at the time of issuance. The Company adopted the remainder of the new standard on June 1, 2009. The accounting standard requires that the Company determine the appropriate level in the fair value hierarchy for each fair value measurement. The fair value hierarchy prioritizes the inputs, which refer to assumptions that market participants would use in pricing an asset or liability, based upon the highest and best use, into three levels as follows:</w:t>
      </w:r>
    </w:p>
    <w:p>
      <w:pPr>
        <w:spacing w:after="0" w:line="166"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Level 1 </w:t>
      </w:r>
      <w:r>
        <w:rPr>
          <w:rFonts w:ascii="Arial" w:cs="Arial" w:eastAsia="Arial" w:hAnsi="Arial"/>
          <w:sz w:val="18"/>
          <w:szCs w:val="18"/>
          <w:color w:val="auto"/>
        </w:rPr>
        <w:t>Unadjusted quoted prices in active markets for identical assets or liabilities at the measurement date.</w:t>
      </w:r>
    </w:p>
    <w:p>
      <w:pPr>
        <w:spacing w:after="0" w:line="157" w:lineRule="exact"/>
        <w:rPr>
          <w:rFonts w:ascii="Arial" w:cs="Arial" w:eastAsia="Arial" w:hAnsi="Arial"/>
          <w:sz w:val="18"/>
          <w:szCs w:val="18"/>
          <w:b w:val="1"/>
          <w:bCs w:val="1"/>
          <w:color w:val="auto"/>
        </w:rPr>
      </w:pPr>
    </w:p>
    <w:p>
      <w:pPr>
        <w:ind w:left="460" w:hanging="452"/>
        <w:spacing w:after="0"/>
        <w:tabs>
          <w:tab w:leader="none" w:pos="4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Level 2 </w:t>
      </w:r>
      <w:r>
        <w:rPr>
          <w:rFonts w:ascii="Arial" w:cs="Arial" w:eastAsia="Arial" w:hAnsi="Arial"/>
          <w:sz w:val="18"/>
          <w:szCs w:val="18"/>
          <w:color w:val="auto"/>
        </w:rPr>
        <w:t>Observable inputs other than unadjusted quoted prices in active markets for identical assets or liabilities such as</w:t>
      </w:r>
    </w:p>
    <w:p>
      <w:pPr>
        <w:spacing w:after="0" w:line="75" w:lineRule="exact"/>
        <w:rPr>
          <w:rFonts w:ascii="Arial" w:cs="Arial" w:eastAsia="Arial" w:hAnsi="Arial"/>
          <w:sz w:val="18"/>
          <w:szCs w:val="18"/>
          <w:b w:val="1"/>
          <w:bCs w:val="1"/>
          <w:color w:val="auto"/>
        </w:rPr>
      </w:pPr>
    </w:p>
    <w:p>
      <w:pPr>
        <w:ind w:left="1380" w:hanging="476"/>
        <w:spacing w:after="0"/>
        <w:tabs>
          <w:tab w:leader="none" w:pos="1380" w:val="left"/>
        </w:tabs>
        <w:numPr>
          <w:ilvl w:val="1"/>
          <w:numId w:val="15"/>
        </w:numPr>
        <w:rPr>
          <w:rFonts w:ascii="Arial" w:cs="Arial" w:eastAsia="Arial" w:hAnsi="Arial"/>
          <w:sz w:val="27"/>
          <w:szCs w:val="27"/>
          <w:color w:val="auto"/>
          <w:vertAlign w:val="superscript"/>
        </w:rPr>
      </w:pPr>
      <w:r>
        <w:rPr>
          <w:rFonts w:ascii="Arial" w:cs="Arial" w:eastAsia="Arial" w:hAnsi="Arial"/>
          <w:sz w:val="18"/>
          <w:szCs w:val="18"/>
          <w:color w:val="auto"/>
        </w:rPr>
        <w:t>Quoted prices for similar assets or liabilities in active markets</w:t>
      </w:r>
    </w:p>
    <w:p>
      <w:pPr>
        <w:spacing w:after="0" w:line="127" w:lineRule="exact"/>
        <w:rPr>
          <w:rFonts w:ascii="Arial" w:cs="Arial" w:eastAsia="Arial" w:hAnsi="Arial"/>
          <w:sz w:val="27"/>
          <w:szCs w:val="27"/>
          <w:color w:val="auto"/>
          <w:vertAlign w:val="superscript"/>
        </w:rPr>
      </w:pPr>
    </w:p>
    <w:p>
      <w:pPr>
        <w:ind w:left="1380" w:hanging="476"/>
        <w:spacing w:after="0" w:line="182" w:lineRule="auto"/>
        <w:tabs>
          <w:tab w:leader="none" w:pos="1380" w:val="left"/>
        </w:tabs>
        <w:numPr>
          <w:ilvl w:val="1"/>
          <w:numId w:val="15"/>
        </w:numPr>
        <w:rPr>
          <w:rFonts w:ascii="Arial" w:cs="Arial" w:eastAsia="Arial" w:hAnsi="Arial"/>
          <w:sz w:val="27"/>
          <w:szCs w:val="27"/>
          <w:color w:val="auto"/>
          <w:vertAlign w:val="superscript"/>
        </w:rPr>
      </w:pPr>
      <w:r>
        <w:rPr>
          <w:rFonts w:ascii="Arial" w:cs="Arial" w:eastAsia="Arial" w:hAnsi="Arial"/>
          <w:sz w:val="18"/>
          <w:szCs w:val="18"/>
          <w:color w:val="auto"/>
        </w:rPr>
        <w:t>Quoted prices for identical or similar assets or liabilities in inactive markets</w:t>
      </w:r>
    </w:p>
    <w:p>
      <w:pPr>
        <w:spacing w:after="0" w:line="129" w:lineRule="exact"/>
        <w:rPr>
          <w:rFonts w:ascii="Arial" w:cs="Arial" w:eastAsia="Arial" w:hAnsi="Arial"/>
          <w:sz w:val="27"/>
          <w:szCs w:val="27"/>
          <w:color w:val="auto"/>
          <w:vertAlign w:val="superscript"/>
        </w:rPr>
      </w:pPr>
    </w:p>
    <w:p>
      <w:pPr>
        <w:ind w:left="1380" w:hanging="476"/>
        <w:spacing w:after="0" w:line="182" w:lineRule="auto"/>
        <w:tabs>
          <w:tab w:leader="none" w:pos="1380" w:val="left"/>
        </w:tabs>
        <w:numPr>
          <w:ilvl w:val="1"/>
          <w:numId w:val="15"/>
        </w:numPr>
        <w:rPr>
          <w:rFonts w:ascii="Arial" w:cs="Arial" w:eastAsia="Arial" w:hAnsi="Arial"/>
          <w:sz w:val="27"/>
          <w:szCs w:val="27"/>
          <w:color w:val="auto"/>
          <w:vertAlign w:val="superscript"/>
        </w:rPr>
      </w:pPr>
      <w:r>
        <w:rPr>
          <w:rFonts w:ascii="Arial" w:cs="Arial" w:eastAsia="Arial" w:hAnsi="Arial"/>
          <w:sz w:val="18"/>
          <w:szCs w:val="18"/>
          <w:color w:val="auto"/>
        </w:rPr>
        <w:t>Inputs other than quoted prices that are observable for the asset or liability</w:t>
      </w:r>
    </w:p>
    <w:p>
      <w:pPr>
        <w:spacing w:after="0" w:line="129" w:lineRule="exact"/>
        <w:rPr>
          <w:rFonts w:ascii="Arial" w:cs="Arial" w:eastAsia="Arial" w:hAnsi="Arial"/>
          <w:sz w:val="27"/>
          <w:szCs w:val="27"/>
          <w:color w:val="auto"/>
          <w:vertAlign w:val="superscript"/>
        </w:rPr>
      </w:pPr>
    </w:p>
    <w:p>
      <w:pPr>
        <w:ind w:left="1380" w:hanging="476"/>
        <w:spacing w:after="0" w:line="182" w:lineRule="auto"/>
        <w:tabs>
          <w:tab w:leader="none" w:pos="1380" w:val="left"/>
        </w:tabs>
        <w:numPr>
          <w:ilvl w:val="1"/>
          <w:numId w:val="15"/>
        </w:numPr>
        <w:rPr>
          <w:rFonts w:ascii="Arial" w:cs="Arial" w:eastAsia="Arial" w:hAnsi="Arial"/>
          <w:sz w:val="27"/>
          <w:szCs w:val="27"/>
          <w:color w:val="auto"/>
          <w:vertAlign w:val="superscript"/>
        </w:rPr>
      </w:pPr>
      <w:r>
        <w:rPr>
          <w:rFonts w:ascii="Arial" w:cs="Arial" w:eastAsia="Arial" w:hAnsi="Arial"/>
          <w:sz w:val="18"/>
          <w:szCs w:val="18"/>
          <w:color w:val="auto"/>
        </w:rPr>
        <w:t>Inputs that are derived principally from or corroborated by observable market data by correlation or other means</w:t>
      </w:r>
    </w:p>
    <w:p>
      <w:pPr>
        <w:spacing w:after="0" w:line="137" w:lineRule="exact"/>
        <w:rPr>
          <w:rFonts w:ascii="Arial" w:cs="Arial" w:eastAsia="Arial" w:hAnsi="Arial"/>
          <w:sz w:val="27"/>
          <w:szCs w:val="27"/>
          <w:color w:val="auto"/>
          <w:vertAlign w:val="superscript"/>
        </w:rPr>
      </w:pPr>
    </w:p>
    <w:p>
      <w:pPr>
        <w:ind w:left="460" w:right="600" w:hanging="452"/>
        <w:spacing w:after="0" w:line="275" w:lineRule="auto"/>
        <w:tabs>
          <w:tab w:leader="none" w:pos="4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Level 3 </w:t>
      </w:r>
      <w:r>
        <w:rPr>
          <w:rFonts w:ascii="Arial" w:cs="Arial" w:eastAsia="Arial" w:hAnsi="Arial"/>
          <w:sz w:val="18"/>
          <w:szCs w:val="18"/>
          <w:color w:val="auto"/>
        </w:rPr>
        <w:t>Unobservable inputs in which there is little or no market data available, which are significant to the fair value measurement and require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to develop its own assumptions.</w:t>
      </w:r>
    </w:p>
    <w:p>
      <w:pPr>
        <w:spacing w:after="0" w:line="180"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The Company’s financial assets and liabilities measured at fair value consisted of cash and cash equivalents, and foreign currency forward contracts, which were not material as of the reporting date. The Company’s debt is reported at fair value. Cash and cash equivalents are comprised of bank deposits and short-term investments, such as money market funds, the fair value of which is based on quoted market prices, a Level 1 fair value measure. The Company employs Level 2 fair value measurements for its 5% Notes and its various lines of credit. For a more complete description, see Note 4, “Debt.” The fair values of foreign currency forward contracts, used by the Company to manage the impact of foreign exchange rate changes to the financial statements, are based on quotations from financial institutions, a Level 2 fair value measure.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Non financial assets and liabilities for which the Company employs fair value measures on a non-recurring basis include:</w:t>
      </w:r>
    </w:p>
    <w:p>
      <w:pPr>
        <w:spacing w:after="0" w:line="239" w:lineRule="exact"/>
        <w:rPr>
          <w:sz w:val="20"/>
          <w:szCs w:val="20"/>
          <w:color w:val="auto"/>
        </w:rPr>
      </w:pPr>
    </w:p>
    <w:p>
      <w:pPr>
        <w:ind w:left="460" w:hanging="452"/>
        <w:spacing w:after="0"/>
        <w:tabs>
          <w:tab w:leader="none" w:pos="46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long-lived assets</w:t>
      </w:r>
    </w:p>
    <w:p>
      <w:pPr>
        <w:spacing w:after="0" w:line="157" w:lineRule="exact"/>
        <w:rPr>
          <w:rFonts w:ascii="Arial" w:cs="Arial" w:eastAsia="Arial" w:hAnsi="Arial"/>
          <w:sz w:val="18"/>
          <w:szCs w:val="18"/>
          <w:b w:val="1"/>
          <w:bCs w:val="1"/>
          <w:color w:val="auto"/>
        </w:rPr>
      </w:pPr>
    </w:p>
    <w:p>
      <w:pPr>
        <w:ind w:left="460" w:hanging="452"/>
        <w:spacing w:after="0"/>
        <w:tabs>
          <w:tab w:leader="none" w:pos="46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assets acquired in a business combination</w:t>
      </w:r>
    </w:p>
    <w:p>
      <w:pPr>
        <w:spacing w:after="0" w:line="157" w:lineRule="exact"/>
        <w:rPr>
          <w:rFonts w:ascii="Arial" w:cs="Arial" w:eastAsia="Arial" w:hAnsi="Arial"/>
          <w:sz w:val="18"/>
          <w:szCs w:val="18"/>
          <w:b w:val="1"/>
          <w:bCs w:val="1"/>
          <w:color w:val="auto"/>
        </w:rPr>
      </w:pPr>
    </w:p>
    <w:p>
      <w:pPr>
        <w:ind w:left="460" w:hanging="452"/>
        <w:spacing w:after="0"/>
        <w:tabs>
          <w:tab w:leader="none" w:pos="46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goodwill and indefinite-lived intangible assets</w:t>
      </w:r>
    </w:p>
    <w:p>
      <w:pPr>
        <w:spacing w:after="0" w:line="157" w:lineRule="exact"/>
        <w:rPr>
          <w:rFonts w:ascii="Arial" w:cs="Arial" w:eastAsia="Arial" w:hAnsi="Arial"/>
          <w:sz w:val="18"/>
          <w:szCs w:val="18"/>
          <w:b w:val="1"/>
          <w:bCs w:val="1"/>
          <w:color w:val="auto"/>
        </w:rPr>
      </w:pPr>
    </w:p>
    <w:p>
      <w:pPr>
        <w:ind w:left="460" w:hanging="452"/>
        <w:spacing w:after="0"/>
        <w:tabs>
          <w:tab w:leader="none" w:pos="46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long-lived assets held for sale</w:t>
      </w:r>
    </w:p>
    <w:p>
      <w:pPr>
        <w:spacing w:after="0" w:line="22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Level 2 and Level 3 inputs are employed by the Company in the fair value measurement of these assets and liabilities. In the twelve months ended May 31, 2010, the Company recognized impairments of goodwill and indefinite-lived and long-lived assets totaling $43.1. The Company used Level 3 inputs in its determination of the fair value of these impaired assets. See Note 7, “Goodwill and Other Intangibles,” for a discussion of the fair value measures employed in these asset impairment analyses.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SUBSEQUENT EVENTS</w:t>
      </w:r>
    </w:p>
    <w:p>
      <w:pPr>
        <w:spacing w:after="0" w:line="231"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In July 2010, the Board of Directors declared a cash dividend of $0.075 per Class A and Common share in respect of the first quarter of fiscal 2011. The dividend is payable on September 15, 2010 to shareholders of record on August 31,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2663825</wp:posOffset>
            </wp:positionH>
            <wp:positionV relativeFrom="paragraph">
              <wp:posOffset>123190</wp:posOffset>
            </wp:positionV>
            <wp:extent cx="1929765" cy="231775"/>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51">
                      <a:extLst>
                        <a:ext uri="{28A0092B-C50C-407E-A947-70E740481C1C}"/>
                      </a:extLst>
                    </a:blip>
                    <a:srcRect/>
                    <a:stretch>
                      <a:fillRect/>
                    </a:stretch>
                  </pic:blipFill>
                  <pic:spPr bwMode="auto">
                    <a:xfrm>
                      <a:off x="0" y="0"/>
                      <a:ext cx="1929765"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38735"/>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5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827" w:right="239" w:bottom="1440" w:gutter="0" w:footer="0" w:header="0"/>
        </w:sectPr>
      </w:pPr>
    </w:p>
    <w:bookmarkStart w:id="80" w:name="page81"/>
    <w:bookmarkEnd w:id="8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853">
                      <a:extLst>
                        <a:ext uri="{28A0092B-C50C-407E-A947-70E740481C1C}"/>
                      </a:extLst>
                    </a:blip>
                    <a:srcRect/>
                    <a:stretch>
                      <a:fillRect/>
                    </a:stretch>
                  </pic:blipFill>
                  <pic:spPr bwMode="auto">
                    <a:xfrm>
                      <a:off x="0" y="0"/>
                      <a:ext cx="7263765" cy="8890"/>
                    </a:xfrm>
                    <a:prstGeom prst="rect">
                      <a:avLst/>
                    </a:prstGeom>
                    <a:noFill/>
                  </pic:spPr>
                </pic:pic>
              </a:graphicData>
            </a:graphic>
          </wp:anchor>
        </w:drawing>
        <w:t>Report of Independent Registered Public Accounting Firm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OF DIRECTORS AND STOCKHOLDERS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 SCHOLASTIC CORPORATION</w:t>
      </w:r>
    </w:p>
    <w:p>
      <w:pPr>
        <w:spacing w:after="0" w:line="200"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We have audited the accompanying consolidated balance sheets of Scholastic Corporation as of May 31, 2010 and 2009, and the related consolidated statements of operations, changes in stockholders’ equity and comprehensive income (loss) and cash flows for each of the three years in the period ended May 31, 2010. Our audits also included the financial statement schedule included in the Index at Item 15(a). These financial statements and the schedule are the responsibility of the Company’s management. Our responsibility is to express an opinion on these financial statements and the schedule based on our audits.</w:t>
      </w:r>
    </w:p>
    <w:p>
      <w:pPr>
        <w:spacing w:after="0" w:line="16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97" w:lineRule="exact"/>
        <w:rPr>
          <w:sz w:val="20"/>
          <w:szCs w:val="20"/>
          <w:color w:val="auto"/>
        </w:rPr>
      </w:pPr>
    </w:p>
    <w:p>
      <w:pPr>
        <w:ind w:right="160"/>
        <w:spacing w:after="0" w:line="298" w:lineRule="auto"/>
        <w:rPr>
          <w:sz w:val="20"/>
          <w:szCs w:val="20"/>
          <w:color w:val="auto"/>
        </w:rPr>
      </w:pPr>
      <w:r>
        <w:rPr>
          <w:rFonts w:ascii="Arial" w:cs="Arial" w:eastAsia="Arial" w:hAnsi="Arial"/>
          <w:sz w:val="16"/>
          <w:szCs w:val="16"/>
          <w:color w:val="auto"/>
        </w:rPr>
        <w:t>In our opinion, the financial statements referred to above present fairly, in all material respects, the consolidated financial position of Scholastic Corporation at May 31, 2010 and 2009, and the consolidated results of its operations and its cash flows for each of the three years in the period ended May 31, 2010, in conformity with U.S. generally accepted accounting principles. Also, in our opinion, the related financial statement schedule, when considered in relation to the basic financial statements taken as a whole, presents fairly in all material respects the information set forth therein.</w:t>
      </w:r>
    </w:p>
    <w:p>
      <w:pPr>
        <w:spacing w:after="0" w:line="167" w:lineRule="exact"/>
        <w:rPr>
          <w:sz w:val="20"/>
          <w:szCs w:val="20"/>
          <w:color w:val="auto"/>
        </w:rPr>
      </w:pPr>
    </w:p>
    <w:p>
      <w:pPr>
        <w:ind w:right="260"/>
        <w:spacing w:after="0" w:line="306"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Scholastic Corporation’s internal control over financial reporting as of May 31, 2010, based on criteria established in Internal Control-Integrated Framework issued by the Committee of Sponsoring Organizations of the Treadway Commission and our report dated July 26, 2010 expressed an unqualified opinion thereon.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5708015</wp:posOffset>
            </wp:positionH>
            <wp:positionV relativeFrom="paragraph">
              <wp:posOffset>107315</wp:posOffset>
            </wp:positionV>
            <wp:extent cx="1543685" cy="394335"/>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854">
                      <a:extLst>
                        <a:ext uri="{28A0092B-C50C-407E-A947-70E740481C1C}"/>
                      </a:extLst>
                    </a:blip>
                    <a:srcRect/>
                    <a:stretch>
                      <a:fillRect/>
                    </a:stretch>
                  </pic:blipFill>
                  <pic:spPr bwMode="auto">
                    <a:xfrm>
                      <a:off x="0" y="0"/>
                      <a:ext cx="1543685" cy="394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July 26,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2663825</wp:posOffset>
            </wp:positionH>
            <wp:positionV relativeFrom="paragraph">
              <wp:posOffset>144145</wp:posOffset>
            </wp:positionV>
            <wp:extent cx="1929765" cy="231775"/>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855">
                      <a:extLst>
                        <a:ext uri="{28A0092B-C50C-407E-A947-70E740481C1C}"/>
                      </a:extLst>
                    </a:blip>
                    <a:srcRect/>
                    <a:stretch>
                      <a:fillRect/>
                    </a:stretch>
                  </pic:blipFill>
                  <pic:spPr bwMode="auto">
                    <a:xfrm>
                      <a:off x="0" y="0"/>
                      <a:ext cx="1929765"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38735"/>
            <wp:wrapNone/>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85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80"/>
          </w:cols>
          <w:pgMar w:left="240" w:top="827" w:right="279" w:bottom="1440" w:gutter="0" w:footer="0" w:header="0"/>
        </w:sectPr>
      </w:pPr>
    </w:p>
    <w:bookmarkStart w:id="81" w:name="page82"/>
    <w:bookmarkEnd w:id="8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857">
                      <a:extLst>
                        <a:ext uri="{28A0092B-C50C-407E-A947-70E740481C1C}"/>
                      </a:extLst>
                    </a:blip>
                    <a:srcRect/>
                    <a:stretch>
                      <a:fillRect/>
                    </a:stretch>
                  </pic:blipFill>
                  <pic:spPr bwMode="auto">
                    <a:xfrm>
                      <a:off x="0" y="0"/>
                      <a:ext cx="7263765" cy="8890"/>
                    </a:xfrm>
                    <a:prstGeom prst="rect">
                      <a:avLst/>
                    </a:prstGeom>
                    <a:noFill/>
                  </pic:spPr>
                </pic:pic>
              </a:graphicData>
            </a:graphic>
          </wp:anchor>
        </w:drawing>
        <w:t>Report of Independent Registered Public Accounting Firm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OF DIRECTORS AND STOCKHOLDERS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 SCHOLASTIC CORPORATION</w:t>
      </w:r>
    </w:p>
    <w:p>
      <w:pPr>
        <w:spacing w:after="0" w:line="20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have audited Scholastic Corporation’s internal control over financial reporting as of May 31, 2010, based on criteria established in Internal Control-Integrated Framework issued by the Committee of Sponsoring Organizations of the Treadway Commission (the COSO criteria). Scholastic Corporation’s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w:t>
      </w:r>
    </w:p>
    <w:p>
      <w:pPr>
        <w:spacing w:after="0" w:line="197"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7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7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94"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In our opinion, Scholastic Corporation maintained, in all material respects, effective internal control over financial reporting as of May 31, 2010, based on the COSO criteria.</w:t>
      </w:r>
    </w:p>
    <w:p>
      <w:pPr>
        <w:spacing w:after="0" w:line="186" w:lineRule="exact"/>
        <w:rPr>
          <w:sz w:val="20"/>
          <w:szCs w:val="20"/>
          <w:color w:val="auto"/>
        </w:rPr>
      </w:pPr>
    </w:p>
    <w:p>
      <w:pPr>
        <w:jc w:val="both"/>
        <w:ind w:right="160"/>
        <w:spacing w:after="0" w:line="256"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the consolidated balance sheets of Scholastic Corporation as of May 31, 2010 and 2009, and the related consolidated statements of operations, changes in stockholders’ equity and comprehensive income (loss), and cash flows for each of the three years in the period ended May 31, 2010 and our report dated July 26, 2010 expressed an unqualified opinion thereon.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5708015</wp:posOffset>
            </wp:positionH>
            <wp:positionV relativeFrom="paragraph">
              <wp:posOffset>130810</wp:posOffset>
            </wp:positionV>
            <wp:extent cx="1543685" cy="394335"/>
            <wp:wrapNone/>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858">
                      <a:extLst>
                        <a:ext uri="{28A0092B-C50C-407E-A947-70E740481C1C}"/>
                      </a:extLst>
                    </a:blip>
                    <a:srcRect/>
                    <a:stretch>
                      <a:fillRect/>
                    </a:stretch>
                  </pic:blipFill>
                  <pic:spPr bwMode="auto">
                    <a:xfrm>
                      <a:off x="0" y="0"/>
                      <a:ext cx="1543685" cy="394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July 26,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2663825</wp:posOffset>
            </wp:positionH>
            <wp:positionV relativeFrom="paragraph">
              <wp:posOffset>144145</wp:posOffset>
            </wp:positionV>
            <wp:extent cx="1929765" cy="231775"/>
            <wp:wrapNone/>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859">
                      <a:extLst>
                        <a:ext uri="{28A0092B-C50C-407E-A947-70E740481C1C}"/>
                      </a:extLst>
                    </a:blip>
                    <a:srcRect/>
                    <a:stretch>
                      <a:fillRect/>
                    </a:stretch>
                  </pic:blipFill>
                  <pic:spPr bwMode="auto">
                    <a:xfrm>
                      <a:off x="0" y="0"/>
                      <a:ext cx="1929765"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38735"/>
            <wp:wrapNone/>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86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827" w:right="259" w:bottom="1440" w:gutter="0" w:footer="0" w:header="0"/>
        </w:sectPr>
      </w:pPr>
    </w:p>
    <w:bookmarkStart w:id="82" w:name="page83"/>
    <w:bookmarkEnd w:id="8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861">
                      <a:extLst>
                        <a:ext uri="{28A0092B-C50C-407E-A947-70E740481C1C}"/>
                      </a:extLst>
                    </a:blip>
                    <a:srcRect/>
                    <a:stretch>
                      <a:fillRect/>
                    </a:stretch>
                  </pic:blipFill>
                  <pic:spPr bwMode="auto">
                    <a:xfrm>
                      <a:off x="0" y="0"/>
                      <a:ext cx="7263765" cy="8890"/>
                    </a:xfrm>
                    <a:prstGeom prst="rect">
                      <a:avLst/>
                    </a:prstGeom>
                    <a:noFill/>
                  </pic:spPr>
                </pic:pic>
              </a:graphicData>
            </a:graphic>
          </wp:anchor>
        </w:drawing>
        <w:t>Supplementary Financial Information</w:t>
      </w:r>
    </w:p>
    <w:p>
      <w:pPr>
        <w:spacing w:after="0" w:line="252" w:lineRule="exact"/>
        <w:rPr>
          <w:sz w:val="20"/>
          <w:szCs w:val="20"/>
          <w:color w:val="auto"/>
        </w:rPr>
      </w:pPr>
    </w:p>
    <w:p>
      <w:pPr>
        <w:ind w:left="8760"/>
        <w:spacing w:after="0"/>
        <w:rPr>
          <w:sz w:val="20"/>
          <w:szCs w:val="20"/>
          <w:color w:val="auto"/>
        </w:rPr>
      </w:pPr>
      <w:r>
        <w:rPr>
          <w:rFonts w:ascii="Arial" w:cs="Arial" w:eastAsia="Arial" w:hAnsi="Arial"/>
          <w:sz w:val="12"/>
          <w:szCs w:val="12"/>
          <w:color w:val="auto"/>
        </w:rPr>
        <w:t>Summary of Quarterly Results of Operations</w:t>
      </w:r>
    </w:p>
    <w:p>
      <w:pPr>
        <w:spacing w:after="0" w:line="159" w:lineRule="exact"/>
        <w:rPr>
          <w:sz w:val="20"/>
          <w:szCs w:val="20"/>
          <w:color w:val="auto"/>
        </w:rPr>
      </w:pPr>
    </w:p>
    <w:p>
      <w:pPr>
        <w:ind w:left="8140"/>
        <w:spacing w:after="0"/>
        <w:rPr>
          <w:sz w:val="20"/>
          <w:szCs w:val="20"/>
          <w:color w:val="auto"/>
        </w:rPr>
      </w:pPr>
      <w:r>
        <w:rPr>
          <w:rFonts w:ascii="Arial" w:cs="Arial" w:eastAsia="Arial" w:hAnsi="Arial"/>
          <w:sz w:val="12"/>
          <w:szCs w:val="12"/>
          <w:color w:val="auto"/>
        </w:rPr>
        <w:t>(Unaudited, amounts 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63765" cy="8890"/>
            <wp:wrapNone/>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862">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Fiscal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60" w:type="dxa"/>
            <w:vAlign w:val="bottom"/>
            <w:gridSpan w:val="2"/>
          </w:tcPr>
          <w:p>
            <w:pPr>
              <w:jc w:val="right"/>
              <w:ind w:right="140"/>
              <w:spacing w:after="0" w:line="149" w:lineRule="exact"/>
              <w:rPr>
                <w:sz w:val="20"/>
                <w:szCs w:val="20"/>
                <w:color w:val="auto"/>
              </w:rPr>
            </w:pPr>
            <w:r>
              <w:rPr>
                <w:rFonts w:ascii="Arial" w:cs="Arial" w:eastAsia="Arial" w:hAnsi="Arial"/>
                <w:sz w:val="14"/>
                <w:szCs w:val="14"/>
                <w:b w:val="1"/>
                <w:bCs w:val="1"/>
                <w:color w:val="auto"/>
              </w:rPr>
              <w:t>Year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40" w:type="dxa"/>
            <w:vAlign w:val="bottom"/>
          </w:tcPr>
          <w:p>
            <w:pPr>
              <w:jc w:val="right"/>
              <w:ind w:right="114"/>
              <w:spacing w:after="0" w:line="149" w:lineRule="exact"/>
              <w:rPr>
                <w:sz w:val="20"/>
                <w:szCs w:val="20"/>
                <w:color w:val="auto"/>
              </w:rPr>
            </w:pPr>
            <w:r>
              <w:rPr>
                <w:rFonts w:ascii="Arial" w:cs="Arial" w:eastAsia="Arial" w:hAnsi="Arial"/>
                <w:sz w:val="14"/>
                <w:szCs w:val="14"/>
                <w:b w:val="1"/>
                <w:bCs w:val="1"/>
                <w:color w:val="auto"/>
              </w:rPr>
              <w:t>First</w:t>
            </w:r>
          </w:p>
        </w:tc>
        <w:tc>
          <w:tcPr>
            <w:tcW w:w="400" w:type="dxa"/>
            <w:vAlign w:val="bottom"/>
          </w:tcPr>
          <w:p>
            <w:pPr>
              <w:spacing w:after="0"/>
              <w:rPr>
                <w:sz w:val="12"/>
                <w:szCs w:val="12"/>
                <w:color w:val="auto"/>
              </w:rPr>
            </w:pPr>
          </w:p>
        </w:tc>
        <w:tc>
          <w:tcPr>
            <w:tcW w:w="860" w:type="dxa"/>
            <w:vAlign w:val="bottom"/>
          </w:tcPr>
          <w:p>
            <w:pPr>
              <w:jc w:val="right"/>
              <w:ind w:right="114"/>
              <w:spacing w:after="0" w:line="149" w:lineRule="exact"/>
              <w:rPr>
                <w:sz w:val="20"/>
                <w:szCs w:val="20"/>
                <w:color w:val="auto"/>
              </w:rPr>
            </w:pPr>
            <w:r>
              <w:rPr>
                <w:rFonts w:ascii="Arial" w:cs="Arial" w:eastAsia="Arial" w:hAnsi="Arial"/>
                <w:sz w:val="14"/>
                <w:szCs w:val="14"/>
                <w:b w:val="1"/>
                <w:bCs w:val="1"/>
                <w:color w:val="auto"/>
              </w:rPr>
              <w:t>Second</w:t>
            </w:r>
          </w:p>
        </w:tc>
        <w:tc>
          <w:tcPr>
            <w:tcW w:w="400" w:type="dxa"/>
            <w:vAlign w:val="bottom"/>
          </w:tcPr>
          <w:p>
            <w:pPr>
              <w:spacing w:after="0"/>
              <w:rPr>
                <w:sz w:val="12"/>
                <w:szCs w:val="12"/>
                <w:color w:val="auto"/>
              </w:rPr>
            </w:pPr>
          </w:p>
        </w:tc>
        <w:tc>
          <w:tcPr>
            <w:tcW w:w="860" w:type="dxa"/>
            <w:vAlign w:val="bottom"/>
          </w:tcPr>
          <w:p>
            <w:pPr>
              <w:jc w:val="right"/>
              <w:ind w:right="114"/>
              <w:spacing w:after="0" w:line="149" w:lineRule="exact"/>
              <w:rPr>
                <w:sz w:val="20"/>
                <w:szCs w:val="20"/>
                <w:color w:val="auto"/>
              </w:rPr>
            </w:pPr>
            <w:r>
              <w:rPr>
                <w:rFonts w:ascii="Arial" w:cs="Arial" w:eastAsia="Arial" w:hAnsi="Arial"/>
                <w:sz w:val="14"/>
                <w:szCs w:val="14"/>
                <w:b w:val="1"/>
                <w:bCs w:val="1"/>
                <w:color w:val="auto"/>
              </w:rPr>
              <w:t>Third</w:t>
            </w:r>
          </w:p>
        </w:tc>
        <w:tc>
          <w:tcPr>
            <w:tcW w:w="400" w:type="dxa"/>
            <w:vAlign w:val="bottom"/>
          </w:tcPr>
          <w:p>
            <w:pPr>
              <w:spacing w:after="0"/>
              <w:rPr>
                <w:sz w:val="12"/>
                <w:szCs w:val="12"/>
                <w:color w:val="auto"/>
              </w:rPr>
            </w:pPr>
          </w:p>
        </w:tc>
        <w:tc>
          <w:tcPr>
            <w:tcW w:w="860" w:type="dxa"/>
            <w:vAlign w:val="bottom"/>
          </w:tcPr>
          <w:p>
            <w:pPr>
              <w:jc w:val="right"/>
              <w:ind w:right="114"/>
              <w:spacing w:after="0" w:line="149" w:lineRule="exact"/>
              <w:rPr>
                <w:sz w:val="20"/>
                <w:szCs w:val="20"/>
                <w:color w:val="auto"/>
              </w:rPr>
            </w:pPr>
            <w:r>
              <w:rPr>
                <w:rFonts w:ascii="Arial" w:cs="Arial" w:eastAsia="Arial" w:hAnsi="Arial"/>
                <w:sz w:val="14"/>
                <w:szCs w:val="14"/>
                <w:b w:val="1"/>
                <w:bCs w:val="1"/>
                <w:color w:val="auto"/>
              </w:rPr>
              <w:t>Fourth</w:t>
            </w:r>
          </w:p>
        </w:tc>
        <w:tc>
          <w:tcPr>
            <w:tcW w:w="360" w:type="dxa"/>
            <w:vAlign w:val="bottom"/>
          </w:tcPr>
          <w:p>
            <w:pPr>
              <w:spacing w:after="0"/>
              <w:rPr>
                <w:sz w:val="12"/>
                <w:szCs w:val="12"/>
                <w:color w:val="auto"/>
              </w:rPr>
            </w:pPr>
          </w:p>
        </w:tc>
        <w:tc>
          <w:tcPr>
            <w:tcW w:w="860" w:type="dxa"/>
            <w:vAlign w:val="bottom"/>
            <w:gridSpan w:val="2"/>
          </w:tcPr>
          <w:p>
            <w:pPr>
              <w:jc w:val="right"/>
              <w:ind w:right="140"/>
              <w:spacing w:after="0" w:line="149" w:lineRule="exact"/>
              <w:rPr>
                <w:sz w:val="20"/>
                <w:szCs w:val="20"/>
                <w:color w:val="auto"/>
              </w:rPr>
            </w:pPr>
            <w:r>
              <w:rPr>
                <w:rFonts w:ascii="Arial" w:cs="Arial" w:eastAsia="Arial" w:hAnsi="Arial"/>
                <w:sz w:val="14"/>
                <w:szCs w:val="14"/>
                <w:b w:val="1"/>
                <w:bCs w:val="1"/>
                <w:color w:val="auto"/>
              </w:rPr>
              <w:t>Ended</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9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jc w:val="right"/>
              <w:ind w:right="114"/>
              <w:spacing w:after="0"/>
              <w:rPr>
                <w:sz w:val="20"/>
                <w:szCs w:val="20"/>
                <w:color w:val="auto"/>
              </w:rPr>
            </w:pPr>
            <w:r>
              <w:rPr>
                <w:rFonts w:ascii="Arial" w:cs="Arial" w:eastAsia="Arial" w:hAnsi="Arial"/>
                <w:sz w:val="14"/>
                <w:szCs w:val="14"/>
                <w:b w:val="1"/>
                <w:bCs w:val="1"/>
                <w:color w:val="auto"/>
              </w:rPr>
              <w:t>Quarter</w:t>
            </w:r>
          </w:p>
        </w:tc>
        <w:tc>
          <w:tcPr>
            <w:tcW w:w="400" w:type="dxa"/>
            <w:vAlign w:val="bottom"/>
          </w:tcPr>
          <w:p>
            <w:pPr>
              <w:spacing w:after="0"/>
              <w:rPr>
                <w:sz w:val="15"/>
                <w:szCs w:val="15"/>
                <w:color w:val="auto"/>
              </w:rPr>
            </w:pPr>
          </w:p>
        </w:tc>
        <w:tc>
          <w:tcPr>
            <w:tcW w:w="860" w:type="dxa"/>
            <w:vAlign w:val="bottom"/>
          </w:tcPr>
          <w:p>
            <w:pPr>
              <w:jc w:val="right"/>
              <w:ind w:right="114"/>
              <w:spacing w:after="0"/>
              <w:rPr>
                <w:sz w:val="20"/>
                <w:szCs w:val="20"/>
                <w:color w:val="auto"/>
              </w:rPr>
            </w:pPr>
            <w:r>
              <w:rPr>
                <w:rFonts w:ascii="Arial" w:cs="Arial" w:eastAsia="Arial" w:hAnsi="Arial"/>
                <w:sz w:val="14"/>
                <w:szCs w:val="14"/>
                <w:b w:val="1"/>
                <w:bCs w:val="1"/>
                <w:color w:val="auto"/>
              </w:rPr>
              <w:t>Quarter</w:t>
            </w:r>
          </w:p>
        </w:tc>
        <w:tc>
          <w:tcPr>
            <w:tcW w:w="400" w:type="dxa"/>
            <w:vAlign w:val="bottom"/>
          </w:tcPr>
          <w:p>
            <w:pPr>
              <w:spacing w:after="0"/>
              <w:rPr>
                <w:sz w:val="15"/>
                <w:szCs w:val="15"/>
                <w:color w:val="auto"/>
              </w:rPr>
            </w:pPr>
          </w:p>
        </w:tc>
        <w:tc>
          <w:tcPr>
            <w:tcW w:w="860" w:type="dxa"/>
            <w:vAlign w:val="bottom"/>
          </w:tcPr>
          <w:p>
            <w:pPr>
              <w:jc w:val="right"/>
              <w:ind w:right="114"/>
              <w:spacing w:after="0"/>
              <w:rPr>
                <w:sz w:val="20"/>
                <w:szCs w:val="20"/>
                <w:color w:val="auto"/>
              </w:rPr>
            </w:pPr>
            <w:r>
              <w:rPr>
                <w:rFonts w:ascii="Arial" w:cs="Arial" w:eastAsia="Arial" w:hAnsi="Arial"/>
                <w:sz w:val="14"/>
                <w:szCs w:val="14"/>
                <w:b w:val="1"/>
                <w:bCs w:val="1"/>
                <w:color w:val="auto"/>
              </w:rPr>
              <w:t>Quarter</w:t>
            </w:r>
          </w:p>
        </w:tc>
        <w:tc>
          <w:tcPr>
            <w:tcW w:w="400" w:type="dxa"/>
            <w:vAlign w:val="bottom"/>
          </w:tcPr>
          <w:p>
            <w:pPr>
              <w:spacing w:after="0"/>
              <w:rPr>
                <w:sz w:val="15"/>
                <w:szCs w:val="15"/>
                <w:color w:val="auto"/>
              </w:rPr>
            </w:pPr>
          </w:p>
        </w:tc>
        <w:tc>
          <w:tcPr>
            <w:tcW w:w="860" w:type="dxa"/>
            <w:vAlign w:val="bottom"/>
          </w:tcPr>
          <w:p>
            <w:pPr>
              <w:jc w:val="right"/>
              <w:ind w:right="114"/>
              <w:spacing w:after="0"/>
              <w:rPr>
                <w:sz w:val="20"/>
                <w:szCs w:val="20"/>
                <w:color w:val="auto"/>
              </w:rPr>
            </w:pPr>
            <w:r>
              <w:rPr>
                <w:rFonts w:ascii="Arial" w:cs="Arial" w:eastAsia="Arial" w:hAnsi="Arial"/>
                <w:sz w:val="14"/>
                <w:szCs w:val="14"/>
                <w:b w:val="1"/>
                <w:bCs w:val="1"/>
                <w:color w:val="auto"/>
              </w:rPr>
              <w:t>Quarter</w:t>
            </w:r>
          </w:p>
        </w:tc>
        <w:tc>
          <w:tcPr>
            <w:tcW w:w="36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May 31,</w:t>
            </w:r>
          </w:p>
        </w:tc>
        <w:tc>
          <w:tcPr>
            <w:tcW w:w="0" w:type="dxa"/>
            <w:vAlign w:val="bottom"/>
          </w:tcPr>
          <w:p>
            <w:pPr>
              <w:spacing w:after="0"/>
              <w:rPr>
                <w:sz w:val="1"/>
                <w:szCs w:val="1"/>
                <w:color w:val="auto"/>
              </w:rPr>
            </w:pPr>
          </w:p>
        </w:tc>
      </w:tr>
      <w:tr>
        <w:trPr>
          <w:trHeight w:val="95"/>
        </w:trPr>
        <w:tc>
          <w:tcPr>
            <w:tcW w:w="4980" w:type="dxa"/>
            <w:vAlign w:val="bottom"/>
            <w:gridSpan w:val="2"/>
          </w:tcPr>
          <w:p>
            <w:pPr>
              <w:spacing w:after="0"/>
              <w:rPr>
                <w:sz w:val="8"/>
                <w:szCs w:val="8"/>
                <w:color w:val="auto"/>
              </w:rPr>
            </w:pPr>
          </w:p>
        </w:tc>
        <w:tc>
          <w:tcPr>
            <w:tcW w:w="62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0" w:type="dxa"/>
            <w:vAlign w:val="bottom"/>
          </w:tcPr>
          <w:p>
            <w:pPr>
              <w:spacing w:after="0"/>
              <w:rPr>
                <w:sz w:val="8"/>
                <w:szCs w:val="8"/>
                <w:color w:val="auto"/>
              </w:rPr>
            </w:pPr>
          </w:p>
        </w:tc>
        <w:tc>
          <w:tcPr>
            <w:tcW w:w="860" w:type="dxa"/>
            <w:vAlign w:val="bottom"/>
          </w:tcPr>
          <w:p>
            <w:pPr>
              <w:spacing w:after="0"/>
              <w:rPr>
                <w:sz w:val="8"/>
                <w:szCs w:val="8"/>
                <w:color w:val="auto"/>
              </w:rPr>
            </w:pPr>
          </w:p>
        </w:tc>
        <w:tc>
          <w:tcPr>
            <w:tcW w:w="400" w:type="dxa"/>
            <w:vAlign w:val="bottom"/>
          </w:tcPr>
          <w:p>
            <w:pPr>
              <w:spacing w:after="0"/>
              <w:rPr>
                <w:sz w:val="8"/>
                <w:szCs w:val="8"/>
                <w:color w:val="auto"/>
              </w:rPr>
            </w:pPr>
          </w:p>
        </w:tc>
        <w:tc>
          <w:tcPr>
            <w:tcW w:w="860" w:type="dxa"/>
            <w:vAlign w:val="bottom"/>
          </w:tcPr>
          <w:p>
            <w:pPr>
              <w:spacing w:after="0"/>
              <w:rPr>
                <w:sz w:val="8"/>
                <w:szCs w:val="8"/>
                <w:color w:val="auto"/>
              </w:rPr>
            </w:pPr>
          </w:p>
        </w:tc>
        <w:tc>
          <w:tcPr>
            <w:tcW w:w="400" w:type="dxa"/>
            <w:vAlign w:val="bottom"/>
          </w:tcPr>
          <w:p>
            <w:pPr>
              <w:spacing w:after="0"/>
              <w:rPr>
                <w:sz w:val="8"/>
                <w:szCs w:val="8"/>
                <w:color w:val="auto"/>
              </w:rPr>
            </w:pPr>
          </w:p>
        </w:tc>
        <w:tc>
          <w:tcPr>
            <w:tcW w:w="860" w:type="dxa"/>
            <w:vAlign w:val="bottom"/>
          </w:tcPr>
          <w:p>
            <w:pPr>
              <w:spacing w:after="0"/>
              <w:rPr>
                <w:sz w:val="8"/>
                <w:szCs w:val="8"/>
                <w:color w:val="auto"/>
              </w:rPr>
            </w:pPr>
          </w:p>
        </w:tc>
        <w:tc>
          <w:tcPr>
            <w:tcW w:w="36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60" w:type="dxa"/>
            <w:vAlign w:val="bottom"/>
            <w:tcBorders>
              <w:top w:val="single" w:sz="8" w:color="auto"/>
            </w:tcBorders>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840" w:type="dxa"/>
            <w:vAlign w:val="bottom"/>
            <w:tcBorders>
              <w:top w:val="single" w:sz="8" w:color="auto"/>
            </w:tcBorders>
          </w:tcPr>
          <w:p>
            <w:pPr>
              <w:spacing w:after="0"/>
              <w:rPr>
                <w:sz w:val="8"/>
                <w:szCs w:val="8"/>
                <w:color w:val="auto"/>
              </w:rPr>
            </w:pPr>
          </w:p>
        </w:tc>
        <w:tc>
          <w:tcPr>
            <w:tcW w:w="400" w:type="dxa"/>
            <w:vAlign w:val="bottom"/>
            <w:tcBorders>
              <w:top w:val="single" w:sz="8" w:color="auto"/>
            </w:tcBorders>
          </w:tcPr>
          <w:p>
            <w:pPr>
              <w:spacing w:after="0"/>
              <w:rPr>
                <w:sz w:val="8"/>
                <w:szCs w:val="8"/>
                <w:color w:val="auto"/>
              </w:rPr>
            </w:pPr>
          </w:p>
        </w:tc>
        <w:tc>
          <w:tcPr>
            <w:tcW w:w="860" w:type="dxa"/>
            <w:vAlign w:val="bottom"/>
            <w:tcBorders>
              <w:top w:val="single" w:sz="8" w:color="auto"/>
            </w:tcBorders>
          </w:tcPr>
          <w:p>
            <w:pPr>
              <w:spacing w:after="0"/>
              <w:rPr>
                <w:sz w:val="8"/>
                <w:szCs w:val="8"/>
                <w:color w:val="auto"/>
              </w:rPr>
            </w:pPr>
          </w:p>
        </w:tc>
        <w:tc>
          <w:tcPr>
            <w:tcW w:w="400" w:type="dxa"/>
            <w:vAlign w:val="bottom"/>
            <w:tcBorders>
              <w:top w:val="single" w:sz="8" w:color="auto"/>
            </w:tcBorders>
          </w:tcPr>
          <w:p>
            <w:pPr>
              <w:spacing w:after="0"/>
              <w:rPr>
                <w:sz w:val="8"/>
                <w:szCs w:val="8"/>
                <w:color w:val="auto"/>
              </w:rPr>
            </w:pPr>
          </w:p>
        </w:tc>
        <w:tc>
          <w:tcPr>
            <w:tcW w:w="860" w:type="dxa"/>
            <w:vAlign w:val="bottom"/>
            <w:tcBorders>
              <w:top w:val="single" w:sz="8" w:color="auto"/>
            </w:tcBorders>
          </w:tcPr>
          <w:p>
            <w:pPr>
              <w:spacing w:after="0"/>
              <w:rPr>
                <w:sz w:val="8"/>
                <w:szCs w:val="8"/>
                <w:color w:val="auto"/>
              </w:rPr>
            </w:pPr>
          </w:p>
        </w:tc>
        <w:tc>
          <w:tcPr>
            <w:tcW w:w="400" w:type="dxa"/>
            <w:vAlign w:val="bottom"/>
            <w:tcBorders>
              <w:top w:val="single" w:sz="8" w:color="auto"/>
            </w:tcBorders>
          </w:tcPr>
          <w:p>
            <w:pPr>
              <w:spacing w:after="0"/>
              <w:rPr>
                <w:sz w:val="8"/>
                <w:szCs w:val="8"/>
                <w:color w:val="auto"/>
              </w:rPr>
            </w:pPr>
          </w:p>
        </w:tc>
        <w:tc>
          <w:tcPr>
            <w:tcW w:w="860" w:type="dxa"/>
            <w:vAlign w:val="bottom"/>
            <w:tcBorders>
              <w:top w:val="single" w:sz="8" w:color="auto"/>
            </w:tcBorders>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84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960" w:type="dxa"/>
            <w:vAlign w:val="bottom"/>
            <w:shd w:val="clear" w:color="auto" w:fill="E6E6E6"/>
          </w:tcPr>
          <w:p>
            <w:pPr>
              <w:spacing w:after="0" w:line="202" w:lineRule="exact"/>
              <w:rPr>
                <w:sz w:val="20"/>
                <w:szCs w:val="20"/>
                <w:color w:val="auto"/>
              </w:rPr>
            </w:pPr>
            <w:r>
              <w:rPr>
                <w:rFonts w:ascii="Arial" w:cs="Arial" w:eastAsia="Arial" w:hAnsi="Arial"/>
                <w:sz w:val="18"/>
                <w:szCs w:val="18"/>
                <w:b w:val="1"/>
                <w:bCs w:val="1"/>
                <w:color w:val="auto"/>
              </w:rPr>
              <w:t>2010</w:t>
            </w:r>
          </w:p>
        </w:tc>
        <w:tc>
          <w:tcPr>
            <w:tcW w:w="620" w:type="dxa"/>
            <w:vAlign w:val="bottom"/>
            <w:shd w:val="clear" w:color="auto" w:fill="E6E6E6"/>
          </w:tcPr>
          <w:p>
            <w:pPr>
              <w:spacing w:after="0"/>
              <w:rPr>
                <w:sz w:val="17"/>
                <w:szCs w:val="17"/>
                <w:color w:val="auto"/>
              </w:rPr>
            </w:pPr>
          </w:p>
        </w:tc>
        <w:tc>
          <w:tcPr>
            <w:tcW w:w="840" w:type="dxa"/>
            <w:vAlign w:val="bottom"/>
            <w:shd w:val="clear" w:color="auto" w:fill="E6E6E6"/>
          </w:tcPr>
          <w:p>
            <w:pPr>
              <w:spacing w:after="0"/>
              <w:rPr>
                <w:sz w:val="17"/>
                <w:szCs w:val="17"/>
                <w:color w:val="auto"/>
              </w:rPr>
            </w:pPr>
          </w:p>
        </w:tc>
        <w:tc>
          <w:tcPr>
            <w:tcW w:w="400" w:type="dxa"/>
            <w:vAlign w:val="bottom"/>
            <w:shd w:val="clear" w:color="auto" w:fill="E6E6E6"/>
          </w:tcPr>
          <w:p>
            <w:pPr>
              <w:spacing w:after="0"/>
              <w:rPr>
                <w:sz w:val="17"/>
                <w:szCs w:val="17"/>
                <w:color w:val="auto"/>
              </w:rPr>
            </w:pPr>
          </w:p>
        </w:tc>
        <w:tc>
          <w:tcPr>
            <w:tcW w:w="860" w:type="dxa"/>
            <w:vAlign w:val="bottom"/>
            <w:shd w:val="clear" w:color="auto" w:fill="E6E6E6"/>
          </w:tcPr>
          <w:p>
            <w:pPr>
              <w:spacing w:after="0"/>
              <w:rPr>
                <w:sz w:val="17"/>
                <w:szCs w:val="17"/>
                <w:color w:val="auto"/>
              </w:rPr>
            </w:pPr>
          </w:p>
        </w:tc>
        <w:tc>
          <w:tcPr>
            <w:tcW w:w="400" w:type="dxa"/>
            <w:vAlign w:val="bottom"/>
            <w:shd w:val="clear" w:color="auto" w:fill="E6E6E6"/>
          </w:tcPr>
          <w:p>
            <w:pPr>
              <w:spacing w:after="0"/>
              <w:rPr>
                <w:sz w:val="17"/>
                <w:szCs w:val="17"/>
                <w:color w:val="auto"/>
              </w:rPr>
            </w:pPr>
          </w:p>
        </w:tc>
        <w:tc>
          <w:tcPr>
            <w:tcW w:w="860" w:type="dxa"/>
            <w:vAlign w:val="bottom"/>
            <w:shd w:val="clear" w:color="auto" w:fill="E6E6E6"/>
          </w:tcPr>
          <w:p>
            <w:pPr>
              <w:spacing w:after="0"/>
              <w:rPr>
                <w:sz w:val="17"/>
                <w:szCs w:val="17"/>
                <w:color w:val="auto"/>
              </w:rPr>
            </w:pPr>
          </w:p>
        </w:tc>
        <w:tc>
          <w:tcPr>
            <w:tcW w:w="400" w:type="dxa"/>
            <w:vAlign w:val="bottom"/>
            <w:shd w:val="clear" w:color="auto" w:fill="E6E6E6"/>
          </w:tcPr>
          <w:p>
            <w:pPr>
              <w:spacing w:after="0"/>
              <w:rPr>
                <w:sz w:val="17"/>
                <w:szCs w:val="17"/>
                <w:color w:val="auto"/>
              </w:rPr>
            </w:pPr>
          </w:p>
        </w:tc>
        <w:tc>
          <w:tcPr>
            <w:tcW w:w="860" w:type="dxa"/>
            <w:vAlign w:val="bottom"/>
            <w:shd w:val="clear" w:color="auto" w:fill="E6E6E6"/>
          </w:tcPr>
          <w:p>
            <w:pPr>
              <w:spacing w:after="0"/>
              <w:rPr>
                <w:sz w:val="17"/>
                <w:szCs w:val="17"/>
                <w:color w:val="auto"/>
              </w:rPr>
            </w:pPr>
          </w:p>
        </w:tc>
        <w:tc>
          <w:tcPr>
            <w:tcW w:w="360" w:type="dxa"/>
            <w:vAlign w:val="bottom"/>
            <w:shd w:val="clear" w:color="auto" w:fill="E6E6E6"/>
          </w:tcPr>
          <w:p>
            <w:pPr>
              <w:spacing w:after="0"/>
              <w:rPr>
                <w:sz w:val="17"/>
                <w:szCs w:val="17"/>
                <w:color w:val="auto"/>
              </w:rPr>
            </w:pPr>
          </w:p>
        </w:tc>
        <w:tc>
          <w:tcPr>
            <w:tcW w:w="840" w:type="dxa"/>
            <w:vAlign w:val="bottom"/>
            <w:shd w:val="clear" w:color="auto" w:fill="E6E6E6"/>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96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04"/>
        </w:trPr>
        <w:tc>
          <w:tcPr>
            <w:tcW w:w="4980" w:type="dxa"/>
            <w:vAlign w:val="bottom"/>
            <w:gridSpan w:val="2"/>
          </w:tcPr>
          <w:p>
            <w:pPr>
              <w:spacing w:after="0"/>
              <w:rPr>
                <w:sz w:val="20"/>
                <w:szCs w:val="20"/>
                <w:color w:val="auto"/>
              </w:rPr>
            </w:pPr>
            <w:r>
              <w:rPr>
                <w:rFonts w:ascii="Arial" w:cs="Arial" w:eastAsia="Arial" w:hAnsi="Arial"/>
                <w:sz w:val="18"/>
                <w:szCs w:val="18"/>
                <w:color w:val="auto"/>
              </w:rPr>
              <w:t>Revenues</w:t>
            </w:r>
          </w:p>
        </w:tc>
        <w:tc>
          <w:tcPr>
            <w:tcW w:w="6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14"/>
              <w:spacing w:after="0"/>
              <w:rPr>
                <w:sz w:val="20"/>
                <w:szCs w:val="20"/>
                <w:color w:val="auto"/>
              </w:rPr>
            </w:pPr>
            <w:r>
              <w:rPr>
                <w:rFonts w:ascii="Arial" w:cs="Arial" w:eastAsia="Arial" w:hAnsi="Arial"/>
                <w:sz w:val="18"/>
                <w:szCs w:val="18"/>
                <w:color w:val="auto"/>
              </w:rPr>
              <w:t>315.6</w:t>
            </w:r>
          </w:p>
        </w:tc>
        <w:tc>
          <w:tcPr>
            <w:tcW w:w="40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14"/>
              <w:spacing w:after="0"/>
              <w:rPr>
                <w:sz w:val="20"/>
                <w:szCs w:val="20"/>
                <w:color w:val="auto"/>
              </w:rPr>
            </w:pPr>
            <w:r>
              <w:rPr>
                <w:rFonts w:ascii="Arial" w:cs="Arial" w:eastAsia="Arial" w:hAnsi="Arial"/>
                <w:sz w:val="18"/>
                <w:szCs w:val="18"/>
                <w:color w:val="auto"/>
              </w:rPr>
              <w:t>660.1</w:t>
            </w:r>
          </w:p>
        </w:tc>
        <w:tc>
          <w:tcPr>
            <w:tcW w:w="40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14"/>
              <w:spacing w:after="0"/>
              <w:rPr>
                <w:sz w:val="20"/>
                <w:szCs w:val="20"/>
                <w:color w:val="auto"/>
              </w:rPr>
            </w:pPr>
            <w:r>
              <w:rPr>
                <w:rFonts w:ascii="Arial" w:cs="Arial" w:eastAsia="Arial" w:hAnsi="Arial"/>
                <w:sz w:val="18"/>
                <w:szCs w:val="18"/>
                <w:color w:val="auto"/>
              </w:rPr>
              <w:t>398.8</w:t>
            </w:r>
          </w:p>
        </w:tc>
        <w:tc>
          <w:tcPr>
            <w:tcW w:w="40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14"/>
              <w:spacing w:after="0"/>
              <w:rPr>
                <w:sz w:val="20"/>
                <w:szCs w:val="20"/>
                <w:color w:val="auto"/>
              </w:rPr>
            </w:pPr>
            <w:r>
              <w:rPr>
                <w:rFonts w:ascii="Arial" w:cs="Arial" w:eastAsia="Arial" w:hAnsi="Arial"/>
                <w:sz w:val="18"/>
                <w:szCs w:val="18"/>
                <w:color w:val="auto"/>
              </w:rPr>
              <w:t>538.4</w:t>
            </w:r>
          </w:p>
        </w:tc>
        <w:tc>
          <w:tcPr>
            <w:tcW w:w="3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5"/>
              <w:spacing w:after="0"/>
              <w:rPr>
                <w:sz w:val="20"/>
                <w:szCs w:val="20"/>
                <w:color w:val="auto"/>
              </w:rPr>
            </w:pPr>
            <w:r>
              <w:rPr>
                <w:rFonts w:ascii="Arial" w:cs="Arial" w:eastAsia="Arial" w:hAnsi="Arial"/>
                <w:sz w:val="18"/>
                <w:szCs w:val="18"/>
                <w:color w:val="auto"/>
              </w:rPr>
              <w:t>1,912.9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6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Cost of goods sold</w:t>
            </w:r>
          </w:p>
        </w:tc>
        <w:tc>
          <w:tcPr>
            <w:tcW w:w="620" w:type="dxa"/>
            <w:vAlign w:val="bottom"/>
            <w:shd w:val="clear" w:color="auto" w:fill="E6E6E6"/>
          </w:tcPr>
          <w:p>
            <w:pPr>
              <w:spacing w:after="0"/>
              <w:rPr>
                <w:sz w:val="17"/>
                <w:szCs w:val="17"/>
                <w:color w:val="auto"/>
              </w:rPr>
            </w:pPr>
          </w:p>
        </w:tc>
        <w:tc>
          <w:tcPr>
            <w:tcW w:w="840" w:type="dxa"/>
            <w:vAlign w:val="bottom"/>
            <w:shd w:val="clear" w:color="auto" w:fill="E6E6E6"/>
          </w:tcPr>
          <w:p>
            <w:pPr>
              <w:jc w:val="right"/>
              <w:ind w:right="114"/>
              <w:spacing w:after="0" w:line="202" w:lineRule="exact"/>
              <w:rPr>
                <w:sz w:val="20"/>
                <w:szCs w:val="20"/>
                <w:color w:val="auto"/>
              </w:rPr>
            </w:pPr>
            <w:r>
              <w:rPr>
                <w:rFonts w:ascii="Arial" w:cs="Arial" w:eastAsia="Arial" w:hAnsi="Arial"/>
                <w:sz w:val="18"/>
                <w:szCs w:val="18"/>
                <w:color w:val="auto"/>
              </w:rPr>
              <w:t>158.3</w:t>
            </w:r>
          </w:p>
        </w:tc>
        <w:tc>
          <w:tcPr>
            <w:tcW w:w="400" w:type="dxa"/>
            <w:vAlign w:val="bottom"/>
            <w:shd w:val="clear" w:color="auto" w:fill="E6E6E6"/>
          </w:tcPr>
          <w:p>
            <w:pPr>
              <w:spacing w:after="0"/>
              <w:rPr>
                <w:sz w:val="17"/>
                <w:szCs w:val="17"/>
                <w:color w:val="auto"/>
              </w:rPr>
            </w:pPr>
          </w:p>
        </w:tc>
        <w:tc>
          <w:tcPr>
            <w:tcW w:w="860" w:type="dxa"/>
            <w:vAlign w:val="bottom"/>
            <w:shd w:val="clear" w:color="auto" w:fill="E6E6E6"/>
          </w:tcPr>
          <w:p>
            <w:pPr>
              <w:jc w:val="right"/>
              <w:ind w:right="114"/>
              <w:spacing w:after="0" w:line="202" w:lineRule="exact"/>
              <w:rPr>
                <w:sz w:val="20"/>
                <w:szCs w:val="20"/>
                <w:color w:val="auto"/>
              </w:rPr>
            </w:pPr>
            <w:r>
              <w:rPr>
                <w:rFonts w:ascii="Arial" w:cs="Arial" w:eastAsia="Arial" w:hAnsi="Arial"/>
                <w:sz w:val="18"/>
                <w:szCs w:val="18"/>
                <w:color w:val="auto"/>
              </w:rPr>
              <w:t>273.6</w:t>
            </w:r>
          </w:p>
        </w:tc>
        <w:tc>
          <w:tcPr>
            <w:tcW w:w="400" w:type="dxa"/>
            <w:vAlign w:val="bottom"/>
            <w:shd w:val="clear" w:color="auto" w:fill="E6E6E6"/>
          </w:tcPr>
          <w:p>
            <w:pPr>
              <w:spacing w:after="0"/>
              <w:rPr>
                <w:sz w:val="17"/>
                <w:szCs w:val="17"/>
                <w:color w:val="auto"/>
              </w:rPr>
            </w:pPr>
          </w:p>
        </w:tc>
        <w:tc>
          <w:tcPr>
            <w:tcW w:w="860" w:type="dxa"/>
            <w:vAlign w:val="bottom"/>
            <w:shd w:val="clear" w:color="auto" w:fill="E6E6E6"/>
          </w:tcPr>
          <w:p>
            <w:pPr>
              <w:jc w:val="right"/>
              <w:ind w:right="114"/>
              <w:spacing w:after="0" w:line="202" w:lineRule="exact"/>
              <w:rPr>
                <w:sz w:val="20"/>
                <w:szCs w:val="20"/>
                <w:color w:val="auto"/>
              </w:rPr>
            </w:pPr>
            <w:r>
              <w:rPr>
                <w:rFonts w:ascii="Arial" w:cs="Arial" w:eastAsia="Arial" w:hAnsi="Arial"/>
                <w:sz w:val="18"/>
                <w:szCs w:val="18"/>
                <w:color w:val="auto"/>
              </w:rPr>
              <w:t>195.2</w:t>
            </w:r>
          </w:p>
        </w:tc>
        <w:tc>
          <w:tcPr>
            <w:tcW w:w="400" w:type="dxa"/>
            <w:vAlign w:val="bottom"/>
            <w:shd w:val="clear" w:color="auto" w:fill="E6E6E6"/>
          </w:tcPr>
          <w:p>
            <w:pPr>
              <w:spacing w:after="0"/>
              <w:rPr>
                <w:sz w:val="17"/>
                <w:szCs w:val="17"/>
                <w:color w:val="auto"/>
              </w:rPr>
            </w:pPr>
          </w:p>
        </w:tc>
        <w:tc>
          <w:tcPr>
            <w:tcW w:w="860" w:type="dxa"/>
            <w:vAlign w:val="bottom"/>
            <w:shd w:val="clear" w:color="auto" w:fill="E6E6E6"/>
          </w:tcPr>
          <w:p>
            <w:pPr>
              <w:jc w:val="right"/>
              <w:ind w:right="114"/>
              <w:spacing w:after="0" w:line="202" w:lineRule="exact"/>
              <w:rPr>
                <w:sz w:val="20"/>
                <w:szCs w:val="20"/>
                <w:color w:val="auto"/>
              </w:rPr>
            </w:pPr>
            <w:r>
              <w:rPr>
                <w:rFonts w:ascii="Arial" w:cs="Arial" w:eastAsia="Arial" w:hAnsi="Arial"/>
                <w:sz w:val="18"/>
                <w:szCs w:val="18"/>
                <w:color w:val="auto"/>
              </w:rPr>
              <w:t>232.7</w:t>
            </w:r>
          </w:p>
        </w:tc>
        <w:tc>
          <w:tcPr>
            <w:tcW w:w="360" w:type="dxa"/>
            <w:vAlign w:val="bottom"/>
            <w:shd w:val="clear" w:color="auto" w:fill="E6E6E6"/>
          </w:tcPr>
          <w:p>
            <w:pPr>
              <w:spacing w:after="0"/>
              <w:rPr>
                <w:sz w:val="17"/>
                <w:szCs w:val="17"/>
                <w:color w:val="auto"/>
              </w:rPr>
            </w:pPr>
          </w:p>
        </w:tc>
        <w:tc>
          <w:tcPr>
            <w:tcW w:w="840" w:type="dxa"/>
            <w:vAlign w:val="bottom"/>
            <w:shd w:val="clear" w:color="auto" w:fill="E6E6E6"/>
          </w:tcPr>
          <w:p>
            <w:pPr>
              <w:jc w:val="right"/>
              <w:ind w:right="35"/>
              <w:spacing w:after="0" w:line="202" w:lineRule="exact"/>
              <w:rPr>
                <w:sz w:val="20"/>
                <w:szCs w:val="20"/>
                <w:color w:val="auto"/>
              </w:rPr>
            </w:pPr>
            <w:r>
              <w:rPr>
                <w:rFonts w:ascii="Arial" w:cs="Arial" w:eastAsia="Arial" w:hAnsi="Arial"/>
                <w:sz w:val="18"/>
                <w:szCs w:val="18"/>
                <w:color w:val="auto"/>
              </w:rPr>
              <w:t>859.8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80" w:type="dxa"/>
            <w:vAlign w:val="bottom"/>
            <w:gridSpan w:val="2"/>
          </w:tcPr>
          <w:p>
            <w:pPr>
              <w:spacing w:after="0" w:line="202" w:lineRule="exact"/>
              <w:rPr>
                <w:sz w:val="20"/>
                <w:szCs w:val="20"/>
                <w:color w:val="auto"/>
              </w:rPr>
            </w:pPr>
            <w:r>
              <w:rPr>
                <w:rFonts w:ascii="Arial" w:cs="Arial" w:eastAsia="Arial" w:hAnsi="Arial"/>
                <w:sz w:val="18"/>
                <w:szCs w:val="18"/>
                <w:color w:val="auto"/>
              </w:rPr>
              <w:t>(Loss) earnings from continuing operations</w:t>
            </w:r>
          </w:p>
        </w:tc>
        <w:tc>
          <w:tcPr>
            <w:tcW w:w="620" w:type="dxa"/>
            <w:vAlign w:val="bottom"/>
          </w:tcPr>
          <w:p>
            <w:pPr>
              <w:spacing w:after="0"/>
              <w:rPr>
                <w:sz w:val="17"/>
                <w:szCs w:val="17"/>
                <w:color w:val="auto"/>
              </w:rPr>
            </w:pPr>
          </w:p>
        </w:tc>
        <w:tc>
          <w:tcPr>
            <w:tcW w:w="840" w:type="dxa"/>
            <w:vAlign w:val="bottom"/>
          </w:tcPr>
          <w:p>
            <w:pPr>
              <w:jc w:val="right"/>
              <w:ind w:right="54"/>
              <w:spacing w:after="0" w:line="202" w:lineRule="exact"/>
              <w:rPr>
                <w:sz w:val="20"/>
                <w:szCs w:val="20"/>
                <w:color w:val="auto"/>
              </w:rPr>
            </w:pPr>
            <w:r>
              <w:rPr>
                <w:rFonts w:ascii="Arial" w:cs="Arial" w:eastAsia="Arial" w:hAnsi="Arial"/>
                <w:sz w:val="18"/>
                <w:szCs w:val="18"/>
                <w:color w:val="auto"/>
              </w:rPr>
              <w:t>(24.6)</w:t>
            </w:r>
          </w:p>
        </w:tc>
        <w:tc>
          <w:tcPr>
            <w:tcW w:w="400" w:type="dxa"/>
            <w:vAlign w:val="bottom"/>
          </w:tcPr>
          <w:p>
            <w:pPr>
              <w:spacing w:after="0"/>
              <w:rPr>
                <w:sz w:val="17"/>
                <w:szCs w:val="17"/>
                <w:color w:val="auto"/>
              </w:rPr>
            </w:pPr>
          </w:p>
        </w:tc>
        <w:tc>
          <w:tcPr>
            <w:tcW w:w="860" w:type="dxa"/>
            <w:vAlign w:val="bottom"/>
          </w:tcPr>
          <w:p>
            <w:pPr>
              <w:jc w:val="right"/>
              <w:ind w:right="114"/>
              <w:spacing w:after="0" w:line="202" w:lineRule="exact"/>
              <w:rPr>
                <w:sz w:val="20"/>
                <w:szCs w:val="20"/>
                <w:color w:val="auto"/>
              </w:rPr>
            </w:pPr>
            <w:r>
              <w:rPr>
                <w:rFonts w:ascii="Arial" w:cs="Arial" w:eastAsia="Arial" w:hAnsi="Arial"/>
                <w:sz w:val="18"/>
                <w:szCs w:val="18"/>
                <w:color w:val="auto"/>
              </w:rPr>
              <w:t>56.8</w:t>
            </w:r>
          </w:p>
        </w:tc>
        <w:tc>
          <w:tcPr>
            <w:tcW w:w="400" w:type="dxa"/>
            <w:vAlign w:val="bottom"/>
          </w:tcPr>
          <w:p>
            <w:pPr>
              <w:spacing w:after="0"/>
              <w:rPr>
                <w:sz w:val="17"/>
                <w:szCs w:val="17"/>
                <w:color w:val="auto"/>
              </w:rPr>
            </w:pPr>
          </w:p>
        </w:tc>
        <w:tc>
          <w:tcPr>
            <w:tcW w:w="860" w:type="dxa"/>
            <w:vAlign w:val="bottom"/>
          </w:tcPr>
          <w:p>
            <w:pPr>
              <w:jc w:val="right"/>
              <w:ind w:right="54"/>
              <w:spacing w:after="0" w:line="202" w:lineRule="exact"/>
              <w:rPr>
                <w:sz w:val="20"/>
                <w:szCs w:val="20"/>
                <w:color w:val="auto"/>
              </w:rPr>
            </w:pPr>
            <w:r>
              <w:rPr>
                <w:rFonts w:ascii="Arial" w:cs="Arial" w:eastAsia="Arial" w:hAnsi="Arial"/>
                <w:sz w:val="18"/>
                <w:szCs w:val="18"/>
                <w:color w:val="auto"/>
              </w:rPr>
              <w:t>(4.6)</w:t>
            </w:r>
          </w:p>
        </w:tc>
        <w:tc>
          <w:tcPr>
            <w:tcW w:w="400" w:type="dxa"/>
            <w:vAlign w:val="bottom"/>
          </w:tcPr>
          <w:p>
            <w:pPr>
              <w:spacing w:after="0"/>
              <w:rPr>
                <w:sz w:val="17"/>
                <w:szCs w:val="17"/>
                <w:color w:val="auto"/>
              </w:rPr>
            </w:pPr>
          </w:p>
        </w:tc>
        <w:tc>
          <w:tcPr>
            <w:tcW w:w="860" w:type="dxa"/>
            <w:vAlign w:val="bottom"/>
          </w:tcPr>
          <w:p>
            <w:pPr>
              <w:jc w:val="right"/>
              <w:ind w:right="114"/>
              <w:spacing w:after="0" w:line="202" w:lineRule="exact"/>
              <w:rPr>
                <w:sz w:val="20"/>
                <w:szCs w:val="20"/>
                <w:color w:val="auto"/>
              </w:rPr>
            </w:pPr>
            <w:r>
              <w:rPr>
                <w:rFonts w:ascii="Arial" w:cs="Arial" w:eastAsia="Arial" w:hAnsi="Arial"/>
                <w:sz w:val="18"/>
                <w:szCs w:val="18"/>
                <w:color w:val="auto"/>
              </w:rPr>
              <w:t>31.1</w:t>
            </w:r>
          </w:p>
        </w:tc>
        <w:tc>
          <w:tcPr>
            <w:tcW w:w="360" w:type="dxa"/>
            <w:vAlign w:val="bottom"/>
          </w:tcPr>
          <w:p>
            <w:pPr>
              <w:spacing w:after="0"/>
              <w:rPr>
                <w:sz w:val="17"/>
                <w:szCs w:val="17"/>
                <w:color w:val="auto"/>
              </w:rPr>
            </w:pPr>
          </w:p>
        </w:tc>
        <w:tc>
          <w:tcPr>
            <w:tcW w:w="840" w:type="dxa"/>
            <w:vAlign w:val="bottom"/>
          </w:tcPr>
          <w:p>
            <w:pPr>
              <w:jc w:val="right"/>
              <w:ind w:right="35"/>
              <w:spacing w:after="0" w:line="202" w:lineRule="exact"/>
              <w:rPr>
                <w:sz w:val="20"/>
                <w:szCs w:val="20"/>
                <w:color w:val="auto"/>
              </w:rPr>
            </w:pPr>
            <w:r>
              <w:rPr>
                <w:rFonts w:ascii="Arial" w:cs="Arial" w:eastAsia="Arial" w:hAnsi="Arial"/>
                <w:sz w:val="18"/>
                <w:szCs w:val="18"/>
                <w:color w:val="auto"/>
              </w:rPr>
              <w:t>58.7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6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Earnings (loss) from discontinued operations, net of tax</w:t>
            </w:r>
          </w:p>
        </w:tc>
        <w:tc>
          <w:tcPr>
            <w:tcW w:w="620" w:type="dxa"/>
            <w:vAlign w:val="bottom"/>
            <w:shd w:val="clear" w:color="auto" w:fill="E6E6E6"/>
          </w:tcPr>
          <w:p>
            <w:pPr>
              <w:spacing w:after="0"/>
              <w:rPr>
                <w:sz w:val="17"/>
                <w:szCs w:val="17"/>
                <w:color w:val="auto"/>
              </w:rPr>
            </w:pPr>
          </w:p>
        </w:tc>
        <w:tc>
          <w:tcPr>
            <w:tcW w:w="840" w:type="dxa"/>
            <w:vAlign w:val="bottom"/>
            <w:shd w:val="clear" w:color="auto" w:fill="E6E6E6"/>
          </w:tcPr>
          <w:p>
            <w:pPr>
              <w:jc w:val="right"/>
              <w:ind w:right="114"/>
              <w:spacing w:after="0" w:line="202" w:lineRule="exact"/>
              <w:rPr>
                <w:sz w:val="20"/>
                <w:szCs w:val="20"/>
                <w:color w:val="auto"/>
              </w:rPr>
            </w:pPr>
            <w:r>
              <w:rPr>
                <w:rFonts w:ascii="Arial" w:cs="Arial" w:eastAsia="Arial" w:hAnsi="Arial"/>
                <w:sz w:val="18"/>
                <w:szCs w:val="18"/>
                <w:color w:val="auto"/>
              </w:rPr>
              <w:t>1.6</w:t>
            </w:r>
          </w:p>
        </w:tc>
        <w:tc>
          <w:tcPr>
            <w:tcW w:w="400" w:type="dxa"/>
            <w:vAlign w:val="bottom"/>
            <w:shd w:val="clear" w:color="auto" w:fill="E6E6E6"/>
          </w:tcPr>
          <w:p>
            <w:pPr>
              <w:spacing w:after="0"/>
              <w:rPr>
                <w:sz w:val="17"/>
                <w:szCs w:val="17"/>
                <w:color w:val="auto"/>
              </w:rPr>
            </w:pPr>
          </w:p>
        </w:tc>
        <w:tc>
          <w:tcPr>
            <w:tcW w:w="860" w:type="dxa"/>
            <w:vAlign w:val="bottom"/>
            <w:shd w:val="clear" w:color="auto" w:fill="E6E6E6"/>
          </w:tcPr>
          <w:p>
            <w:pPr>
              <w:jc w:val="right"/>
              <w:ind w:right="54"/>
              <w:spacing w:after="0" w:line="202" w:lineRule="exact"/>
              <w:rPr>
                <w:sz w:val="20"/>
                <w:szCs w:val="20"/>
                <w:color w:val="auto"/>
              </w:rPr>
            </w:pPr>
            <w:r>
              <w:rPr>
                <w:rFonts w:ascii="Arial" w:cs="Arial" w:eastAsia="Arial" w:hAnsi="Arial"/>
                <w:sz w:val="18"/>
                <w:szCs w:val="18"/>
                <w:color w:val="auto"/>
              </w:rPr>
              <w:t>(1.3)</w:t>
            </w:r>
          </w:p>
        </w:tc>
        <w:tc>
          <w:tcPr>
            <w:tcW w:w="400" w:type="dxa"/>
            <w:vAlign w:val="bottom"/>
            <w:shd w:val="clear" w:color="auto" w:fill="E6E6E6"/>
          </w:tcPr>
          <w:p>
            <w:pPr>
              <w:spacing w:after="0"/>
              <w:rPr>
                <w:sz w:val="17"/>
                <w:szCs w:val="17"/>
                <w:color w:val="auto"/>
              </w:rPr>
            </w:pPr>
          </w:p>
        </w:tc>
        <w:tc>
          <w:tcPr>
            <w:tcW w:w="860" w:type="dxa"/>
            <w:vAlign w:val="bottom"/>
            <w:shd w:val="clear" w:color="auto" w:fill="E6E6E6"/>
          </w:tcPr>
          <w:p>
            <w:pPr>
              <w:jc w:val="right"/>
              <w:ind w:right="54"/>
              <w:spacing w:after="0" w:line="202" w:lineRule="exact"/>
              <w:rPr>
                <w:sz w:val="20"/>
                <w:szCs w:val="20"/>
                <w:color w:val="auto"/>
              </w:rPr>
            </w:pPr>
            <w:r>
              <w:rPr>
                <w:rFonts w:ascii="Arial" w:cs="Arial" w:eastAsia="Arial" w:hAnsi="Arial"/>
                <w:sz w:val="18"/>
                <w:szCs w:val="18"/>
                <w:color w:val="auto"/>
              </w:rPr>
              <w:t>(1.0)</w:t>
            </w:r>
          </w:p>
        </w:tc>
        <w:tc>
          <w:tcPr>
            <w:tcW w:w="400" w:type="dxa"/>
            <w:vAlign w:val="bottom"/>
            <w:shd w:val="clear" w:color="auto" w:fill="E6E6E6"/>
          </w:tcPr>
          <w:p>
            <w:pPr>
              <w:spacing w:after="0"/>
              <w:rPr>
                <w:sz w:val="17"/>
                <w:szCs w:val="17"/>
                <w:color w:val="auto"/>
              </w:rPr>
            </w:pPr>
          </w:p>
        </w:tc>
        <w:tc>
          <w:tcPr>
            <w:tcW w:w="860" w:type="dxa"/>
            <w:vAlign w:val="bottom"/>
            <w:shd w:val="clear" w:color="auto" w:fill="E6E6E6"/>
          </w:tcPr>
          <w:p>
            <w:pPr>
              <w:jc w:val="right"/>
              <w:ind w:right="54"/>
              <w:spacing w:after="0" w:line="202" w:lineRule="exact"/>
              <w:rPr>
                <w:sz w:val="20"/>
                <w:szCs w:val="20"/>
                <w:color w:val="auto"/>
              </w:rPr>
            </w:pPr>
            <w:r>
              <w:rPr>
                <w:rFonts w:ascii="Arial" w:cs="Arial" w:eastAsia="Arial" w:hAnsi="Arial"/>
                <w:sz w:val="18"/>
                <w:szCs w:val="18"/>
                <w:color w:val="auto"/>
              </w:rPr>
              <w:t>(1.9)</w:t>
            </w:r>
          </w:p>
        </w:tc>
        <w:tc>
          <w:tcPr>
            <w:tcW w:w="360" w:type="dxa"/>
            <w:vAlign w:val="bottom"/>
            <w:shd w:val="clear" w:color="auto" w:fill="E6E6E6"/>
          </w:tcPr>
          <w:p>
            <w:pPr>
              <w:spacing w:after="0"/>
              <w:rPr>
                <w:sz w:val="17"/>
                <w:szCs w:val="17"/>
                <w:color w:val="auto"/>
              </w:rPr>
            </w:pPr>
          </w:p>
        </w:tc>
        <w:tc>
          <w:tcPr>
            <w:tcW w:w="84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(2.6)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80" w:type="dxa"/>
            <w:vAlign w:val="bottom"/>
            <w:gridSpan w:val="2"/>
          </w:tcPr>
          <w:p>
            <w:pPr>
              <w:spacing w:after="0" w:line="202" w:lineRule="exact"/>
              <w:rPr>
                <w:sz w:val="20"/>
                <w:szCs w:val="20"/>
                <w:color w:val="auto"/>
              </w:rPr>
            </w:pPr>
            <w:r>
              <w:rPr>
                <w:rFonts w:ascii="Arial" w:cs="Arial" w:eastAsia="Arial" w:hAnsi="Arial"/>
                <w:sz w:val="18"/>
                <w:szCs w:val="18"/>
                <w:color w:val="auto"/>
              </w:rPr>
              <w:t>Net (loss) income</w:t>
            </w:r>
          </w:p>
        </w:tc>
        <w:tc>
          <w:tcPr>
            <w:tcW w:w="620" w:type="dxa"/>
            <w:vAlign w:val="bottom"/>
          </w:tcPr>
          <w:p>
            <w:pPr>
              <w:spacing w:after="0"/>
              <w:rPr>
                <w:sz w:val="17"/>
                <w:szCs w:val="17"/>
                <w:color w:val="auto"/>
              </w:rPr>
            </w:pPr>
          </w:p>
        </w:tc>
        <w:tc>
          <w:tcPr>
            <w:tcW w:w="840" w:type="dxa"/>
            <w:vAlign w:val="bottom"/>
          </w:tcPr>
          <w:p>
            <w:pPr>
              <w:jc w:val="right"/>
              <w:ind w:right="54"/>
              <w:spacing w:after="0" w:line="202" w:lineRule="exact"/>
              <w:rPr>
                <w:sz w:val="20"/>
                <w:szCs w:val="20"/>
                <w:color w:val="auto"/>
              </w:rPr>
            </w:pPr>
            <w:r>
              <w:rPr>
                <w:rFonts w:ascii="Arial" w:cs="Arial" w:eastAsia="Arial" w:hAnsi="Arial"/>
                <w:sz w:val="18"/>
                <w:szCs w:val="18"/>
                <w:color w:val="auto"/>
              </w:rPr>
              <w:t>(23.0)</w:t>
            </w:r>
          </w:p>
        </w:tc>
        <w:tc>
          <w:tcPr>
            <w:tcW w:w="400" w:type="dxa"/>
            <w:vAlign w:val="bottom"/>
          </w:tcPr>
          <w:p>
            <w:pPr>
              <w:spacing w:after="0"/>
              <w:rPr>
                <w:sz w:val="17"/>
                <w:szCs w:val="17"/>
                <w:color w:val="auto"/>
              </w:rPr>
            </w:pPr>
          </w:p>
        </w:tc>
        <w:tc>
          <w:tcPr>
            <w:tcW w:w="860" w:type="dxa"/>
            <w:vAlign w:val="bottom"/>
          </w:tcPr>
          <w:p>
            <w:pPr>
              <w:jc w:val="right"/>
              <w:ind w:right="114"/>
              <w:spacing w:after="0" w:line="202" w:lineRule="exact"/>
              <w:rPr>
                <w:sz w:val="20"/>
                <w:szCs w:val="20"/>
                <w:color w:val="auto"/>
              </w:rPr>
            </w:pPr>
            <w:r>
              <w:rPr>
                <w:rFonts w:ascii="Arial" w:cs="Arial" w:eastAsia="Arial" w:hAnsi="Arial"/>
                <w:sz w:val="18"/>
                <w:szCs w:val="18"/>
                <w:color w:val="auto"/>
              </w:rPr>
              <w:t>55.5</w:t>
            </w:r>
          </w:p>
        </w:tc>
        <w:tc>
          <w:tcPr>
            <w:tcW w:w="400" w:type="dxa"/>
            <w:vAlign w:val="bottom"/>
          </w:tcPr>
          <w:p>
            <w:pPr>
              <w:spacing w:after="0"/>
              <w:rPr>
                <w:sz w:val="17"/>
                <w:szCs w:val="17"/>
                <w:color w:val="auto"/>
              </w:rPr>
            </w:pPr>
          </w:p>
        </w:tc>
        <w:tc>
          <w:tcPr>
            <w:tcW w:w="860" w:type="dxa"/>
            <w:vAlign w:val="bottom"/>
          </w:tcPr>
          <w:p>
            <w:pPr>
              <w:jc w:val="right"/>
              <w:ind w:right="54"/>
              <w:spacing w:after="0" w:line="202" w:lineRule="exact"/>
              <w:rPr>
                <w:sz w:val="20"/>
                <w:szCs w:val="20"/>
                <w:color w:val="auto"/>
              </w:rPr>
            </w:pPr>
            <w:r>
              <w:rPr>
                <w:rFonts w:ascii="Arial" w:cs="Arial" w:eastAsia="Arial" w:hAnsi="Arial"/>
                <w:sz w:val="18"/>
                <w:szCs w:val="18"/>
                <w:color w:val="auto"/>
              </w:rPr>
              <w:t>(5.6)</w:t>
            </w:r>
          </w:p>
        </w:tc>
        <w:tc>
          <w:tcPr>
            <w:tcW w:w="400" w:type="dxa"/>
            <w:vAlign w:val="bottom"/>
          </w:tcPr>
          <w:p>
            <w:pPr>
              <w:spacing w:after="0"/>
              <w:rPr>
                <w:sz w:val="17"/>
                <w:szCs w:val="17"/>
                <w:color w:val="auto"/>
              </w:rPr>
            </w:pPr>
          </w:p>
        </w:tc>
        <w:tc>
          <w:tcPr>
            <w:tcW w:w="860" w:type="dxa"/>
            <w:vAlign w:val="bottom"/>
          </w:tcPr>
          <w:p>
            <w:pPr>
              <w:jc w:val="right"/>
              <w:ind w:right="114"/>
              <w:spacing w:after="0" w:line="202" w:lineRule="exact"/>
              <w:rPr>
                <w:sz w:val="20"/>
                <w:szCs w:val="20"/>
                <w:color w:val="auto"/>
              </w:rPr>
            </w:pPr>
            <w:r>
              <w:rPr>
                <w:rFonts w:ascii="Arial" w:cs="Arial" w:eastAsia="Arial" w:hAnsi="Arial"/>
                <w:sz w:val="18"/>
                <w:szCs w:val="18"/>
                <w:color w:val="auto"/>
              </w:rPr>
              <w:t>29.2</w:t>
            </w:r>
          </w:p>
        </w:tc>
        <w:tc>
          <w:tcPr>
            <w:tcW w:w="360" w:type="dxa"/>
            <w:vAlign w:val="bottom"/>
          </w:tcPr>
          <w:p>
            <w:pPr>
              <w:spacing w:after="0"/>
              <w:rPr>
                <w:sz w:val="17"/>
                <w:szCs w:val="17"/>
                <w:color w:val="auto"/>
              </w:rPr>
            </w:pPr>
          </w:p>
        </w:tc>
        <w:tc>
          <w:tcPr>
            <w:tcW w:w="840" w:type="dxa"/>
            <w:vAlign w:val="bottom"/>
          </w:tcPr>
          <w:p>
            <w:pPr>
              <w:jc w:val="right"/>
              <w:ind w:right="35"/>
              <w:spacing w:after="0" w:line="202" w:lineRule="exact"/>
              <w:rPr>
                <w:sz w:val="20"/>
                <w:szCs w:val="20"/>
                <w:color w:val="auto"/>
              </w:rPr>
            </w:pPr>
            <w:r>
              <w:rPr>
                <w:rFonts w:ascii="Arial" w:cs="Arial" w:eastAsia="Arial" w:hAnsi="Arial"/>
                <w:sz w:val="18"/>
                <w:szCs w:val="18"/>
                <w:color w:val="auto"/>
              </w:rPr>
              <w:t>56.1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6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(Loss) earnings per share of Class A and Common Stock:</w:t>
            </w:r>
          </w:p>
        </w:tc>
        <w:tc>
          <w:tcPr>
            <w:tcW w:w="620" w:type="dxa"/>
            <w:vAlign w:val="bottom"/>
            <w:shd w:val="clear" w:color="auto" w:fill="E6E6E6"/>
          </w:tcPr>
          <w:p>
            <w:pPr>
              <w:spacing w:after="0"/>
              <w:rPr>
                <w:sz w:val="17"/>
                <w:szCs w:val="17"/>
                <w:color w:val="auto"/>
              </w:rPr>
            </w:pPr>
          </w:p>
        </w:tc>
        <w:tc>
          <w:tcPr>
            <w:tcW w:w="840" w:type="dxa"/>
            <w:vAlign w:val="bottom"/>
            <w:shd w:val="clear" w:color="auto" w:fill="E6E6E6"/>
          </w:tcPr>
          <w:p>
            <w:pPr>
              <w:spacing w:after="0"/>
              <w:rPr>
                <w:sz w:val="17"/>
                <w:szCs w:val="17"/>
                <w:color w:val="auto"/>
              </w:rPr>
            </w:pPr>
          </w:p>
        </w:tc>
        <w:tc>
          <w:tcPr>
            <w:tcW w:w="400" w:type="dxa"/>
            <w:vAlign w:val="bottom"/>
            <w:shd w:val="clear" w:color="auto" w:fill="E6E6E6"/>
          </w:tcPr>
          <w:p>
            <w:pPr>
              <w:spacing w:after="0"/>
              <w:rPr>
                <w:sz w:val="17"/>
                <w:szCs w:val="17"/>
                <w:color w:val="auto"/>
              </w:rPr>
            </w:pPr>
          </w:p>
        </w:tc>
        <w:tc>
          <w:tcPr>
            <w:tcW w:w="860" w:type="dxa"/>
            <w:vAlign w:val="bottom"/>
            <w:shd w:val="clear" w:color="auto" w:fill="E6E6E6"/>
          </w:tcPr>
          <w:p>
            <w:pPr>
              <w:spacing w:after="0"/>
              <w:rPr>
                <w:sz w:val="17"/>
                <w:szCs w:val="17"/>
                <w:color w:val="auto"/>
              </w:rPr>
            </w:pPr>
          </w:p>
        </w:tc>
        <w:tc>
          <w:tcPr>
            <w:tcW w:w="400" w:type="dxa"/>
            <w:vAlign w:val="bottom"/>
            <w:shd w:val="clear" w:color="auto" w:fill="E6E6E6"/>
          </w:tcPr>
          <w:p>
            <w:pPr>
              <w:spacing w:after="0"/>
              <w:rPr>
                <w:sz w:val="17"/>
                <w:szCs w:val="17"/>
                <w:color w:val="auto"/>
              </w:rPr>
            </w:pPr>
          </w:p>
        </w:tc>
        <w:tc>
          <w:tcPr>
            <w:tcW w:w="860" w:type="dxa"/>
            <w:vAlign w:val="bottom"/>
            <w:shd w:val="clear" w:color="auto" w:fill="E6E6E6"/>
          </w:tcPr>
          <w:p>
            <w:pPr>
              <w:spacing w:after="0"/>
              <w:rPr>
                <w:sz w:val="17"/>
                <w:szCs w:val="17"/>
                <w:color w:val="auto"/>
              </w:rPr>
            </w:pPr>
          </w:p>
        </w:tc>
        <w:tc>
          <w:tcPr>
            <w:tcW w:w="400" w:type="dxa"/>
            <w:vAlign w:val="bottom"/>
            <w:shd w:val="clear" w:color="auto" w:fill="E6E6E6"/>
          </w:tcPr>
          <w:p>
            <w:pPr>
              <w:spacing w:after="0"/>
              <w:rPr>
                <w:sz w:val="17"/>
                <w:szCs w:val="17"/>
                <w:color w:val="auto"/>
              </w:rPr>
            </w:pPr>
          </w:p>
        </w:tc>
        <w:tc>
          <w:tcPr>
            <w:tcW w:w="860" w:type="dxa"/>
            <w:vAlign w:val="bottom"/>
            <w:shd w:val="clear" w:color="auto" w:fill="E6E6E6"/>
          </w:tcPr>
          <w:p>
            <w:pPr>
              <w:spacing w:after="0"/>
              <w:rPr>
                <w:sz w:val="17"/>
                <w:szCs w:val="17"/>
                <w:color w:val="auto"/>
              </w:rPr>
            </w:pPr>
          </w:p>
        </w:tc>
        <w:tc>
          <w:tcPr>
            <w:tcW w:w="360" w:type="dxa"/>
            <w:vAlign w:val="bottom"/>
            <w:shd w:val="clear" w:color="auto" w:fill="E6E6E6"/>
          </w:tcPr>
          <w:p>
            <w:pPr>
              <w:spacing w:after="0"/>
              <w:rPr>
                <w:sz w:val="17"/>
                <w:szCs w:val="17"/>
                <w:color w:val="auto"/>
              </w:rPr>
            </w:pPr>
          </w:p>
        </w:tc>
        <w:tc>
          <w:tcPr>
            <w:tcW w:w="840" w:type="dxa"/>
            <w:vAlign w:val="bottom"/>
            <w:shd w:val="clear" w:color="auto" w:fill="E6E6E6"/>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60" w:type="dxa"/>
            <w:vAlign w:val="bottom"/>
          </w:tcPr>
          <w:p>
            <w:pPr>
              <w:ind w:left="140"/>
              <w:spacing w:after="0" w:line="202" w:lineRule="exact"/>
              <w:rPr>
                <w:sz w:val="20"/>
                <w:szCs w:val="20"/>
                <w:color w:val="auto"/>
              </w:rPr>
            </w:pPr>
            <w:r>
              <w:rPr>
                <w:rFonts w:ascii="Arial" w:cs="Arial" w:eastAsia="Arial" w:hAnsi="Arial"/>
                <w:sz w:val="18"/>
                <w:szCs w:val="18"/>
                <w:color w:val="auto"/>
              </w:rPr>
              <w:t>Basic:</w:t>
            </w:r>
          </w:p>
        </w:tc>
        <w:tc>
          <w:tcPr>
            <w:tcW w:w="6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60" w:type="dxa"/>
            <w:vAlign w:val="bottom"/>
            <w:shd w:val="clear" w:color="auto" w:fill="E6E6E6"/>
          </w:tcPr>
          <w:p>
            <w:pPr>
              <w:ind w:left="300"/>
              <w:spacing w:after="0" w:line="202" w:lineRule="exact"/>
              <w:rPr>
                <w:sz w:val="20"/>
                <w:szCs w:val="20"/>
                <w:color w:val="auto"/>
              </w:rPr>
            </w:pPr>
            <w:r>
              <w:rPr>
                <w:rFonts w:ascii="Arial" w:cs="Arial" w:eastAsia="Arial" w:hAnsi="Arial"/>
                <w:sz w:val="18"/>
                <w:szCs w:val="18"/>
                <w:color w:val="auto"/>
              </w:rPr>
              <w:t>(Loss) earnings from continuing operations</w:t>
            </w:r>
          </w:p>
        </w:tc>
        <w:tc>
          <w:tcPr>
            <w:tcW w:w="620" w:type="dxa"/>
            <w:vAlign w:val="bottom"/>
            <w:shd w:val="clear" w:color="auto" w:fill="E6E6E6"/>
          </w:tcPr>
          <w:p>
            <w:pPr>
              <w:spacing w:after="0"/>
              <w:rPr>
                <w:sz w:val="17"/>
                <w:szCs w:val="17"/>
                <w:color w:val="auto"/>
              </w:rPr>
            </w:pPr>
          </w:p>
        </w:tc>
        <w:tc>
          <w:tcPr>
            <w:tcW w:w="840" w:type="dxa"/>
            <w:vAlign w:val="bottom"/>
            <w:shd w:val="clear" w:color="auto" w:fill="E6E6E6"/>
          </w:tcPr>
          <w:p>
            <w:pPr>
              <w:jc w:val="right"/>
              <w:ind w:right="54"/>
              <w:spacing w:after="0" w:line="202" w:lineRule="exact"/>
              <w:rPr>
                <w:sz w:val="20"/>
                <w:szCs w:val="20"/>
                <w:color w:val="auto"/>
              </w:rPr>
            </w:pPr>
            <w:r>
              <w:rPr>
                <w:rFonts w:ascii="Arial" w:cs="Arial" w:eastAsia="Arial" w:hAnsi="Arial"/>
                <w:sz w:val="18"/>
                <w:szCs w:val="18"/>
                <w:color w:val="auto"/>
              </w:rPr>
              <w:t>(0.68)</w:t>
            </w:r>
          </w:p>
        </w:tc>
        <w:tc>
          <w:tcPr>
            <w:tcW w:w="400" w:type="dxa"/>
            <w:vAlign w:val="bottom"/>
            <w:shd w:val="clear" w:color="auto" w:fill="E6E6E6"/>
          </w:tcPr>
          <w:p>
            <w:pPr>
              <w:spacing w:after="0"/>
              <w:rPr>
                <w:sz w:val="17"/>
                <w:szCs w:val="17"/>
                <w:color w:val="auto"/>
              </w:rPr>
            </w:pPr>
          </w:p>
        </w:tc>
        <w:tc>
          <w:tcPr>
            <w:tcW w:w="860" w:type="dxa"/>
            <w:vAlign w:val="bottom"/>
            <w:shd w:val="clear" w:color="auto" w:fill="E6E6E6"/>
          </w:tcPr>
          <w:p>
            <w:pPr>
              <w:jc w:val="right"/>
              <w:ind w:right="114"/>
              <w:spacing w:after="0" w:line="202" w:lineRule="exact"/>
              <w:rPr>
                <w:sz w:val="20"/>
                <w:szCs w:val="20"/>
                <w:color w:val="auto"/>
              </w:rPr>
            </w:pPr>
            <w:r>
              <w:rPr>
                <w:rFonts w:ascii="Arial" w:cs="Arial" w:eastAsia="Arial" w:hAnsi="Arial"/>
                <w:sz w:val="18"/>
                <w:szCs w:val="18"/>
                <w:color w:val="auto"/>
              </w:rPr>
              <w:t>1.56</w:t>
            </w:r>
          </w:p>
        </w:tc>
        <w:tc>
          <w:tcPr>
            <w:tcW w:w="400" w:type="dxa"/>
            <w:vAlign w:val="bottom"/>
            <w:shd w:val="clear" w:color="auto" w:fill="E6E6E6"/>
          </w:tcPr>
          <w:p>
            <w:pPr>
              <w:spacing w:after="0"/>
              <w:rPr>
                <w:sz w:val="17"/>
                <w:szCs w:val="17"/>
                <w:color w:val="auto"/>
              </w:rPr>
            </w:pPr>
          </w:p>
        </w:tc>
        <w:tc>
          <w:tcPr>
            <w:tcW w:w="860" w:type="dxa"/>
            <w:vAlign w:val="bottom"/>
            <w:shd w:val="clear" w:color="auto" w:fill="E6E6E6"/>
          </w:tcPr>
          <w:p>
            <w:pPr>
              <w:jc w:val="right"/>
              <w:ind w:right="54"/>
              <w:spacing w:after="0" w:line="202" w:lineRule="exact"/>
              <w:rPr>
                <w:sz w:val="20"/>
                <w:szCs w:val="20"/>
                <w:color w:val="auto"/>
              </w:rPr>
            </w:pPr>
            <w:r>
              <w:rPr>
                <w:rFonts w:ascii="Arial" w:cs="Arial" w:eastAsia="Arial" w:hAnsi="Arial"/>
                <w:sz w:val="18"/>
                <w:szCs w:val="18"/>
                <w:color w:val="auto"/>
              </w:rPr>
              <w:t>(0.12)</w:t>
            </w:r>
          </w:p>
        </w:tc>
        <w:tc>
          <w:tcPr>
            <w:tcW w:w="400" w:type="dxa"/>
            <w:vAlign w:val="bottom"/>
            <w:shd w:val="clear" w:color="auto" w:fill="E6E6E6"/>
          </w:tcPr>
          <w:p>
            <w:pPr>
              <w:spacing w:after="0"/>
              <w:rPr>
                <w:sz w:val="17"/>
                <w:szCs w:val="17"/>
                <w:color w:val="auto"/>
              </w:rPr>
            </w:pPr>
          </w:p>
        </w:tc>
        <w:tc>
          <w:tcPr>
            <w:tcW w:w="860" w:type="dxa"/>
            <w:vAlign w:val="bottom"/>
            <w:shd w:val="clear" w:color="auto" w:fill="E6E6E6"/>
          </w:tcPr>
          <w:p>
            <w:pPr>
              <w:jc w:val="right"/>
              <w:ind w:right="114"/>
              <w:spacing w:after="0" w:line="202" w:lineRule="exact"/>
              <w:rPr>
                <w:sz w:val="20"/>
                <w:szCs w:val="20"/>
                <w:color w:val="auto"/>
              </w:rPr>
            </w:pPr>
            <w:r>
              <w:rPr>
                <w:rFonts w:ascii="Arial" w:cs="Arial" w:eastAsia="Arial" w:hAnsi="Arial"/>
                <w:sz w:val="18"/>
                <w:szCs w:val="18"/>
                <w:color w:val="auto"/>
              </w:rPr>
              <w:t>0.85</w:t>
            </w:r>
          </w:p>
        </w:tc>
        <w:tc>
          <w:tcPr>
            <w:tcW w:w="360" w:type="dxa"/>
            <w:vAlign w:val="bottom"/>
            <w:shd w:val="clear" w:color="auto" w:fill="E6E6E6"/>
          </w:tcPr>
          <w:p>
            <w:pPr>
              <w:spacing w:after="0"/>
              <w:rPr>
                <w:sz w:val="17"/>
                <w:szCs w:val="17"/>
                <w:color w:val="auto"/>
              </w:rPr>
            </w:pPr>
          </w:p>
        </w:tc>
        <w:tc>
          <w:tcPr>
            <w:tcW w:w="840" w:type="dxa"/>
            <w:vAlign w:val="bottom"/>
            <w:shd w:val="clear" w:color="auto" w:fill="E6E6E6"/>
          </w:tcPr>
          <w:p>
            <w:pPr>
              <w:jc w:val="right"/>
              <w:ind w:right="35"/>
              <w:spacing w:after="0" w:line="202" w:lineRule="exact"/>
              <w:rPr>
                <w:sz w:val="20"/>
                <w:szCs w:val="20"/>
                <w:color w:val="auto"/>
              </w:rPr>
            </w:pPr>
            <w:r>
              <w:rPr>
                <w:rFonts w:ascii="Arial" w:cs="Arial" w:eastAsia="Arial" w:hAnsi="Arial"/>
                <w:sz w:val="18"/>
                <w:szCs w:val="18"/>
                <w:color w:val="auto"/>
              </w:rPr>
              <w:t>1.61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60" w:type="dxa"/>
            <w:vAlign w:val="bottom"/>
          </w:tcPr>
          <w:p>
            <w:pPr>
              <w:ind w:left="300"/>
              <w:spacing w:after="0" w:line="202" w:lineRule="exact"/>
              <w:rPr>
                <w:sz w:val="20"/>
                <w:szCs w:val="20"/>
                <w:color w:val="auto"/>
              </w:rPr>
            </w:pPr>
            <w:r>
              <w:rPr>
                <w:rFonts w:ascii="Arial" w:cs="Arial" w:eastAsia="Arial" w:hAnsi="Arial"/>
                <w:sz w:val="18"/>
                <w:szCs w:val="18"/>
                <w:color w:val="auto"/>
              </w:rPr>
              <w:t>Earnings (loss) from discontinued operations, net of tax</w:t>
            </w:r>
          </w:p>
        </w:tc>
        <w:tc>
          <w:tcPr>
            <w:tcW w:w="620" w:type="dxa"/>
            <w:vAlign w:val="bottom"/>
          </w:tcPr>
          <w:p>
            <w:pPr>
              <w:spacing w:after="0"/>
              <w:rPr>
                <w:sz w:val="17"/>
                <w:szCs w:val="17"/>
                <w:color w:val="auto"/>
              </w:rPr>
            </w:pPr>
          </w:p>
        </w:tc>
        <w:tc>
          <w:tcPr>
            <w:tcW w:w="840" w:type="dxa"/>
            <w:vAlign w:val="bottom"/>
          </w:tcPr>
          <w:p>
            <w:pPr>
              <w:jc w:val="right"/>
              <w:ind w:right="114"/>
              <w:spacing w:after="0" w:line="202" w:lineRule="exact"/>
              <w:rPr>
                <w:sz w:val="20"/>
                <w:szCs w:val="20"/>
                <w:color w:val="auto"/>
              </w:rPr>
            </w:pPr>
            <w:r>
              <w:rPr>
                <w:rFonts w:ascii="Arial" w:cs="Arial" w:eastAsia="Arial" w:hAnsi="Arial"/>
                <w:sz w:val="18"/>
                <w:szCs w:val="18"/>
                <w:color w:val="auto"/>
              </w:rPr>
              <w:t>0.05</w:t>
            </w:r>
          </w:p>
        </w:tc>
        <w:tc>
          <w:tcPr>
            <w:tcW w:w="400" w:type="dxa"/>
            <w:vAlign w:val="bottom"/>
          </w:tcPr>
          <w:p>
            <w:pPr>
              <w:spacing w:after="0"/>
              <w:rPr>
                <w:sz w:val="17"/>
                <w:szCs w:val="17"/>
                <w:color w:val="auto"/>
              </w:rPr>
            </w:pPr>
          </w:p>
        </w:tc>
        <w:tc>
          <w:tcPr>
            <w:tcW w:w="860" w:type="dxa"/>
            <w:vAlign w:val="bottom"/>
          </w:tcPr>
          <w:p>
            <w:pPr>
              <w:jc w:val="right"/>
              <w:ind w:right="54"/>
              <w:spacing w:after="0" w:line="202" w:lineRule="exact"/>
              <w:rPr>
                <w:sz w:val="20"/>
                <w:szCs w:val="20"/>
                <w:color w:val="auto"/>
              </w:rPr>
            </w:pPr>
            <w:r>
              <w:rPr>
                <w:rFonts w:ascii="Arial" w:cs="Arial" w:eastAsia="Arial" w:hAnsi="Arial"/>
                <w:sz w:val="18"/>
                <w:szCs w:val="18"/>
                <w:color w:val="auto"/>
              </w:rPr>
              <w:t>(0.04)</w:t>
            </w:r>
          </w:p>
        </w:tc>
        <w:tc>
          <w:tcPr>
            <w:tcW w:w="400" w:type="dxa"/>
            <w:vAlign w:val="bottom"/>
          </w:tcPr>
          <w:p>
            <w:pPr>
              <w:spacing w:after="0"/>
              <w:rPr>
                <w:sz w:val="17"/>
                <w:szCs w:val="17"/>
                <w:color w:val="auto"/>
              </w:rPr>
            </w:pPr>
          </w:p>
        </w:tc>
        <w:tc>
          <w:tcPr>
            <w:tcW w:w="860" w:type="dxa"/>
            <w:vAlign w:val="bottom"/>
          </w:tcPr>
          <w:p>
            <w:pPr>
              <w:jc w:val="right"/>
              <w:ind w:right="54"/>
              <w:spacing w:after="0" w:line="202" w:lineRule="exact"/>
              <w:rPr>
                <w:sz w:val="20"/>
                <w:szCs w:val="20"/>
                <w:color w:val="auto"/>
              </w:rPr>
            </w:pPr>
            <w:r>
              <w:rPr>
                <w:rFonts w:ascii="Arial" w:cs="Arial" w:eastAsia="Arial" w:hAnsi="Arial"/>
                <w:sz w:val="18"/>
                <w:szCs w:val="18"/>
                <w:color w:val="auto"/>
              </w:rPr>
              <w:t>(0.03)</w:t>
            </w:r>
          </w:p>
        </w:tc>
        <w:tc>
          <w:tcPr>
            <w:tcW w:w="400" w:type="dxa"/>
            <w:vAlign w:val="bottom"/>
          </w:tcPr>
          <w:p>
            <w:pPr>
              <w:spacing w:after="0"/>
              <w:rPr>
                <w:sz w:val="17"/>
                <w:szCs w:val="17"/>
                <w:color w:val="auto"/>
              </w:rPr>
            </w:pPr>
          </w:p>
        </w:tc>
        <w:tc>
          <w:tcPr>
            <w:tcW w:w="860" w:type="dxa"/>
            <w:vAlign w:val="bottom"/>
          </w:tcPr>
          <w:p>
            <w:pPr>
              <w:jc w:val="right"/>
              <w:ind w:right="54"/>
              <w:spacing w:after="0" w:line="202" w:lineRule="exact"/>
              <w:rPr>
                <w:sz w:val="20"/>
                <w:szCs w:val="20"/>
                <w:color w:val="auto"/>
              </w:rPr>
            </w:pPr>
            <w:r>
              <w:rPr>
                <w:rFonts w:ascii="Arial" w:cs="Arial" w:eastAsia="Arial" w:hAnsi="Arial"/>
                <w:sz w:val="18"/>
                <w:szCs w:val="18"/>
                <w:color w:val="auto"/>
              </w:rPr>
              <w:t>(0.05)</w:t>
            </w:r>
          </w:p>
        </w:tc>
        <w:tc>
          <w:tcPr>
            <w:tcW w:w="36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(0.07)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60" w:type="dxa"/>
            <w:vAlign w:val="bottom"/>
            <w:shd w:val="clear" w:color="auto" w:fill="E6E6E6"/>
          </w:tcPr>
          <w:p>
            <w:pPr>
              <w:ind w:left="300"/>
              <w:spacing w:after="0" w:line="202" w:lineRule="exact"/>
              <w:rPr>
                <w:sz w:val="20"/>
                <w:szCs w:val="20"/>
                <w:color w:val="auto"/>
              </w:rPr>
            </w:pPr>
            <w:r>
              <w:rPr>
                <w:rFonts w:ascii="Arial" w:cs="Arial" w:eastAsia="Arial" w:hAnsi="Arial"/>
                <w:sz w:val="18"/>
                <w:szCs w:val="18"/>
                <w:color w:val="auto"/>
              </w:rPr>
              <w:t>Net (loss) income</w:t>
            </w:r>
          </w:p>
        </w:tc>
        <w:tc>
          <w:tcPr>
            <w:tcW w:w="620" w:type="dxa"/>
            <w:vAlign w:val="bottom"/>
            <w:shd w:val="clear" w:color="auto" w:fill="E6E6E6"/>
          </w:tcPr>
          <w:p>
            <w:pPr>
              <w:spacing w:after="0"/>
              <w:rPr>
                <w:sz w:val="17"/>
                <w:szCs w:val="17"/>
                <w:color w:val="auto"/>
              </w:rPr>
            </w:pPr>
          </w:p>
        </w:tc>
        <w:tc>
          <w:tcPr>
            <w:tcW w:w="840" w:type="dxa"/>
            <w:vAlign w:val="bottom"/>
            <w:shd w:val="clear" w:color="auto" w:fill="E6E6E6"/>
          </w:tcPr>
          <w:p>
            <w:pPr>
              <w:jc w:val="right"/>
              <w:ind w:right="54"/>
              <w:spacing w:after="0" w:line="202" w:lineRule="exact"/>
              <w:rPr>
                <w:sz w:val="20"/>
                <w:szCs w:val="20"/>
                <w:color w:val="auto"/>
              </w:rPr>
            </w:pPr>
            <w:r>
              <w:rPr>
                <w:rFonts w:ascii="Arial" w:cs="Arial" w:eastAsia="Arial" w:hAnsi="Arial"/>
                <w:sz w:val="18"/>
                <w:szCs w:val="18"/>
                <w:color w:val="auto"/>
              </w:rPr>
              <w:t>(0.63)</w:t>
            </w:r>
          </w:p>
        </w:tc>
        <w:tc>
          <w:tcPr>
            <w:tcW w:w="400" w:type="dxa"/>
            <w:vAlign w:val="bottom"/>
            <w:shd w:val="clear" w:color="auto" w:fill="E6E6E6"/>
          </w:tcPr>
          <w:p>
            <w:pPr>
              <w:spacing w:after="0"/>
              <w:rPr>
                <w:sz w:val="17"/>
                <w:szCs w:val="17"/>
                <w:color w:val="auto"/>
              </w:rPr>
            </w:pPr>
          </w:p>
        </w:tc>
        <w:tc>
          <w:tcPr>
            <w:tcW w:w="860" w:type="dxa"/>
            <w:vAlign w:val="bottom"/>
            <w:shd w:val="clear" w:color="auto" w:fill="E6E6E6"/>
          </w:tcPr>
          <w:p>
            <w:pPr>
              <w:jc w:val="right"/>
              <w:ind w:right="114"/>
              <w:spacing w:after="0" w:line="202" w:lineRule="exact"/>
              <w:rPr>
                <w:sz w:val="20"/>
                <w:szCs w:val="20"/>
                <w:color w:val="auto"/>
              </w:rPr>
            </w:pPr>
            <w:r>
              <w:rPr>
                <w:rFonts w:ascii="Arial" w:cs="Arial" w:eastAsia="Arial" w:hAnsi="Arial"/>
                <w:sz w:val="18"/>
                <w:szCs w:val="18"/>
                <w:color w:val="auto"/>
              </w:rPr>
              <w:t>1.52</w:t>
            </w:r>
          </w:p>
        </w:tc>
        <w:tc>
          <w:tcPr>
            <w:tcW w:w="400" w:type="dxa"/>
            <w:vAlign w:val="bottom"/>
            <w:shd w:val="clear" w:color="auto" w:fill="E6E6E6"/>
          </w:tcPr>
          <w:p>
            <w:pPr>
              <w:spacing w:after="0"/>
              <w:rPr>
                <w:sz w:val="17"/>
                <w:szCs w:val="17"/>
                <w:color w:val="auto"/>
              </w:rPr>
            </w:pPr>
          </w:p>
        </w:tc>
        <w:tc>
          <w:tcPr>
            <w:tcW w:w="860" w:type="dxa"/>
            <w:vAlign w:val="bottom"/>
            <w:shd w:val="clear" w:color="auto" w:fill="E6E6E6"/>
          </w:tcPr>
          <w:p>
            <w:pPr>
              <w:jc w:val="right"/>
              <w:ind w:right="54"/>
              <w:spacing w:after="0" w:line="202" w:lineRule="exact"/>
              <w:rPr>
                <w:sz w:val="20"/>
                <w:szCs w:val="20"/>
                <w:color w:val="auto"/>
              </w:rPr>
            </w:pPr>
            <w:r>
              <w:rPr>
                <w:rFonts w:ascii="Arial" w:cs="Arial" w:eastAsia="Arial" w:hAnsi="Arial"/>
                <w:sz w:val="18"/>
                <w:szCs w:val="18"/>
                <w:color w:val="auto"/>
              </w:rPr>
              <w:t>(0.15)</w:t>
            </w:r>
          </w:p>
        </w:tc>
        <w:tc>
          <w:tcPr>
            <w:tcW w:w="400" w:type="dxa"/>
            <w:vAlign w:val="bottom"/>
            <w:shd w:val="clear" w:color="auto" w:fill="E6E6E6"/>
          </w:tcPr>
          <w:p>
            <w:pPr>
              <w:spacing w:after="0"/>
              <w:rPr>
                <w:sz w:val="17"/>
                <w:szCs w:val="17"/>
                <w:color w:val="auto"/>
              </w:rPr>
            </w:pPr>
          </w:p>
        </w:tc>
        <w:tc>
          <w:tcPr>
            <w:tcW w:w="860" w:type="dxa"/>
            <w:vAlign w:val="bottom"/>
            <w:shd w:val="clear" w:color="auto" w:fill="E6E6E6"/>
          </w:tcPr>
          <w:p>
            <w:pPr>
              <w:jc w:val="right"/>
              <w:ind w:right="114"/>
              <w:spacing w:after="0" w:line="202" w:lineRule="exact"/>
              <w:rPr>
                <w:sz w:val="20"/>
                <w:szCs w:val="20"/>
                <w:color w:val="auto"/>
              </w:rPr>
            </w:pPr>
            <w:r>
              <w:rPr>
                <w:rFonts w:ascii="Arial" w:cs="Arial" w:eastAsia="Arial" w:hAnsi="Arial"/>
                <w:sz w:val="18"/>
                <w:szCs w:val="18"/>
                <w:color w:val="auto"/>
              </w:rPr>
              <w:t>0.80</w:t>
            </w:r>
          </w:p>
        </w:tc>
        <w:tc>
          <w:tcPr>
            <w:tcW w:w="360" w:type="dxa"/>
            <w:vAlign w:val="bottom"/>
            <w:shd w:val="clear" w:color="auto" w:fill="E6E6E6"/>
          </w:tcPr>
          <w:p>
            <w:pPr>
              <w:spacing w:after="0"/>
              <w:rPr>
                <w:sz w:val="17"/>
                <w:szCs w:val="17"/>
                <w:color w:val="auto"/>
              </w:rPr>
            </w:pPr>
          </w:p>
        </w:tc>
        <w:tc>
          <w:tcPr>
            <w:tcW w:w="840" w:type="dxa"/>
            <w:vAlign w:val="bottom"/>
            <w:shd w:val="clear" w:color="auto" w:fill="E6E6E6"/>
          </w:tcPr>
          <w:p>
            <w:pPr>
              <w:jc w:val="right"/>
              <w:ind w:right="35"/>
              <w:spacing w:after="0" w:line="202" w:lineRule="exact"/>
              <w:rPr>
                <w:sz w:val="20"/>
                <w:szCs w:val="20"/>
                <w:color w:val="auto"/>
              </w:rPr>
            </w:pPr>
            <w:r>
              <w:rPr>
                <w:rFonts w:ascii="Arial" w:cs="Arial" w:eastAsia="Arial" w:hAnsi="Arial"/>
                <w:sz w:val="18"/>
                <w:szCs w:val="18"/>
                <w:color w:val="auto"/>
              </w:rPr>
              <w:t>1.54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60" w:type="dxa"/>
            <w:vAlign w:val="bottom"/>
          </w:tcPr>
          <w:p>
            <w:pPr>
              <w:ind w:left="140"/>
              <w:spacing w:after="0" w:line="202" w:lineRule="exact"/>
              <w:rPr>
                <w:sz w:val="20"/>
                <w:szCs w:val="20"/>
                <w:color w:val="auto"/>
              </w:rPr>
            </w:pPr>
            <w:r>
              <w:rPr>
                <w:rFonts w:ascii="Arial" w:cs="Arial" w:eastAsia="Arial" w:hAnsi="Arial"/>
                <w:sz w:val="18"/>
                <w:szCs w:val="18"/>
                <w:color w:val="auto"/>
              </w:rPr>
              <w:t>Diluted:</w:t>
            </w:r>
          </w:p>
        </w:tc>
        <w:tc>
          <w:tcPr>
            <w:tcW w:w="6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60" w:type="dxa"/>
            <w:vAlign w:val="bottom"/>
            <w:shd w:val="clear" w:color="auto" w:fill="E6E6E6"/>
          </w:tcPr>
          <w:p>
            <w:pPr>
              <w:ind w:left="300"/>
              <w:spacing w:after="0" w:line="202" w:lineRule="exact"/>
              <w:rPr>
                <w:sz w:val="20"/>
                <w:szCs w:val="20"/>
                <w:color w:val="auto"/>
              </w:rPr>
            </w:pPr>
            <w:r>
              <w:rPr>
                <w:rFonts w:ascii="Arial" w:cs="Arial" w:eastAsia="Arial" w:hAnsi="Arial"/>
                <w:sz w:val="18"/>
                <w:szCs w:val="18"/>
                <w:color w:val="auto"/>
              </w:rPr>
              <w:t>(Loss) earnings from continuing operations</w:t>
            </w:r>
          </w:p>
        </w:tc>
        <w:tc>
          <w:tcPr>
            <w:tcW w:w="620" w:type="dxa"/>
            <w:vAlign w:val="bottom"/>
            <w:shd w:val="clear" w:color="auto" w:fill="E6E6E6"/>
          </w:tcPr>
          <w:p>
            <w:pPr>
              <w:spacing w:after="0"/>
              <w:rPr>
                <w:sz w:val="17"/>
                <w:szCs w:val="17"/>
                <w:color w:val="auto"/>
              </w:rPr>
            </w:pPr>
          </w:p>
        </w:tc>
        <w:tc>
          <w:tcPr>
            <w:tcW w:w="840" w:type="dxa"/>
            <w:vAlign w:val="bottom"/>
            <w:shd w:val="clear" w:color="auto" w:fill="E6E6E6"/>
          </w:tcPr>
          <w:p>
            <w:pPr>
              <w:jc w:val="right"/>
              <w:ind w:right="54"/>
              <w:spacing w:after="0" w:line="202" w:lineRule="exact"/>
              <w:rPr>
                <w:sz w:val="20"/>
                <w:szCs w:val="20"/>
                <w:color w:val="auto"/>
              </w:rPr>
            </w:pPr>
            <w:r>
              <w:rPr>
                <w:rFonts w:ascii="Arial" w:cs="Arial" w:eastAsia="Arial" w:hAnsi="Arial"/>
                <w:sz w:val="18"/>
                <w:szCs w:val="18"/>
                <w:color w:val="auto"/>
              </w:rPr>
              <w:t>(0.68)</w:t>
            </w:r>
          </w:p>
        </w:tc>
        <w:tc>
          <w:tcPr>
            <w:tcW w:w="400" w:type="dxa"/>
            <w:vAlign w:val="bottom"/>
            <w:shd w:val="clear" w:color="auto" w:fill="E6E6E6"/>
          </w:tcPr>
          <w:p>
            <w:pPr>
              <w:spacing w:after="0"/>
              <w:rPr>
                <w:sz w:val="17"/>
                <w:szCs w:val="17"/>
                <w:color w:val="auto"/>
              </w:rPr>
            </w:pPr>
          </w:p>
        </w:tc>
        <w:tc>
          <w:tcPr>
            <w:tcW w:w="860" w:type="dxa"/>
            <w:vAlign w:val="bottom"/>
            <w:shd w:val="clear" w:color="auto" w:fill="E6E6E6"/>
          </w:tcPr>
          <w:p>
            <w:pPr>
              <w:jc w:val="right"/>
              <w:ind w:right="114"/>
              <w:spacing w:after="0" w:line="202" w:lineRule="exact"/>
              <w:rPr>
                <w:sz w:val="20"/>
                <w:szCs w:val="20"/>
                <w:color w:val="auto"/>
              </w:rPr>
            </w:pPr>
            <w:r>
              <w:rPr>
                <w:rFonts w:ascii="Arial" w:cs="Arial" w:eastAsia="Arial" w:hAnsi="Arial"/>
                <w:sz w:val="18"/>
                <w:szCs w:val="18"/>
                <w:color w:val="auto"/>
              </w:rPr>
              <w:t>1.54</w:t>
            </w:r>
          </w:p>
        </w:tc>
        <w:tc>
          <w:tcPr>
            <w:tcW w:w="400" w:type="dxa"/>
            <w:vAlign w:val="bottom"/>
            <w:shd w:val="clear" w:color="auto" w:fill="E6E6E6"/>
          </w:tcPr>
          <w:p>
            <w:pPr>
              <w:spacing w:after="0"/>
              <w:rPr>
                <w:sz w:val="17"/>
                <w:szCs w:val="17"/>
                <w:color w:val="auto"/>
              </w:rPr>
            </w:pPr>
          </w:p>
        </w:tc>
        <w:tc>
          <w:tcPr>
            <w:tcW w:w="860" w:type="dxa"/>
            <w:vAlign w:val="bottom"/>
            <w:shd w:val="clear" w:color="auto" w:fill="E6E6E6"/>
          </w:tcPr>
          <w:p>
            <w:pPr>
              <w:jc w:val="right"/>
              <w:ind w:right="54"/>
              <w:spacing w:after="0" w:line="202" w:lineRule="exact"/>
              <w:rPr>
                <w:sz w:val="20"/>
                <w:szCs w:val="20"/>
                <w:color w:val="auto"/>
              </w:rPr>
            </w:pPr>
            <w:r>
              <w:rPr>
                <w:rFonts w:ascii="Arial" w:cs="Arial" w:eastAsia="Arial" w:hAnsi="Arial"/>
                <w:sz w:val="18"/>
                <w:szCs w:val="18"/>
                <w:color w:val="auto"/>
              </w:rPr>
              <w:t>(0.12)</w:t>
            </w:r>
          </w:p>
        </w:tc>
        <w:tc>
          <w:tcPr>
            <w:tcW w:w="400" w:type="dxa"/>
            <w:vAlign w:val="bottom"/>
            <w:shd w:val="clear" w:color="auto" w:fill="E6E6E6"/>
          </w:tcPr>
          <w:p>
            <w:pPr>
              <w:spacing w:after="0"/>
              <w:rPr>
                <w:sz w:val="17"/>
                <w:szCs w:val="17"/>
                <w:color w:val="auto"/>
              </w:rPr>
            </w:pPr>
          </w:p>
        </w:tc>
        <w:tc>
          <w:tcPr>
            <w:tcW w:w="860" w:type="dxa"/>
            <w:vAlign w:val="bottom"/>
            <w:shd w:val="clear" w:color="auto" w:fill="E6E6E6"/>
          </w:tcPr>
          <w:p>
            <w:pPr>
              <w:jc w:val="right"/>
              <w:ind w:right="114"/>
              <w:spacing w:after="0" w:line="202" w:lineRule="exact"/>
              <w:rPr>
                <w:sz w:val="20"/>
                <w:szCs w:val="20"/>
                <w:color w:val="auto"/>
              </w:rPr>
            </w:pPr>
            <w:r>
              <w:rPr>
                <w:rFonts w:ascii="Arial" w:cs="Arial" w:eastAsia="Arial" w:hAnsi="Arial"/>
                <w:sz w:val="18"/>
                <w:szCs w:val="18"/>
                <w:color w:val="auto"/>
              </w:rPr>
              <w:t>0.84</w:t>
            </w:r>
          </w:p>
        </w:tc>
        <w:tc>
          <w:tcPr>
            <w:tcW w:w="360" w:type="dxa"/>
            <w:vAlign w:val="bottom"/>
            <w:shd w:val="clear" w:color="auto" w:fill="E6E6E6"/>
          </w:tcPr>
          <w:p>
            <w:pPr>
              <w:spacing w:after="0"/>
              <w:rPr>
                <w:sz w:val="17"/>
                <w:szCs w:val="17"/>
                <w:color w:val="auto"/>
              </w:rPr>
            </w:pPr>
          </w:p>
        </w:tc>
        <w:tc>
          <w:tcPr>
            <w:tcW w:w="840" w:type="dxa"/>
            <w:vAlign w:val="bottom"/>
            <w:shd w:val="clear" w:color="auto" w:fill="E6E6E6"/>
          </w:tcPr>
          <w:p>
            <w:pPr>
              <w:jc w:val="right"/>
              <w:ind w:right="35"/>
              <w:spacing w:after="0" w:line="202" w:lineRule="exact"/>
              <w:rPr>
                <w:sz w:val="20"/>
                <w:szCs w:val="20"/>
                <w:color w:val="auto"/>
              </w:rPr>
            </w:pPr>
            <w:r>
              <w:rPr>
                <w:rFonts w:ascii="Arial" w:cs="Arial" w:eastAsia="Arial" w:hAnsi="Arial"/>
                <w:sz w:val="18"/>
                <w:szCs w:val="18"/>
                <w:color w:val="auto"/>
              </w:rPr>
              <w:t>1.59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60" w:type="dxa"/>
            <w:vAlign w:val="bottom"/>
          </w:tcPr>
          <w:p>
            <w:pPr>
              <w:ind w:left="300"/>
              <w:spacing w:after="0" w:line="202" w:lineRule="exact"/>
              <w:rPr>
                <w:sz w:val="20"/>
                <w:szCs w:val="20"/>
                <w:color w:val="auto"/>
              </w:rPr>
            </w:pPr>
            <w:r>
              <w:rPr>
                <w:rFonts w:ascii="Arial" w:cs="Arial" w:eastAsia="Arial" w:hAnsi="Arial"/>
                <w:sz w:val="18"/>
                <w:szCs w:val="18"/>
                <w:color w:val="auto"/>
              </w:rPr>
              <w:t>Earnings (loss) from discontinued operations, net of tax</w:t>
            </w:r>
          </w:p>
        </w:tc>
        <w:tc>
          <w:tcPr>
            <w:tcW w:w="620" w:type="dxa"/>
            <w:vAlign w:val="bottom"/>
          </w:tcPr>
          <w:p>
            <w:pPr>
              <w:spacing w:after="0"/>
              <w:rPr>
                <w:sz w:val="17"/>
                <w:szCs w:val="17"/>
                <w:color w:val="auto"/>
              </w:rPr>
            </w:pPr>
          </w:p>
        </w:tc>
        <w:tc>
          <w:tcPr>
            <w:tcW w:w="840" w:type="dxa"/>
            <w:vAlign w:val="bottom"/>
          </w:tcPr>
          <w:p>
            <w:pPr>
              <w:jc w:val="right"/>
              <w:ind w:right="114"/>
              <w:spacing w:after="0" w:line="202" w:lineRule="exact"/>
              <w:rPr>
                <w:sz w:val="20"/>
                <w:szCs w:val="20"/>
                <w:color w:val="auto"/>
              </w:rPr>
            </w:pPr>
            <w:r>
              <w:rPr>
                <w:rFonts w:ascii="Arial" w:cs="Arial" w:eastAsia="Arial" w:hAnsi="Arial"/>
                <w:sz w:val="18"/>
                <w:szCs w:val="18"/>
                <w:color w:val="auto"/>
              </w:rPr>
              <w:t>0.05</w:t>
            </w:r>
          </w:p>
        </w:tc>
        <w:tc>
          <w:tcPr>
            <w:tcW w:w="400" w:type="dxa"/>
            <w:vAlign w:val="bottom"/>
          </w:tcPr>
          <w:p>
            <w:pPr>
              <w:spacing w:after="0"/>
              <w:rPr>
                <w:sz w:val="17"/>
                <w:szCs w:val="17"/>
                <w:color w:val="auto"/>
              </w:rPr>
            </w:pPr>
          </w:p>
        </w:tc>
        <w:tc>
          <w:tcPr>
            <w:tcW w:w="860" w:type="dxa"/>
            <w:vAlign w:val="bottom"/>
          </w:tcPr>
          <w:p>
            <w:pPr>
              <w:jc w:val="right"/>
              <w:ind w:right="54"/>
              <w:spacing w:after="0" w:line="202" w:lineRule="exact"/>
              <w:rPr>
                <w:sz w:val="20"/>
                <w:szCs w:val="20"/>
                <w:color w:val="auto"/>
              </w:rPr>
            </w:pPr>
            <w:r>
              <w:rPr>
                <w:rFonts w:ascii="Arial" w:cs="Arial" w:eastAsia="Arial" w:hAnsi="Arial"/>
                <w:sz w:val="18"/>
                <w:szCs w:val="18"/>
                <w:color w:val="auto"/>
              </w:rPr>
              <w:t>(0.03)</w:t>
            </w:r>
          </w:p>
        </w:tc>
        <w:tc>
          <w:tcPr>
            <w:tcW w:w="400" w:type="dxa"/>
            <w:vAlign w:val="bottom"/>
          </w:tcPr>
          <w:p>
            <w:pPr>
              <w:spacing w:after="0"/>
              <w:rPr>
                <w:sz w:val="17"/>
                <w:szCs w:val="17"/>
                <w:color w:val="auto"/>
              </w:rPr>
            </w:pPr>
          </w:p>
        </w:tc>
        <w:tc>
          <w:tcPr>
            <w:tcW w:w="860" w:type="dxa"/>
            <w:vAlign w:val="bottom"/>
          </w:tcPr>
          <w:p>
            <w:pPr>
              <w:jc w:val="right"/>
              <w:ind w:right="54"/>
              <w:spacing w:after="0" w:line="202" w:lineRule="exact"/>
              <w:rPr>
                <w:sz w:val="20"/>
                <w:szCs w:val="20"/>
                <w:color w:val="auto"/>
              </w:rPr>
            </w:pPr>
            <w:r>
              <w:rPr>
                <w:rFonts w:ascii="Arial" w:cs="Arial" w:eastAsia="Arial" w:hAnsi="Arial"/>
                <w:sz w:val="18"/>
                <w:szCs w:val="18"/>
                <w:color w:val="auto"/>
              </w:rPr>
              <w:t>(0.03)</w:t>
            </w:r>
          </w:p>
        </w:tc>
        <w:tc>
          <w:tcPr>
            <w:tcW w:w="400" w:type="dxa"/>
            <w:vAlign w:val="bottom"/>
          </w:tcPr>
          <w:p>
            <w:pPr>
              <w:spacing w:after="0"/>
              <w:rPr>
                <w:sz w:val="17"/>
                <w:szCs w:val="17"/>
                <w:color w:val="auto"/>
              </w:rPr>
            </w:pPr>
          </w:p>
        </w:tc>
        <w:tc>
          <w:tcPr>
            <w:tcW w:w="860" w:type="dxa"/>
            <w:vAlign w:val="bottom"/>
          </w:tcPr>
          <w:p>
            <w:pPr>
              <w:jc w:val="right"/>
              <w:ind w:right="54"/>
              <w:spacing w:after="0" w:line="202" w:lineRule="exact"/>
              <w:rPr>
                <w:sz w:val="20"/>
                <w:szCs w:val="20"/>
                <w:color w:val="auto"/>
              </w:rPr>
            </w:pPr>
            <w:r>
              <w:rPr>
                <w:rFonts w:ascii="Arial" w:cs="Arial" w:eastAsia="Arial" w:hAnsi="Arial"/>
                <w:sz w:val="18"/>
                <w:szCs w:val="18"/>
                <w:color w:val="auto"/>
              </w:rPr>
              <w:t>(0.05)</w:t>
            </w:r>
          </w:p>
        </w:tc>
        <w:tc>
          <w:tcPr>
            <w:tcW w:w="36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(0.07)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60" w:type="dxa"/>
            <w:vAlign w:val="bottom"/>
            <w:shd w:val="clear" w:color="auto" w:fill="E6E6E6"/>
          </w:tcPr>
          <w:p>
            <w:pPr>
              <w:ind w:left="300"/>
              <w:spacing w:after="0" w:line="202" w:lineRule="exact"/>
              <w:rPr>
                <w:sz w:val="20"/>
                <w:szCs w:val="20"/>
                <w:color w:val="auto"/>
              </w:rPr>
            </w:pPr>
            <w:r>
              <w:rPr>
                <w:rFonts w:ascii="Arial" w:cs="Arial" w:eastAsia="Arial" w:hAnsi="Arial"/>
                <w:sz w:val="18"/>
                <w:szCs w:val="18"/>
                <w:color w:val="auto"/>
              </w:rPr>
              <w:t>Net (loss) income</w:t>
            </w:r>
          </w:p>
        </w:tc>
        <w:tc>
          <w:tcPr>
            <w:tcW w:w="620" w:type="dxa"/>
            <w:vAlign w:val="bottom"/>
            <w:shd w:val="clear" w:color="auto" w:fill="E6E6E6"/>
          </w:tcPr>
          <w:p>
            <w:pPr>
              <w:spacing w:after="0"/>
              <w:rPr>
                <w:sz w:val="17"/>
                <w:szCs w:val="17"/>
                <w:color w:val="auto"/>
              </w:rPr>
            </w:pPr>
          </w:p>
        </w:tc>
        <w:tc>
          <w:tcPr>
            <w:tcW w:w="840" w:type="dxa"/>
            <w:vAlign w:val="bottom"/>
            <w:shd w:val="clear" w:color="auto" w:fill="E6E6E6"/>
          </w:tcPr>
          <w:p>
            <w:pPr>
              <w:jc w:val="right"/>
              <w:ind w:right="54"/>
              <w:spacing w:after="0" w:line="202" w:lineRule="exact"/>
              <w:rPr>
                <w:sz w:val="20"/>
                <w:szCs w:val="20"/>
                <w:color w:val="auto"/>
              </w:rPr>
            </w:pPr>
            <w:r>
              <w:rPr>
                <w:rFonts w:ascii="Arial" w:cs="Arial" w:eastAsia="Arial" w:hAnsi="Arial"/>
                <w:sz w:val="18"/>
                <w:szCs w:val="18"/>
                <w:color w:val="auto"/>
              </w:rPr>
              <w:t>(0.63)</w:t>
            </w:r>
          </w:p>
        </w:tc>
        <w:tc>
          <w:tcPr>
            <w:tcW w:w="400" w:type="dxa"/>
            <w:vAlign w:val="bottom"/>
            <w:shd w:val="clear" w:color="auto" w:fill="E6E6E6"/>
          </w:tcPr>
          <w:p>
            <w:pPr>
              <w:spacing w:after="0"/>
              <w:rPr>
                <w:sz w:val="17"/>
                <w:szCs w:val="17"/>
                <w:color w:val="auto"/>
              </w:rPr>
            </w:pPr>
          </w:p>
        </w:tc>
        <w:tc>
          <w:tcPr>
            <w:tcW w:w="860" w:type="dxa"/>
            <w:vAlign w:val="bottom"/>
            <w:shd w:val="clear" w:color="auto" w:fill="E6E6E6"/>
          </w:tcPr>
          <w:p>
            <w:pPr>
              <w:jc w:val="right"/>
              <w:ind w:right="114"/>
              <w:spacing w:after="0" w:line="202" w:lineRule="exact"/>
              <w:rPr>
                <w:sz w:val="20"/>
                <w:szCs w:val="20"/>
                <w:color w:val="auto"/>
              </w:rPr>
            </w:pPr>
            <w:r>
              <w:rPr>
                <w:rFonts w:ascii="Arial" w:cs="Arial" w:eastAsia="Arial" w:hAnsi="Arial"/>
                <w:sz w:val="18"/>
                <w:szCs w:val="18"/>
                <w:color w:val="auto"/>
              </w:rPr>
              <w:t>1.51</w:t>
            </w:r>
          </w:p>
        </w:tc>
        <w:tc>
          <w:tcPr>
            <w:tcW w:w="400" w:type="dxa"/>
            <w:vAlign w:val="bottom"/>
            <w:shd w:val="clear" w:color="auto" w:fill="E6E6E6"/>
          </w:tcPr>
          <w:p>
            <w:pPr>
              <w:spacing w:after="0"/>
              <w:rPr>
                <w:sz w:val="17"/>
                <w:szCs w:val="17"/>
                <w:color w:val="auto"/>
              </w:rPr>
            </w:pPr>
          </w:p>
        </w:tc>
        <w:tc>
          <w:tcPr>
            <w:tcW w:w="860" w:type="dxa"/>
            <w:vAlign w:val="bottom"/>
            <w:shd w:val="clear" w:color="auto" w:fill="E6E6E6"/>
          </w:tcPr>
          <w:p>
            <w:pPr>
              <w:jc w:val="right"/>
              <w:ind w:right="54"/>
              <w:spacing w:after="0" w:line="202" w:lineRule="exact"/>
              <w:rPr>
                <w:sz w:val="20"/>
                <w:szCs w:val="20"/>
                <w:color w:val="auto"/>
              </w:rPr>
            </w:pPr>
            <w:r>
              <w:rPr>
                <w:rFonts w:ascii="Arial" w:cs="Arial" w:eastAsia="Arial" w:hAnsi="Arial"/>
                <w:sz w:val="18"/>
                <w:szCs w:val="18"/>
                <w:color w:val="auto"/>
              </w:rPr>
              <w:t>(0.15)</w:t>
            </w:r>
          </w:p>
        </w:tc>
        <w:tc>
          <w:tcPr>
            <w:tcW w:w="400" w:type="dxa"/>
            <w:vAlign w:val="bottom"/>
            <w:shd w:val="clear" w:color="auto" w:fill="E6E6E6"/>
          </w:tcPr>
          <w:p>
            <w:pPr>
              <w:spacing w:after="0"/>
              <w:rPr>
                <w:sz w:val="17"/>
                <w:szCs w:val="17"/>
                <w:color w:val="auto"/>
              </w:rPr>
            </w:pPr>
          </w:p>
        </w:tc>
        <w:tc>
          <w:tcPr>
            <w:tcW w:w="860" w:type="dxa"/>
            <w:vAlign w:val="bottom"/>
            <w:shd w:val="clear" w:color="auto" w:fill="E6E6E6"/>
          </w:tcPr>
          <w:p>
            <w:pPr>
              <w:jc w:val="right"/>
              <w:ind w:right="114"/>
              <w:spacing w:after="0" w:line="202" w:lineRule="exact"/>
              <w:rPr>
                <w:sz w:val="20"/>
                <w:szCs w:val="20"/>
                <w:color w:val="auto"/>
              </w:rPr>
            </w:pPr>
            <w:r>
              <w:rPr>
                <w:rFonts w:ascii="Arial" w:cs="Arial" w:eastAsia="Arial" w:hAnsi="Arial"/>
                <w:sz w:val="18"/>
                <w:szCs w:val="18"/>
                <w:color w:val="auto"/>
              </w:rPr>
              <w:t>0.79</w:t>
            </w:r>
          </w:p>
        </w:tc>
        <w:tc>
          <w:tcPr>
            <w:tcW w:w="360" w:type="dxa"/>
            <w:vAlign w:val="bottom"/>
            <w:shd w:val="clear" w:color="auto" w:fill="E6E6E6"/>
          </w:tcPr>
          <w:p>
            <w:pPr>
              <w:spacing w:after="0"/>
              <w:rPr>
                <w:sz w:val="17"/>
                <w:szCs w:val="17"/>
                <w:color w:val="auto"/>
              </w:rPr>
            </w:pPr>
          </w:p>
        </w:tc>
        <w:tc>
          <w:tcPr>
            <w:tcW w:w="840" w:type="dxa"/>
            <w:vAlign w:val="bottom"/>
            <w:shd w:val="clear" w:color="auto" w:fill="E6E6E6"/>
          </w:tcPr>
          <w:p>
            <w:pPr>
              <w:jc w:val="right"/>
              <w:ind w:right="35"/>
              <w:spacing w:after="0" w:line="202" w:lineRule="exact"/>
              <w:rPr>
                <w:sz w:val="20"/>
                <w:szCs w:val="20"/>
                <w:color w:val="auto"/>
              </w:rPr>
            </w:pPr>
            <w:r>
              <w:rPr>
                <w:rFonts w:ascii="Arial" w:cs="Arial" w:eastAsia="Arial" w:hAnsi="Arial"/>
                <w:sz w:val="18"/>
                <w:szCs w:val="18"/>
                <w:color w:val="auto"/>
              </w:rPr>
              <w:t>1.52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96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980" w:type="dxa"/>
            <w:vAlign w:val="bottom"/>
            <w:gridSpan w:val="2"/>
          </w:tcPr>
          <w:p>
            <w:pPr>
              <w:spacing w:after="0"/>
              <w:rPr>
                <w:sz w:val="20"/>
                <w:szCs w:val="20"/>
                <w:color w:val="auto"/>
              </w:rPr>
            </w:pPr>
            <w:r>
              <w:rPr>
                <w:rFonts w:ascii="Arial" w:cs="Arial" w:eastAsia="Arial" w:hAnsi="Arial"/>
                <w:sz w:val="18"/>
                <w:szCs w:val="18"/>
                <w:b w:val="1"/>
                <w:bCs w:val="1"/>
                <w:color w:val="auto"/>
              </w:rPr>
              <w:t>2009</w:t>
            </w:r>
          </w:p>
        </w:tc>
        <w:tc>
          <w:tcPr>
            <w:tcW w:w="6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4980" w:type="dxa"/>
            <w:vAlign w:val="bottom"/>
            <w:tcBorders>
              <w:bottom w:val="single" w:sz="8" w:color="808080"/>
            </w:tcBorders>
            <w:gridSpan w:val="2"/>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4980" w:type="dxa"/>
            <w:vAlign w:val="bottom"/>
            <w:gridSpan w:val="2"/>
          </w:tcPr>
          <w:p>
            <w:pPr>
              <w:spacing w:after="0"/>
              <w:rPr>
                <w:sz w:val="8"/>
                <w:szCs w:val="8"/>
                <w:color w:val="auto"/>
              </w:rPr>
            </w:pPr>
          </w:p>
        </w:tc>
        <w:tc>
          <w:tcPr>
            <w:tcW w:w="62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0" w:type="dxa"/>
            <w:vAlign w:val="bottom"/>
          </w:tcPr>
          <w:p>
            <w:pPr>
              <w:spacing w:after="0"/>
              <w:rPr>
                <w:sz w:val="8"/>
                <w:szCs w:val="8"/>
                <w:color w:val="auto"/>
              </w:rPr>
            </w:pPr>
          </w:p>
        </w:tc>
        <w:tc>
          <w:tcPr>
            <w:tcW w:w="860" w:type="dxa"/>
            <w:vAlign w:val="bottom"/>
          </w:tcPr>
          <w:p>
            <w:pPr>
              <w:spacing w:after="0"/>
              <w:rPr>
                <w:sz w:val="8"/>
                <w:szCs w:val="8"/>
                <w:color w:val="auto"/>
              </w:rPr>
            </w:pPr>
          </w:p>
        </w:tc>
        <w:tc>
          <w:tcPr>
            <w:tcW w:w="400" w:type="dxa"/>
            <w:vAlign w:val="bottom"/>
          </w:tcPr>
          <w:p>
            <w:pPr>
              <w:spacing w:after="0"/>
              <w:rPr>
                <w:sz w:val="8"/>
                <w:szCs w:val="8"/>
                <w:color w:val="auto"/>
              </w:rPr>
            </w:pPr>
          </w:p>
        </w:tc>
        <w:tc>
          <w:tcPr>
            <w:tcW w:w="860" w:type="dxa"/>
            <w:vAlign w:val="bottom"/>
          </w:tcPr>
          <w:p>
            <w:pPr>
              <w:spacing w:after="0"/>
              <w:rPr>
                <w:sz w:val="8"/>
                <w:szCs w:val="8"/>
                <w:color w:val="auto"/>
              </w:rPr>
            </w:pPr>
          </w:p>
        </w:tc>
        <w:tc>
          <w:tcPr>
            <w:tcW w:w="400" w:type="dxa"/>
            <w:vAlign w:val="bottom"/>
          </w:tcPr>
          <w:p>
            <w:pPr>
              <w:spacing w:after="0"/>
              <w:rPr>
                <w:sz w:val="8"/>
                <w:szCs w:val="8"/>
                <w:color w:val="auto"/>
              </w:rPr>
            </w:pPr>
          </w:p>
        </w:tc>
        <w:tc>
          <w:tcPr>
            <w:tcW w:w="860" w:type="dxa"/>
            <w:vAlign w:val="bottom"/>
          </w:tcPr>
          <w:p>
            <w:pPr>
              <w:spacing w:after="0"/>
              <w:rPr>
                <w:sz w:val="8"/>
                <w:szCs w:val="8"/>
                <w:color w:val="auto"/>
              </w:rPr>
            </w:pPr>
          </w:p>
        </w:tc>
        <w:tc>
          <w:tcPr>
            <w:tcW w:w="36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6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Revenues</w:t>
            </w:r>
          </w:p>
        </w:tc>
        <w:tc>
          <w:tcPr>
            <w:tcW w:w="620" w:type="dxa"/>
            <w:vAlign w:val="bottom"/>
            <w:shd w:val="clear" w:color="auto" w:fill="E6E6E6"/>
          </w:tcPr>
          <w:p>
            <w:pPr>
              <w:jc w:val="right"/>
              <w:ind w:right="92"/>
              <w:spacing w:after="0" w:line="202" w:lineRule="exact"/>
              <w:rPr>
                <w:sz w:val="20"/>
                <w:szCs w:val="20"/>
                <w:color w:val="auto"/>
              </w:rPr>
            </w:pPr>
            <w:r>
              <w:rPr>
                <w:rFonts w:ascii="Arial" w:cs="Arial" w:eastAsia="Arial" w:hAnsi="Arial"/>
                <w:sz w:val="18"/>
                <w:szCs w:val="18"/>
                <w:color w:val="auto"/>
              </w:rPr>
              <w:t>$</w:t>
            </w:r>
          </w:p>
        </w:tc>
        <w:tc>
          <w:tcPr>
            <w:tcW w:w="840" w:type="dxa"/>
            <w:vAlign w:val="bottom"/>
            <w:shd w:val="clear" w:color="auto" w:fill="E6E6E6"/>
          </w:tcPr>
          <w:p>
            <w:pPr>
              <w:jc w:val="right"/>
              <w:ind w:right="114"/>
              <w:spacing w:after="0" w:line="202" w:lineRule="exact"/>
              <w:rPr>
                <w:sz w:val="20"/>
                <w:szCs w:val="20"/>
                <w:color w:val="auto"/>
              </w:rPr>
            </w:pPr>
            <w:r>
              <w:rPr>
                <w:rFonts w:ascii="Arial" w:cs="Arial" w:eastAsia="Arial" w:hAnsi="Arial"/>
                <w:sz w:val="18"/>
                <w:szCs w:val="18"/>
                <w:color w:val="auto"/>
              </w:rPr>
              <w:t>276.4</w:t>
            </w:r>
          </w:p>
        </w:tc>
        <w:tc>
          <w:tcPr>
            <w:tcW w:w="400" w:type="dxa"/>
            <w:vAlign w:val="bottom"/>
            <w:shd w:val="clear" w:color="auto" w:fill="E6E6E6"/>
          </w:tcPr>
          <w:p>
            <w:pPr>
              <w:jc w:val="right"/>
              <w:ind w:right="72"/>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E6E6E6"/>
          </w:tcPr>
          <w:p>
            <w:pPr>
              <w:jc w:val="right"/>
              <w:ind w:right="114"/>
              <w:spacing w:after="0" w:line="202" w:lineRule="exact"/>
              <w:rPr>
                <w:sz w:val="20"/>
                <w:szCs w:val="20"/>
                <w:color w:val="auto"/>
              </w:rPr>
            </w:pPr>
            <w:r>
              <w:rPr>
                <w:rFonts w:ascii="Arial" w:cs="Arial" w:eastAsia="Arial" w:hAnsi="Arial"/>
                <w:sz w:val="18"/>
                <w:szCs w:val="18"/>
                <w:color w:val="auto"/>
              </w:rPr>
              <w:t>653.3</w:t>
            </w:r>
          </w:p>
        </w:tc>
        <w:tc>
          <w:tcPr>
            <w:tcW w:w="400" w:type="dxa"/>
            <w:vAlign w:val="bottom"/>
            <w:shd w:val="clear" w:color="auto" w:fill="E6E6E6"/>
          </w:tcPr>
          <w:p>
            <w:pPr>
              <w:jc w:val="right"/>
              <w:ind w:right="72"/>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E6E6E6"/>
          </w:tcPr>
          <w:p>
            <w:pPr>
              <w:jc w:val="right"/>
              <w:ind w:right="114"/>
              <w:spacing w:after="0" w:line="202" w:lineRule="exact"/>
              <w:rPr>
                <w:sz w:val="20"/>
                <w:szCs w:val="20"/>
                <w:color w:val="auto"/>
              </w:rPr>
            </w:pPr>
            <w:r>
              <w:rPr>
                <w:rFonts w:ascii="Arial" w:cs="Arial" w:eastAsia="Arial" w:hAnsi="Arial"/>
                <w:sz w:val="18"/>
                <w:szCs w:val="18"/>
                <w:color w:val="auto"/>
              </w:rPr>
              <w:t>423.6</w:t>
            </w:r>
          </w:p>
        </w:tc>
        <w:tc>
          <w:tcPr>
            <w:tcW w:w="400" w:type="dxa"/>
            <w:vAlign w:val="bottom"/>
            <w:shd w:val="clear" w:color="auto" w:fill="E6E6E6"/>
          </w:tcPr>
          <w:p>
            <w:pPr>
              <w:jc w:val="right"/>
              <w:ind w:right="72"/>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E6E6E6"/>
          </w:tcPr>
          <w:p>
            <w:pPr>
              <w:jc w:val="right"/>
              <w:ind w:right="114"/>
              <w:spacing w:after="0" w:line="202" w:lineRule="exact"/>
              <w:rPr>
                <w:sz w:val="20"/>
                <w:szCs w:val="20"/>
                <w:color w:val="auto"/>
              </w:rPr>
            </w:pPr>
            <w:r>
              <w:rPr>
                <w:rFonts w:ascii="Arial" w:cs="Arial" w:eastAsia="Arial" w:hAnsi="Arial"/>
                <w:sz w:val="18"/>
                <w:szCs w:val="18"/>
                <w:color w:val="auto"/>
              </w:rPr>
              <w:t>496.0</w:t>
            </w:r>
          </w:p>
        </w:tc>
        <w:tc>
          <w:tcPr>
            <w:tcW w:w="360" w:type="dxa"/>
            <w:vAlign w:val="bottom"/>
            <w:shd w:val="clear" w:color="auto" w:fill="E6E6E6"/>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840" w:type="dxa"/>
            <w:vAlign w:val="bottom"/>
            <w:shd w:val="clear" w:color="auto" w:fill="E6E6E6"/>
          </w:tcPr>
          <w:p>
            <w:pPr>
              <w:jc w:val="right"/>
              <w:ind w:right="35"/>
              <w:spacing w:after="0" w:line="202" w:lineRule="exact"/>
              <w:rPr>
                <w:sz w:val="20"/>
                <w:szCs w:val="20"/>
                <w:color w:val="auto"/>
              </w:rPr>
            </w:pPr>
            <w:r>
              <w:rPr>
                <w:rFonts w:ascii="Arial" w:cs="Arial" w:eastAsia="Arial" w:hAnsi="Arial"/>
                <w:sz w:val="18"/>
                <w:szCs w:val="18"/>
                <w:color w:val="auto"/>
              </w:rPr>
              <w:t>1,849.3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80" w:type="dxa"/>
            <w:vAlign w:val="bottom"/>
            <w:gridSpan w:val="2"/>
          </w:tcPr>
          <w:p>
            <w:pPr>
              <w:spacing w:after="0" w:line="202" w:lineRule="exact"/>
              <w:rPr>
                <w:sz w:val="20"/>
                <w:szCs w:val="20"/>
                <w:color w:val="auto"/>
              </w:rPr>
            </w:pPr>
            <w:r>
              <w:rPr>
                <w:rFonts w:ascii="Arial" w:cs="Arial" w:eastAsia="Arial" w:hAnsi="Arial"/>
                <w:sz w:val="18"/>
                <w:szCs w:val="18"/>
                <w:color w:val="auto"/>
              </w:rPr>
              <w:t>Cost of goods sold</w:t>
            </w:r>
          </w:p>
        </w:tc>
        <w:tc>
          <w:tcPr>
            <w:tcW w:w="620" w:type="dxa"/>
            <w:vAlign w:val="bottom"/>
          </w:tcPr>
          <w:p>
            <w:pPr>
              <w:spacing w:after="0"/>
              <w:rPr>
                <w:sz w:val="17"/>
                <w:szCs w:val="17"/>
                <w:color w:val="auto"/>
              </w:rPr>
            </w:pPr>
          </w:p>
        </w:tc>
        <w:tc>
          <w:tcPr>
            <w:tcW w:w="840" w:type="dxa"/>
            <w:vAlign w:val="bottom"/>
          </w:tcPr>
          <w:p>
            <w:pPr>
              <w:jc w:val="right"/>
              <w:ind w:right="114"/>
              <w:spacing w:after="0" w:line="202" w:lineRule="exact"/>
              <w:rPr>
                <w:sz w:val="20"/>
                <w:szCs w:val="20"/>
                <w:color w:val="auto"/>
              </w:rPr>
            </w:pPr>
            <w:r>
              <w:rPr>
                <w:rFonts w:ascii="Arial" w:cs="Arial" w:eastAsia="Arial" w:hAnsi="Arial"/>
                <w:sz w:val="18"/>
                <w:szCs w:val="18"/>
                <w:color w:val="auto"/>
              </w:rPr>
              <w:t>148.5</w:t>
            </w:r>
          </w:p>
        </w:tc>
        <w:tc>
          <w:tcPr>
            <w:tcW w:w="400" w:type="dxa"/>
            <w:vAlign w:val="bottom"/>
          </w:tcPr>
          <w:p>
            <w:pPr>
              <w:spacing w:after="0"/>
              <w:rPr>
                <w:sz w:val="17"/>
                <w:szCs w:val="17"/>
                <w:color w:val="auto"/>
              </w:rPr>
            </w:pPr>
          </w:p>
        </w:tc>
        <w:tc>
          <w:tcPr>
            <w:tcW w:w="860" w:type="dxa"/>
            <w:vAlign w:val="bottom"/>
          </w:tcPr>
          <w:p>
            <w:pPr>
              <w:jc w:val="right"/>
              <w:ind w:right="114"/>
              <w:spacing w:after="0" w:line="202" w:lineRule="exact"/>
              <w:rPr>
                <w:sz w:val="20"/>
                <w:szCs w:val="20"/>
                <w:color w:val="auto"/>
              </w:rPr>
            </w:pPr>
            <w:r>
              <w:rPr>
                <w:rFonts w:ascii="Arial" w:cs="Arial" w:eastAsia="Arial" w:hAnsi="Arial"/>
                <w:sz w:val="18"/>
                <w:szCs w:val="18"/>
                <w:color w:val="auto"/>
              </w:rPr>
              <w:t>284.8</w:t>
            </w:r>
          </w:p>
        </w:tc>
        <w:tc>
          <w:tcPr>
            <w:tcW w:w="400" w:type="dxa"/>
            <w:vAlign w:val="bottom"/>
          </w:tcPr>
          <w:p>
            <w:pPr>
              <w:spacing w:after="0"/>
              <w:rPr>
                <w:sz w:val="17"/>
                <w:szCs w:val="17"/>
                <w:color w:val="auto"/>
              </w:rPr>
            </w:pPr>
          </w:p>
        </w:tc>
        <w:tc>
          <w:tcPr>
            <w:tcW w:w="860" w:type="dxa"/>
            <w:vAlign w:val="bottom"/>
          </w:tcPr>
          <w:p>
            <w:pPr>
              <w:jc w:val="right"/>
              <w:ind w:right="114"/>
              <w:spacing w:after="0" w:line="202" w:lineRule="exact"/>
              <w:rPr>
                <w:sz w:val="20"/>
                <w:szCs w:val="20"/>
                <w:color w:val="auto"/>
              </w:rPr>
            </w:pPr>
            <w:r>
              <w:rPr>
                <w:rFonts w:ascii="Arial" w:cs="Arial" w:eastAsia="Arial" w:hAnsi="Arial"/>
                <w:sz w:val="18"/>
                <w:szCs w:val="18"/>
                <w:color w:val="auto"/>
              </w:rPr>
              <w:t>216.6</w:t>
            </w:r>
          </w:p>
        </w:tc>
        <w:tc>
          <w:tcPr>
            <w:tcW w:w="400" w:type="dxa"/>
            <w:vAlign w:val="bottom"/>
          </w:tcPr>
          <w:p>
            <w:pPr>
              <w:spacing w:after="0"/>
              <w:rPr>
                <w:sz w:val="17"/>
                <w:szCs w:val="17"/>
                <w:color w:val="auto"/>
              </w:rPr>
            </w:pPr>
          </w:p>
        </w:tc>
        <w:tc>
          <w:tcPr>
            <w:tcW w:w="860" w:type="dxa"/>
            <w:vAlign w:val="bottom"/>
          </w:tcPr>
          <w:p>
            <w:pPr>
              <w:jc w:val="right"/>
              <w:ind w:right="114"/>
              <w:spacing w:after="0" w:line="202" w:lineRule="exact"/>
              <w:rPr>
                <w:sz w:val="20"/>
                <w:szCs w:val="20"/>
                <w:color w:val="auto"/>
              </w:rPr>
            </w:pPr>
            <w:r>
              <w:rPr>
                <w:rFonts w:ascii="Arial" w:cs="Arial" w:eastAsia="Arial" w:hAnsi="Arial"/>
                <w:sz w:val="18"/>
                <w:szCs w:val="18"/>
                <w:color w:val="auto"/>
              </w:rPr>
              <w:t>231.8</w:t>
            </w:r>
          </w:p>
        </w:tc>
        <w:tc>
          <w:tcPr>
            <w:tcW w:w="360" w:type="dxa"/>
            <w:vAlign w:val="bottom"/>
          </w:tcPr>
          <w:p>
            <w:pPr>
              <w:spacing w:after="0"/>
              <w:rPr>
                <w:sz w:val="17"/>
                <w:szCs w:val="17"/>
                <w:color w:val="auto"/>
              </w:rPr>
            </w:pPr>
          </w:p>
        </w:tc>
        <w:tc>
          <w:tcPr>
            <w:tcW w:w="840" w:type="dxa"/>
            <w:vAlign w:val="bottom"/>
          </w:tcPr>
          <w:p>
            <w:pPr>
              <w:jc w:val="right"/>
              <w:ind w:right="35"/>
              <w:spacing w:after="0" w:line="202" w:lineRule="exact"/>
              <w:rPr>
                <w:sz w:val="20"/>
                <w:szCs w:val="20"/>
                <w:color w:val="auto"/>
              </w:rPr>
            </w:pPr>
            <w:r>
              <w:rPr>
                <w:rFonts w:ascii="Arial" w:cs="Arial" w:eastAsia="Arial" w:hAnsi="Arial"/>
                <w:sz w:val="18"/>
                <w:szCs w:val="18"/>
                <w:color w:val="auto"/>
              </w:rPr>
              <w:t>881.7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6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(Loss) earnings from continuing operations</w:t>
            </w:r>
          </w:p>
        </w:tc>
        <w:tc>
          <w:tcPr>
            <w:tcW w:w="620" w:type="dxa"/>
            <w:vAlign w:val="bottom"/>
            <w:shd w:val="clear" w:color="auto" w:fill="E6E6E6"/>
          </w:tcPr>
          <w:p>
            <w:pPr>
              <w:spacing w:after="0"/>
              <w:rPr>
                <w:sz w:val="17"/>
                <w:szCs w:val="17"/>
                <w:color w:val="auto"/>
              </w:rPr>
            </w:pPr>
          </w:p>
        </w:tc>
        <w:tc>
          <w:tcPr>
            <w:tcW w:w="840" w:type="dxa"/>
            <w:vAlign w:val="bottom"/>
            <w:shd w:val="clear" w:color="auto" w:fill="E6E6E6"/>
          </w:tcPr>
          <w:p>
            <w:pPr>
              <w:jc w:val="right"/>
              <w:ind w:right="54"/>
              <w:spacing w:after="0" w:line="202" w:lineRule="exact"/>
              <w:rPr>
                <w:sz w:val="20"/>
                <w:szCs w:val="20"/>
                <w:color w:val="auto"/>
              </w:rPr>
            </w:pPr>
            <w:r>
              <w:rPr>
                <w:rFonts w:ascii="Arial" w:cs="Arial" w:eastAsia="Arial" w:hAnsi="Arial"/>
                <w:sz w:val="18"/>
                <w:szCs w:val="18"/>
                <w:color w:val="auto"/>
              </w:rPr>
              <w:t>(42.9)</w:t>
            </w:r>
          </w:p>
        </w:tc>
        <w:tc>
          <w:tcPr>
            <w:tcW w:w="400" w:type="dxa"/>
            <w:vAlign w:val="bottom"/>
            <w:shd w:val="clear" w:color="auto" w:fill="E6E6E6"/>
          </w:tcPr>
          <w:p>
            <w:pPr>
              <w:spacing w:after="0"/>
              <w:rPr>
                <w:sz w:val="17"/>
                <w:szCs w:val="17"/>
                <w:color w:val="auto"/>
              </w:rPr>
            </w:pPr>
          </w:p>
        </w:tc>
        <w:tc>
          <w:tcPr>
            <w:tcW w:w="860" w:type="dxa"/>
            <w:vAlign w:val="bottom"/>
            <w:shd w:val="clear" w:color="auto" w:fill="E6E6E6"/>
          </w:tcPr>
          <w:p>
            <w:pPr>
              <w:jc w:val="right"/>
              <w:ind w:right="114"/>
              <w:spacing w:after="0" w:line="202" w:lineRule="exact"/>
              <w:rPr>
                <w:sz w:val="20"/>
                <w:szCs w:val="20"/>
                <w:color w:val="auto"/>
              </w:rPr>
            </w:pPr>
            <w:r>
              <w:rPr>
                <w:rFonts w:ascii="Arial" w:cs="Arial" w:eastAsia="Arial" w:hAnsi="Arial"/>
                <w:sz w:val="18"/>
                <w:szCs w:val="18"/>
                <w:color w:val="auto"/>
              </w:rPr>
              <w:t>58.5</w:t>
            </w:r>
          </w:p>
        </w:tc>
        <w:tc>
          <w:tcPr>
            <w:tcW w:w="400" w:type="dxa"/>
            <w:vAlign w:val="bottom"/>
            <w:shd w:val="clear" w:color="auto" w:fill="E6E6E6"/>
          </w:tcPr>
          <w:p>
            <w:pPr>
              <w:spacing w:after="0"/>
              <w:rPr>
                <w:sz w:val="17"/>
                <w:szCs w:val="17"/>
                <w:color w:val="auto"/>
              </w:rPr>
            </w:pPr>
          </w:p>
        </w:tc>
        <w:tc>
          <w:tcPr>
            <w:tcW w:w="860" w:type="dxa"/>
            <w:vAlign w:val="bottom"/>
            <w:shd w:val="clear" w:color="auto" w:fill="E6E6E6"/>
          </w:tcPr>
          <w:p>
            <w:pPr>
              <w:jc w:val="right"/>
              <w:ind w:right="54"/>
              <w:spacing w:after="0" w:line="202" w:lineRule="exact"/>
              <w:rPr>
                <w:sz w:val="20"/>
                <w:szCs w:val="20"/>
                <w:color w:val="auto"/>
              </w:rPr>
            </w:pPr>
            <w:r>
              <w:rPr>
                <w:rFonts w:ascii="Arial" w:cs="Arial" w:eastAsia="Arial" w:hAnsi="Arial"/>
                <w:sz w:val="18"/>
                <w:szCs w:val="18"/>
                <w:color w:val="auto"/>
              </w:rPr>
              <w:t>(34.5)</w:t>
            </w:r>
          </w:p>
        </w:tc>
        <w:tc>
          <w:tcPr>
            <w:tcW w:w="400" w:type="dxa"/>
            <w:vAlign w:val="bottom"/>
            <w:shd w:val="clear" w:color="auto" w:fill="E6E6E6"/>
          </w:tcPr>
          <w:p>
            <w:pPr>
              <w:spacing w:after="0"/>
              <w:rPr>
                <w:sz w:val="17"/>
                <w:szCs w:val="17"/>
                <w:color w:val="auto"/>
              </w:rPr>
            </w:pPr>
          </w:p>
        </w:tc>
        <w:tc>
          <w:tcPr>
            <w:tcW w:w="860" w:type="dxa"/>
            <w:vAlign w:val="bottom"/>
            <w:shd w:val="clear" w:color="auto" w:fill="E6E6E6"/>
          </w:tcPr>
          <w:p>
            <w:pPr>
              <w:jc w:val="right"/>
              <w:ind w:right="114"/>
              <w:spacing w:after="0" w:line="202" w:lineRule="exact"/>
              <w:rPr>
                <w:sz w:val="20"/>
                <w:szCs w:val="20"/>
                <w:color w:val="auto"/>
              </w:rPr>
            </w:pPr>
            <w:r>
              <w:rPr>
                <w:rFonts w:ascii="Arial" w:cs="Arial" w:eastAsia="Arial" w:hAnsi="Arial"/>
                <w:sz w:val="18"/>
                <w:szCs w:val="18"/>
                <w:color w:val="auto"/>
              </w:rPr>
              <w:t>32.1</w:t>
            </w:r>
          </w:p>
        </w:tc>
        <w:tc>
          <w:tcPr>
            <w:tcW w:w="360" w:type="dxa"/>
            <w:vAlign w:val="bottom"/>
            <w:shd w:val="clear" w:color="auto" w:fill="E6E6E6"/>
          </w:tcPr>
          <w:p>
            <w:pPr>
              <w:spacing w:after="0"/>
              <w:rPr>
                <w:sz w:val="17"/>
                <w:szCs w:val="17"/>
                <w:color w:val="auto"/>
              </w:rPr>
            </w:pPr>
          </w:p>
        </w:tc>
        <w:tc>
          <w:tcPr>
            <w:tcW w:w="840" w:type="dxa"/>
            <w:vAlign w:val="bottom"/>
            <w:shd w:val="clear" w:color="auto" w:fill="E6E6E6"/>
          </w:tcPr>
          <w:p>
            <w:pPr>
              <w:jc w:val="right"/>
              <w:ind w:right="35"/>
              <w:spacing w:after="0" w:line="202" w:lineRule="exact"/>
              <w:rPr>
                <w:sz w:val="20"/>
                <w:szCs w:val="20"/>
                <w:color w:val="auto"/>
              </w:rPr>
            </w:pPr>
            <w:r>
              <w:rPr>
                <w:rFonts w:ascii="Arial" w:cs="Arial" w:eastAsia="Arial" w:hAnsi="Arial"/>
                <w:sz w:val="18"/>
                <w:szCs w:val="18"/>
                <w:color w:val="auto"/>
              </w:rPr>
              <w:t>13.2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80" w:type="dxa"/>
            <w:vAlign w:val="bottom"/>
            <w:gridSpan w:val="2"/>
          </w:tcPr>
          <w:p>
            <w:pPr>
              <w:spacing w:after="0" w:line="202" w:lineRule="exact"/>
              <w:rPr>
                <w:sz w:val="20"/>
                <w:szCs w:val="20"/>
                <w:color w:val="auto"/>
              </w:rPr>
            </w:pPr>
            <w:r>
              <w:rPr>
                <w:rFonts w:ascii="Arial" w:cs="Arial" w:eastAsia="Arial" w:hAnsi="Arial"/>
                <w:sz w:val="18"/>
                <w:szCs w:val="18"/>
                <w:color w:val="auto"/>
              </w:rPr>
              <w:t>Loss from discontinued operations, net of tax</w:t>
            </w:r>
          </w:p>
        </w:tc>
        <w:tc>
          <w:tcPr>
            <w:tcW w:w="620" w:type="dxa"/>
            <w:vAlign w:val="bottom"/>
          </w:tcPr>
          <w:p>
            <w:pPr>
              <w:spacing w:after="0"/>
              <w:rPr>
                <w:sz w:val="17"/>
                <w:szCs w:val="17"/>
                <w:color w:val="auto"/>
              </w:rPr>
            </w:pPr>
          </w:p>
        </w:tc>
        <w:tc>
          <w:tcPr>
            <w:tcW w:w="840" w:type="dxa"/>
            <w:vAlign w:val="bottom"/>
          </w:tcPr>
          <w:p>
            <w:pPr>
              <w:jc w:val="right"/>
              <w:ind w:right="54"/>
              <w:spacing w:after="0" w:line="202" w:lineRule="exact"/>
              <w:rPr>
                <w:sz w:val="20"/>
                <w:szCs w:val="20"/>
                <w:color w:val="auto"/>
              </w:rPr>
            </w:pPr>
            <w:r>
              <w:rPr>
                <w:rFonts w:ascii="Arial" w:cs="Arial" w:eastAsia="Arial" w:hAnsi="Arial"/>
                <w:sz w:val="18"/>
                <w:szCs w:val="18"/>
                <w:color w:val="auto"/>
              </w:rPr>
              <w:t>(6.2)</w:t>
            </w:r>
          </w:p>
        </w:tc>
        <w:tc>
          <w:tcPr>
            <w:tcW w:w="400" w:type="dxa"/>
            <w:vAlign w:val="bottom"/>
          </w:tcPr>
          <w:p>
            <w:pPr>
              <w:spacing w:after="0"/>
              <w:rPr>
                <w:sz w:val="17"/>
                <w:szCs w:val="17"/>
                <w:color w:val="auto"/>
              </w:rPr>
            </w:pPr>
          </w:p>
        </w:tc>
        <w:tc>
          <w:tcPr>
            <w:tcW w:w="860" w:type="dxa"/>
            <w:vAlign w:val="bottom"/>
          </w:tcPr>
          <w:p>
            <w:pPr>
              <w:jc w:val="right"/>
              <w:ind w:right="54"/>
              <w:spacing w:after="0" w:line="202" w:lineRule="exact"/>
              <w:rPr>
                <w:sz w:val="20"/>
                <w:szCs w:val="20"/>
                <w:color w:val="auto"/>
              </w:rPr>
            </w:pPr>
            <w:r>
              <w:rPr>
                <w:rFonts w:ascii="Arial" w:cs="Arial" w:eastAsia="Arial" w:hAnsi="Arial"/>
                <w:sz w:val="18"/>
                <w:szCs w:val="18"/>
                <w:color w:val="auto"/>
              </w:rPr>
              <w:t>(15.4)</w:t>
            </w:r>
          </w:p>
        </w:tc>
        <w:tc>
          <w:tcPr>
            <w:tcW w:w="400" w:type="dxa"/>
            <w:vAlign w:val="bottom"/>
          </w:tcPr>
          <w:p>
            <w:pPr>
              <w:spacing w:after="0"/>
              <w:rPr>
                <w:sz w:val="17"/>
                <w:szCs w:val="17"/>
                <w:color w:val="auto"/>
              </w:rPr>
            </w:pPr>
          </w:p>
        </w:tc>
        <w:tc>
          <w:tcPr>
            <w:tcW w:w="860" w:type="dxa"/>
            <w:vAlign w:val="bottom"/>
          </w:tcPr>
          <w:p>
            <w:pPr>
              <w:jc w:val="right"/>
              <w:ind w:right="54"/>
              <w:spacing w:after="0" w:line="202" w:lineRule="exact"/>
              <w:rPr>
                <w:sz w:val="20"/>
                <w:szCs w:val="20"/>
                <w:color w:val="auto"/>
              </w:rPr>
            </w:pPr>
            <w:r>
              <w:rPr>
                <w:rFonts w:ascii="Arial" w:cs="Arial" w:eastAsia="Arial" w:hAnsi="Arial"/>
                <w:sz w:val="18"/>
                <w:szCs w:val="18"/>
                <w:color w:val="auto"/>
              </w:rPr>
              <w:t>(1.5)</w:t>
            </w:r>
          </w:p>
        </w:tc>
        <w:tc>
          <w:tcPr>
            <w:tcW w:w="400" w:type="dxa"/>
            <w:vAlign w:val="bottom"/>
          </w:tcPr>
          <w:p>
            <w:pPr>
              <w:spacing w:after="0"/>
              <w:rPr>
                <w:sz w:val="17"/>
                <w:szCs w:val="17"/>
                <w:color w:val="auto"/>
              </w:rPr>
            </w:pPr>
          </w:p>
        </w:tc>
        <w:tc>
          <w:tcPr>
            <w:tcW w:w="860" w:type="dxa"/>
            <w:vAlign w:val="bottom"/>
          </w:tcPr>
          <w:p>
            <w:pPr>
              <w:jc w:val="right"/>
              <w:ind w:right="54"/>
              <w:spacing w:after="0" w:line="202" w:lineRule="exact"/>
              <w:rPr>
                <w:sz w:val="20"/>
                <w:szCs w:val="20"/>
                <w:color w:val="auto"/>
              </w:rPr>
            </w:pPr>
            <w:r>
              <w:rPr>
                <w:rFonts w:ascii="Arial" w:cs="Arial" w:eastAsia="Arial" w:hAnsi="Arial"/>
                <w:sz w:val="18"/>
                <w:szCs w:val="18"/>
                <w:color w:val="auto"/>
              </w:rPr>
              <w:t>(4.4)</w:t>
            </w:r>
          </w:p>
        </w:tc>
        <w:tc>
          <w:tcPr>
            <w:tcW w:w="36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(27.5)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6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Net (loss) income</w:t>
            </w:r>
          </w:p>
        </w:tc>
        <w:tc>
          <w:tcPr>
            <w:tcW w:w="620" w:type="dxa"/>
            <w:vAlign w:val="bottom"/>
            <w:shd w:val="clear" w:color="auto" w:fill="E6E6E6"/>
          </w:tcPr>
          <w:p>
            <w:pPr>
              <w:spacing w:after="0"/>
              <w:rPr>
                <w:sz w:val="17"/>
                <w:szCs w:val="17"/>
                <w:color w:val="auto"/>
              </w:rPr>
            </w:pPr>
          </w:p>
        </w:tc>
        <w:tc>
          <w:tcPr>
            <w:tcW w:w="840" w:type="dxa"/>
            <w:vAlign w:val="bottom"/>
            <w:shd w:val="clear" w:color="auto" w:fill="E6E6E6"/>
          </w:tcPr>
          <w:p>
            <w:pPr>
              <w:jc w:val="right"/>
              <w:ind w:right="54"/>
              <w:spacing w:after="0" w:line="202" w:lineRule="exact"/>
              <w:rPr>
                <w:sz w:val="20"/>
                <w:szCs w:val="20"/>
                <w:color w:val="auto"/>
              </w:rPr>
            </w:pPr>
            <w:r>
              <w:rPr>
                <w:rFonts w:ascii="Arial" w:cs="Arial" w:eastAsia="Arial" w:hAnsi="Arial"/>
                <w:sz w:val="18"/>
                <w:szCs w:val="18"/>
                <w:color w:val="auto"/>
              </w:rPr>
              <w:t>(49.1)</w:t>
            </w:r>
          </w:p>
        </w:tc>
        <w:tc>
          <w:tcPr>
            <w:tcW w:w="400" w:type="dxa"/>
            <w:vAlign w:val="bottom"/>
            <w:shd w:val="clear" w:color="auto" w:fill="E6E6E6"/>
          </w:tcPr>
          <w:p>
            <w:pPr>
              <w:spacing w:after="0"/>
              <w:rPr>
                <w:sz w:val="17"/>
                <w:szCs w:val="17"/>
                <w:color w:val="auto"/>
              </w:rPr>
            </w:pPr>
          </w:p>
        </w:tc>
        <w:tc>
          <w:tcPr>
            <w:tcW w:w="860" w:type="dxa"/>
            <w:vAlign w:val="bottom"/>
            <w:shd w:val="clear" w:color="auto" w:fill="E6E6E6"/>
          </w:tcPr>
          <w:p>
            <w:pPr>
              <w:jc w:val="right"/>
              <w:ind w:right="114"/>
              <w:spacing w:after="0" w:line="202" w:lineRule="exact"/>
              <w:rPr>
                <w:sz w:val="20"/>
                <w:szCs w:val="20"/>
                <w:color w:val="auto"/>
              </w:rPr>
            </w:pPr>
            <w:r>
              <w:rPr>
                <w:rFonts w:ascii="Arial" w:cs="Arial" w:eastAsia="Arial" w:hAnsi="Arial"/>
                <w:sz w:val="18"/>
                <w:szCs w:val="18"/>
                <w:color w:val="auto"/>
              </w:rPr>
              <w:t>43.1</w:t>
            </w:r>
          </w:p>
        </w:tc>
        <w:tc>
          <w:tcPr>
            <w:tcW w:w="400" w:type="dxa"/>
            <w:vAlign w:val="bottom"/>
            <w:shd w:val="clear" w:color="auto" w:fill="E6E6E6"/>
          </w:tcPr>
          <w:p>
            <w:pPr>
              <w:spacing w:after="0"/>
              <w:rPr>
                <w:sz w:val="17"/>
                <w:szCs w:val="17"/>
                <w:color w:val="auto"/>
              </w:rPr>
            </w:pPr>
          </w:p>
        </w:tc>
        <w:tc>
          <w:tcPr>
            <w:tcW w:w="860" w:type="dxa"/>
            <w:vAlign w:val="bottom"/>
            <w:shd w:val="clear" w:color="auto" w:fill="E6E6E6"/>
          </w:tcPr>
          <w:p>
            <w:pPr>
              <w:jc w:val="right"/>
              <w:ind w:right="54"/>
              <w:spacing w:after="0" w:line="202" w:lineRule="exact"/>
              <w:rPr>
                <w:sz w:val="20"/>
                <w:szCs w:val="20"/>
                <w:color w:val="auto"/>
              </w:rPr>
            </w:pPr>
            <w:r>
              <w:rPr>
                <w:rFonts w:ascii="Arial" w:cs="Arial" w:eastAsia="Arial" w:hAnsi="Arial"/>
                <w:sz w:val="18"/>
                <w:szCs w:val="18"/>
                <w:color w:val="auto"/>
              </w:rPr>
              <w:t>(36.0)</w:t>
            </w:r>
          </w:p>
        </w:tc>
        <w:tc>
          <w:tcPr>
            <w:tcW w:w="400" w:type="dxa"/>
            <w:vAlign w:val="bottom"/>
            <w:shd w:val="clear" w:color="auto" w:fill="E6E6E6"/>
          </w:tcPr>
          <w:p>
            <w:pPr>
              <w:spacing w:after="0"/>
              <w:rPr>
                <w:sz w:val="17"/>
                <w:szCs w:val="17"/>
                <w:color w:val="auto"/>
              </w:rPr>
            </w:pPr>
          </w:p>
        </w:tc>
        <w:tc>
          <w:tcPr>
            <w:tcW w:w="860" w:type="dxa"/>
            <w:vAlign w:val="bottom"/>
            <w:shd w:val="clear" w:color="auto" w:fill="E6E6E6"/>
          </w:tcPr>
          <w:p>
            <w:pPr>
              <w:jc w:val="right"/>
              <w:ind w:right="114"/>
              <w:spacing w:after="0" w:line="202" w:lineRule="exact"/>
              <w:rPr>
                <w:sz w:val="20"/>
                <w:szCs w:val="20"/>
                <w:color w:val="auto"/>
              </w:rPr>
            </w:pPr>
            <w:r>
              <w:rPr>
                <w:rFonts w:ascii="Arial" w:cs="Arial" w:eastAsia="Arial" w:hAnsi="Arial"/>
                <w:sz w:val="18"/>
                <w:szCs w:val="18"/>
                <w:color w:val="auto"/>
              </w:rPr>
              <w:t>27.7</w:t>
            </w:r>
          </w:p>
        </w:tc>
        <w:tc>
          <w:tcPr>
            <w:tcW w:w="360" w:type="dxa"/>
            <w:vAlign w:val="bottom"/>
            <w:shd w:val="clear" w:color="auto" w:fill="E6E6E6"/>
          </w:tcPr>
          <w:p>
            <w:pPr>
              <w:spacing w:after="0"/>
              <w:rPr>
                <w:sz w:val="17"/>
                <w:szCs w:val="17"/>
                <w:color w:val="auto"/>
              </w:rPr>
            </w:pPr>
          </w:p>
        </w:tc>
        <w:tc>
          <w:tcPr>
            <w:tcW w:w="84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(14.3)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80" w:type="dxa"/>
            <w:vAlign w:val="bottom"/>
            <w:gridSpan w:val="2"/>
          </w:tcPr>
          <w:p>
            <w:pPr>
              <w:spacing w:after="0" w:line="202" w:lineRule="exact"/>
              <w:rPr>
                <w:sz w:val="20"/>
                <w:szCs w:val="20"/>
                <w:color w:val="auto"/>
              </w:rPr>
            </w:pPr>
            <w:r>
              <w:rPr>
                <w:rFonts w:ascii="Arial" w:cs="Arial" w:eastAsia="Arial" w:hAnsi="Arial"/>
                <w:sz w:val="18"/>
                <w:szCs w:val="18"/>
                <w:color w:val="auto"/>
              </w:rPr>
              <w:t>(Loss) earnings per share of Class A and Common Stock:</w:t>
            </w:r>
          </w:p>
        </w:tc>
        <w:tc>
          <w:tcPr>
            <w:tcW w:w="6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60" w:type="dxa"/>
            <w:vAlign w:val="bottom"/>
            <w:shd w:val="clear" w:color="auto" w:fill="E6E6E6"/>
          </w:tcPr>
          <w:p>
            <w:pPr>
              <w:ind w:left="140"/>
              <w:spacing w:after="0" w:line="202" w:lineRule="exact"/>
              <w:rPr>
                <w:sz w:val="20"/>
                <w:szCs w:val="20"/>
                <w:color w:val="auto"/>
              </w:rPr>
            </w:pPr>
            <w:r>
              <w:rPr>
                <w:rFonts w:ascii="Arial" w:cs="Arial" w:eastAsia="Arial" w:hAnsi="Arial"/>
                <w:sz w:val="18"/>
                <w:szCs w:val="18"/>
                <w:color w:val="auto"/>
              </w:rPr>
              <w:t>Basic:</w:t>
            </w:r>
          </w:p>
        </w:tc>
        <w:tc>
          <w:tcPr>
            <w:tcW w:w="620" w:type="dxa"/>
            <w:vAlign w:val="bottom"/>
            <w:shd w:val="clear" w:color="auto" w:fill="E6E6E6"/>
          </w:tcPr>
          <w:p>
            <w:pPr>
              <w:spacing w:after="0"/>
              <w:rPr>
                <w:sz w:val="17"/>
                <w:szCs w:val="17"/>
                <w:color w:val="auto"/>
              </w:rPr>
            </w:pPr>
          </w:p>
        </w:tc>
        <w:tc>
          <w:tcPr>
            <w:tcW w:w="840" w:type="dxa"/>
            <w:vAlign w:val="bottom"/>
            <w:shd w:val="clear" w:color="auto" w:fill="E6E6E6"/>
          </w:tcPr>
          <w:p>
            <w:pPr>
              <w:spacing w:after="0"/>
              <w:rPr>
                <w:sz w:val="17"/>
                <w:szCs w:val="17"/>
                <w:color w:val="auto"/>
              </w:rPr>
            </w:pPr>
          </w:p>
        </w:tc>
        <w:tc>
          <w:tcPr>
            <w:tcW w:w="400" w:type="dxa"/>
            <w:vAlign w:val="bottom"/>
            <w:shd w:val="clear" w:color="auto" w:fill="E6E6E6"/>
          </w:tcPr>
          <w:p>
            <w:pPr>
              <w:spacing w:after="0"/>
              <w:rPr>
                <w:sz w:val="17"/>
                <w:szCs w:val="17"/>
                <w:color w:val="auto"/>
              </w:rPr>
            </w:pPr>
          </w:p>
        </w:tc>
        <w:tc>
          <w:tcPr>
            <w:tcW w:w="860" w:type="dxa"/>
            <w:vAlign w:val="bottom"/>
            <w:shd w:val="clear" w:color="auto" w:fill="E6E6E6"/>
          </w:tcPr>
          <w:p>
            <w:pPr>
              <w:spacing w:after="0"/>
              <w:rPr>
                <w:sz w:val="17"/>
                <w:szCs w:val="17"/>
                <w:color w:val="auto"/>
              </w:rPr>
            </w:pPr>
          </w:p>
        </w:tc>
        <w:tc>
          <w:tcPr>
            <w:tcW w:w="400" w:type="dxa"/>
            <w:vAlign w:val="bottom"/>
            <w:shd w:val="clear" w:color="auto" w:fill="E6E6E6"/>
          </w:tcPr>
          <w:p>
            <w:pPr>
              <w:spacing w:after="0"/>
              <w:rPr>
                <w:sz w:val="17"/>
                <w:szCs w:val="17"/>
                <w:color w:val="auto"/>
              </w:rPr>
            </w:pPr>
          </w:p>
        </w:tc>
        <w:tc>
          <w:tcPr>
            <w:tcW w:w="860" w:type="dxa"/>
            <w:vAlign w:val="bottom"/>
            <w:shd w:val="clear" w:color="auto" w:fill="E6E6E6"/>
          </w:tcPr>
          <w:p>
            <w:pPr>
              <w:spacing w:after="0"/>
              <w:rPr>
                <w:sz w:val="17"/>
                <w:szCs w:val="17"/>
                <w:color w:val="auto"/>
              </w:rPr>
            </w:pPr>
          </w:p>
        </w:tc>
        <w:tc>
          <w:tcPr>
            <w:tcW w:w="400" w:type="dxa"/>
            <w:vAlign w:val="bottom"/>
            <w:shd w:val="clear" w:color="auto" w:fill="E6E6E6"/>
          </w:tcPr>
          <w:p>
            <w:pPr>
              <w:spacing w:after="0"/>
              <w:rPr>
                <w:sz w:val="17"/>
                <w:szCs w:val="17"/>
                <w:color w:val="auto"/>
              </w:rPr>
            </w:pPr>
          </w:p>
        </w:tc>
        <w:tc>
          <w:tcPr>
            <w:tcW w:w="860" w:type="dxa"/>
            <w:vAlign w:val="bottom"/>
            <w:shd w:val="clear" w:color="auto" w:fill="E6E6E6"/>
          </w:tcPr>
          <w:p>
            <w:pPr>
              <w:spacing w:after="0"/>
              <w:rPr>
                <w:sz w:val="17"/>
                <w:szCs w:val="17"/>
                <w:color w:val="auto"/>
              </w:rPr>
            </w:pPr>
          </w:p>
        </w:tc>
        <w:tc>
          <w:tcPr>
            <w:tcW w:w="360" w:type="dxa"/>
            <w:vAlign w:val="bottom"/>
            <w:shd w:val="clear" w:color="auto" w:fill="E6E6E6"/>
          </w:tcPr>
          <w:p>
            <w:pPr>
              <w:spacing w:after="0"/>
              <w:rPr>
                <w:sz w:val="17"/>
                <w:szCs w:val="17"/>
                <w:color w:val="auto"/>
              </w:rPr>
            </w:pPr>
          </w:p>
        </w:tc>
        <w:tc>
          <w:tcPr>
            <w:tcW w:w="840" w:type="dxa"/>
            <w:vAlign w:val="bottom"/>
            <w:shd w:val="clear" w:color="auto" w:fill="E6E6E6"/>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60" w:type="dxa"/>
            <w:vAlign w:val="bottom"/>
          </w:tcPr>
          <w:p>
            <w:pPr>
              <w:ind w:left="300"/>
              <w:spacing w:after="0" w:line="202" w:lineRule="exact"/>
              <w:rPr>
                <w:sz w:val="20"/>
                <w:szCs w:val="20"/>
                <w:color w:val="auto"/>
              </w:rPr>
            </w:pPr>
            <w:r>
              <w:rPr>
                <w:rFonts w:ascii="Arial" w:cs="Arial" w:eastAsia="Arial" w:hAnsi="Arial"/>
                <w:sz w:val="18"/>
                <w:szCs w:val="18"/>
                <w:color w:val="auto"/>
              </w:rPr>
              <w:t>(Loss) earnings from continuing operations</w:t>
            </w:r>
          </w:p>
        </w:tc>
        <w:tc>
          <w:tcPr>
            <w:tcW w:w="620" w:type="dxa"/>
            <w:vAlign w:val="bottom"/>
          </w:tcPr>
          <w:p>
            <w:pPr>
              <w:spacing w:after="0"/>
              <w:rPr>
                <w:sz w:val="17"/>
                <w:szCs w:val="17"/>
                <w:color w:val="auto"/>
              </w:rPr>
            </w:pPr>
          </w:p>
        </w:tc>
        <w:tc>
          <w:tcPr>
            <w:tcW w:w="840" w:type="dxa"/>
            <w:vAlign w:val="bottom"/>
          </w:tcPr>
          <w:p>
            <w:pPr>
              <w:jc w:val="right"/>
              <w:ind w:right="54"/>
              <w:spacing w:after="0" w:line="202" w:lineRule="exact"/>
              <w:rPr>
                <w:sz w:val="20"/>
                <w:szCs w:val="20"/>
                <w:color w:val="auto"/>
              </w:rPr>
            </w:pPr>
            <w:r>
              <w:rPr>
                <w:rFonts w:ascii="Arial" w:cs="Arial" w:eastAsia="Arial" w:hAnsi="Arial"/>
                <w:sz w:val="18"/>
                <w:szCs w:val="18"/>
                <w:color w:val="auto"/>
              </w:rPr>
              <w:t>(1.13)</w:t>
            </w:r>
          </w:p>
        </w:tc>
        <w:tc>
          <w:tcPr>
            <w:tcW w:w="400" w:type="dxa"/>
            <w:vAlign w:val="bottom"/>
          </w:tcPr>
          <w:p>
            <w:pPr>
              <w:spacing w:after="0"/>
              <w:rPr>
                <w:sz w:val="17"/>
                <w:szCs w:val="17"/>
                <w:color w:val="auto"/>
              </w:rPr>
            </w:pPr>
          </w:p>
        </w:tc>
        <w:tc>
          <w:tcPr>
            <w:tcW w:w="860" w:type="dxa"/>
            <w:vAlign w:val="bottom"/>
          </w:tcPr>
          <w:p>
            <w:pPr>
              <w:jc w:val="right"/>
              <w:ind w:right="114"/>
              <w:spacing w:after="0" w:line="202" w:lineRule="exact"/>
              <w:rPr>
                <w:sz w:val="20"/>
                <w:szCs w:val="20"/>
                <w:color w:val="auto"/>
              </w:rPr>
            </w:pPr>
            <w:r>
              <w:rPr>
                <w:rFonts w:ascii="Arial" w:cs="Arial" w:eastAsia="Arial" w:hAnsi="Arial"/>
                <w:sz w:val="18"/>
                <w:szCs w:val="18"/>
                <w:color w:val="auto"/>
              </w:rPr>
              <w:t>1.56</w:t>
            </w:r>
          </w:p>
        </w:tc>
        <w:tc>
          <w:tcPr>
            <w:tcW w:w="400" w:type="dxa"/>
            <w:vAlign w:val="bottom"/>
          </w:tcPr>
          <w:p>
            <w:pPr>
              <w:spacing w:after="0"/>
              <w:rPr>
                <w:sz w:val="17"/>
                <w:szCs w:val="17"/>
                <w:color w:val="auto"/>
              </w:rPr>
            </w:pPr>
          </w:p>
        </w:tc>
        <w:tc>
          <w:tcPr>
            <w:tcW w:w="860" w:type="dxa"/>
            <w:vAlign w:val="bottom"/>
          </w:tcPr>
          <w:p>
            <w:pPr>
              <w:jc w:val="right"/>
              <w:ind w:right="54"/>
              <w:spacing w:after="0" w:line="202" w:lineRule="exact"/>
              <w:rPr>
                <w:sz w:val="20"/>
                <w:szCs w:val="20"/>
                <w:color w:val="auto"/>
              </w:rPr>
            </w:pPr>
            <w:r>
              <w:rPr>
                <w:rFonts w:ascii="Arial" w:cs="Arial" w:eastAsia="Arial" w:hAnsi="Arial"/>
                <w:sz w:val="18"/>
                <w:szCs w:val="18"/>
                <w:color w:val="auto"/>
              </w:rPr>
              <w:t>(0.93)</w:t>
            </w:r>
          </w:p>
        </w:tc>
        <w:tc>
          <w:tcPr>
            <w:tcW w:w="400" w:type="dxa"/>
            <w:vAlign w:val="bottom"/>
          </w:tcPr>
          <w:p>
            <w:pPr>
              <w:spacing w:after="0"/>
              <w:rPr>
                <w:sz w:val="17"/>
                <w:szCs w:val="17"/>
                <w:color w:val="auto"/>
              </w:rPr>
            </w:pPr>
          </w:p>
        </w:tc>
        <w:tc>
          <w:tcPr>
            <w:tcW w:w="860" w:type="dxa"/>
            <w:vAlign w:val="bottom"/>
          </w:tcPr>
          <w:p>
            <w:pPr>
              <w:jc w:val="right"/>
              <w:ind w:right="114"/>
              <w:spacing w:after="0" w:line="202" w:lineRule="exact"/>
              <w:rPr>
                <w:sz w:val="20"/>
                <w:szCs w:val="20"/>
                <w:color w:val="auto"/>
              </w:rPr>
            </w:pPr>
            <w:r>
              <w:rPr>
                <w:rFonts w:ascii="Arial" w:cs="Arial" w:eastAsia="Arial" w:hAnsi="Arial"/>
                <w:sz w:val="18"/>
                <w:szCs w:val="18"/>
                <w:color w:val="auto"/>
              </w:rPr>
              <w:t>0.88</w:t>
            </w:r>
          </w:p>
        </w:tc>
        <w:tc>
          <w:tcPr>
            <w:tcW w:w="360" w:type="dxa"/>
            <w:vAlign w:val="bottom"/>
          </w:tcPr>
          <w:p>
            <w:pPr>
              <w:spacing w:after="0"/>
              <w:rPr>
                <w:sz w:val="17"/>
                <w:szCs w:val="17"/>
                <w:color w:val="auto"/>
              </w:rPr>
            </w:pPr>
          </w:p>
        </w:tc>
        <w:tc>
          <w:tcPr>
            <w:tcW w:w="840" w:type="dxa"/>
            <w:vAlign w:val="bottom"/>
          </w:tcPr>
          <w:p>
            <w:pPr>
              <w:jc w:val="right"/>
              <w:ind w:right="35"/>
              <w:spacing w:after="0" w:line="202" w:lineRule="exact"/>
              <w:rPr>
                <w:sz w:val="20"/>
                <w:szCs w:val="20"/>
                <w:color w:val="auto"/>
              </w:rPr>
            </w:pPr>
            <w:r>
              <w:rPr>
                <w:rFonts w:ascii="Arial" w:cs="Arial" w:eastAsia="Arial" w:hAnsi="Arial"/>
                <w:sz w:val="18"/>
                <w:szCs w:val="18"/>
                <w:color w:val="auto"/>
              </w:rPr>
              <w:t>0.35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60" w:type="dxa"/>
            <w:vAlign w:val="bottom"/>
            <w:shd w:val="clear" w:color="auto" w:fill="E6E6E6"/>
          </w:tcPr>
          <w:p>
            <w:pPr>
              <w:ind w:left="300"/>
              <w:spacing w:after="0" w:line="202" w:lineRule="exact"/>
              <w:rPr>
                <w:sz w:val="20"/>
                <w:szCs w:val="20"/>
                <w:color w:val="auto"/>
              </w:rPr>
            </w:pPr>
            <w:r>
              <w:rPr>
                <w:rFonts w:ascii="Arial" w:cs="Arial" w:eastAsia="Arial" w:hAnsi="Arial"/>
                <w:sz w:val="18"/>
                <w:szCs w:val="18"/>
                <w:color w:val="auto"/>
              </w:rPr>
              <w:t>Loss from discontinued operations, net of tax</w:t>
            </w:r>
          </w:p>
        </w:tc>
        <w:tc>
          <w:tcPr>
            <w:tcW w:w="620" w:type="dxa"/>
            <w:vAlign w:val="bottom"/>
            <w:shd w:val="clear" w:color="auto" w:fill="E6E6E6"/>
          </w:tcPr>
          <w:p>
            <w:pPr>
              <w:spacing w:after="0"/>
              <w:rPr>
                <w:sz w:val="17"/>
                <w:szCs w:val="17"/>
                <w:color w:val="auto"/>
              </w:rPr>
            </w:pPr>
          </w:p>
        </w:tc>
        <w:tc>
          <w:tcPr>
            <w:tcW w:w="840" w:type="dxa"/>
            <w:vAlign w:val="bottom"/>
            <w:shd w:val="clear" w:color="auto" w:fill="E6E6E6"/>
          </w:tcPr>
          <w:p>
            <w:pPr>
              <w:jc w:val="right"/>
              <w:ind w:right="54"/>
              <w:spacing w:after="0" w:line="202" w:lineRule="exact"/>
              <w:rPr>
                <w:sz w:val="20"/>
                <w:szCs w:val="20"/>
                <w:color w:val="auto"/>
              </w:rPr>
            </w:pPr>
            <w:r>
              <w:rPr>
                <w:rFonts w:ascii="Arial" w:cs="Arial" w:eastAsia="Arial" w:hAnsi="Arial"/>
                <w:sz w:val="18"/>
                <w:szCs w:val="18"/>
                <w:color w:val="auto"/>
              </w:rPr>
              <w:t>(0.17)</w:t>
            </w:r>
          </w:p>
        </w:tc>
        <w:tc>
          <w:tcPr>
            <w:tcW w:w="400" w:type="dxa"/>
            <w:vAlign w:val="bottom"/>
            <w:shd w:val="clear" w:color="auto" w:fill="E6E6E6"/>
          </w:tcPr>
          <w:p>
            <w:pPr>
              <w:spacing w:after="0"/>
              <w:rPr>
                <w:sz w:val="17"/>
                <w:szCs w:val="17"/>
                <w:color w:val="auto"/>
              </w:rPr>
            </w:pPr>
          </w:p>
        </w:tc>
        <w:tc>
          <w:tcPr>
            <w:tcW w:w="860" w:type="dxa"/>
            <w:vAlign w:val="bottom"/>
            <w:shd w:val="clear" w:color="auto" w:fill="E6E6E6"/>
          </w:tcPr>
          <w:p>
            <w:pPr>
              <w:jc w:val="right"/>
              <w:ind w:right="54"/>
              <w:spacing w:after="0" w:line="202" w:lineRule="exact"/>
              <w:rPr>
                <w:sz w:val="20"/>
                <w:szCs w:val="20"/>
                <w:color w:val="auto"/>
              </w:rPr>
            </w:pPr>
            <w:r>
              <w:rPr>
                <w:rFonts w:ascii="Arial" w:cs="Arial" w:eastAsia="Arial" w:hAnsi="Arial"/>
                <w:sz w:val="18"/>
                <w:szCs w:val="18"/>
                <w:color w:val="auto"/>
              </w:rPr>
              <w:t>(0.41)</w:t>
            </w:r>
          </w:p>
        </w:tc>
        <w:tc>
          <w:tcPr>
            <w:tcW w:w="400" w:type="dxa"/>
            <w:vAlign w:val="bottom"/>
            <w:shd w:val="clear" w:color="auto" w:fill="E6E6E6"/>
          </w:tcPr>
          <w:p>
            <w:pPr>
              <w:spacing w:after="0"/>
              <w:rPr>
                <w:sz w:val="17"/>
                <w:szCs w:val="17"/>
                <w:color w:val="auto"/>
              </w:rPr>
            </w:pPr>
          </w:p>
        </w:tc>
        <w:tc>
          <w:tcPr>
            <w:tcW w:w="860" w:type="dxa"/>
            <w:vAlign w:val="bottom"/>
            <w:shd w:val="clear" w:color="auto" w:fill="E6E6E6"/>
          </w:tcPr>
          <w:p>
            <w:pPr>
              <w:jc w:val="right"/>
              <w:ind w:right="54"/>
              <w:spacing w:after="0" w:line="202" w:lineRule="exact"/>
              <w:rPr>
                <w:sz w:val="20"/>
                <w:szCs w:val="20"/>
                <w:color w:val="auto"/>
              </w:rPr>
            </w:pPr>
            <w:r>
              <w:rPr>
                <w:rFonts w:ascii="Arial" w:cs="Arial" w:eastAsia="Arial" w:hAnsi="Arial"/>
                <w:sz w:val="18"/>
                <w:szCs w:val="18"/>
                <w:color w:val="auto"/>
              </w:rPr>
              <w:t>(0.05)</w:t>
            </w:r>
          </w:p>
        </w:tc>
        <w:tc>
          <w:tcPr>
            <w:tcW w:w="400" w:type="dxa"/>
            <w:vAlign w:val="bottom"/>
            <w:shd w:val="clear" w:color="auto" w:fill="E6E6E6"/>
          </w:tcPr>
          <w:p>
            <w:pPr>
              <w:spacing w:after="0"/>
              <w:rPr>
                <w:sz w:val="17"/>
                <w:szCs w:val="17"/>
                <w:color w:val="auto"/>
              </w:rPr>
            </w:pPr>
          </w:p>
        </w:tc>
        <w:tc>
          <w:tcPr>
            <w:tcW w:w="860" w:type="dxa"/>
            <w:vAlign w:val="bottom"/>
            <w:shd w:val="clear" w:color="auto" w:fill="E6E6E6"/>
          </w:tcPr>
          <w:p>
            <w:pPr>
              <w:jc w:val="right"/>
              <w:ind w:right="54"/>
              <w:spacing w:after="0" w:line="202" w:lineRule="exact"/>
              <w:rPr>
                <w:sz w:val="20"/>
                <w:szCs w:val="20"/>
                <w:color w:val="auto"/>
              </w:rPr>
            </w:pPr>
            <w:r>
              <w:rPr>
                <w:rFonts w:ascii="Arial" w:cs="Arial" w:eastAsia="Arial" w:hAnsi="Arial"/>
                <w:sz w:val="18"/>
                <w:szCs w:val="18"/>
                <w:color w:val="auto"/>
              </w:rPr>
              <w:t>(0.12)</w:t>
            </w:r>
          </w:p>
        </w:tc>
        <w:tc>
          <w:tcPr>
            <w:tcW w:w="360" w:type="dxa"/>
            <w:vAlign w:val="bottom"/>
            <w:shd w:val="clear" w:color="auto" w:fill="E6E6E6"/>
          </w:tcPr>
          <w:p>
            <w:pPr>
              <w:spacing w:after="0"/>
              <w:rPr>
                <w:sz w:val="17"/>
                <w:szCs w:val="17"/>
                <w:color w:val="auto"/>
              </w:rPr>
            </w:pPr>
          </w:p>
        </w:tc>
        <w:tc>
          <w:tcPr>
            <w:tcW w:w="84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(0.74)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60" w:type="dxa"/>
            <w:vAlign w:val="bottom"/>
          </w:tcPr>
          <w:p>
            <w:pPr>
              <w:ind w:left="300"/>
              <w:spacing w:after="0" w:line="202" w:lineRule="exact"/>
              <w:rPr>
                <w:sz w:val="20"/>
                <w:szCs w:val="20"/>
                <w:color w:val="auto"/>
              </w:rPr>
            </w:pPr>
            <w:r>
              <w:rPr>
                <w:rFonts w:ascii="Arial" w:cs="Arial" w:eastAsia="Arial" w:hAnsi="Arial"/>
                <w:sz w:val="18"/>
                <w:szCs w:val="18"/>
                <w:color w:val="auto"/>
              </w:rPr>
              <w:t>Net (loss) income</w:t>
            </w:r>
          </w:p>
        </w:tc>
        <w:tc>
          <w:tcPr>
            <w:tcW w:w="620" w:type="dxa"/>
            <w:vAlign w:val="bottom"/>
          </w:tcPr>
          <w:p>
            <w:pPr>
              <w:spacing w:after="0"/>
              <w:rPr>
                <w:sz w:val="17"/>
                <w:szCs w:val="17"/>
                <w:color w:val="auto"/>
              </w:rPr>
            </w:pPr>
          </w:p>
        </w:tc>
        <w:tc>
          <w:tcPr>
            <w:tcW w:w="840" w:type="dxa"/>
            <w:vAlign w:val="bottom"/>
          </w:tcPr>
          <w:p>
            <w:pPr>
              <w:jc w:val="right"/>
              <w:ind w:right="54"/>
              <w:spacing w:after="0" w:line="202" w:lineRule="exact"/>
              <w:rPr>
                <w:sz w:val="20"/>
                <w:szCs w:val="20"/>
                <w:color w:val="auto"/>
              </w:rPr>
            </w:pPr>
            <w:r>
              <w:rPr>
                <w:rFonts w:ascii="Arial" w:cs="Arial" w:eastAsia="Arial" w:hAnsi="Arial"/>
                <w:sz w:val="18"/>
                <w:szCs w:val="18"/>
                <w:color w:val="auto"/>
              </w:rPr>
              <w:t>(1.30)</w:t>
            </w:r>
          </w:p>
        </w:tc>
        <w:tc>
          <w:tcPr>
            <w:tcW w:w="400" w:type="dxa"/>
            <w:vAlign w:val="bottom"/>
          </w:tcPr>
          <w:p>
            <w:pPr>
              <w:spacing w:after="0"/>
              <w:rPr>
                <w:sz w:val="17"/>
                <w:szCs w:val="17"/>
                <w:color w:val="auto"/>
              </w:rPr>
            </w:pPr>
          </w:p>
        </w:tc>
        <w:tc>
          <w:tcPr>
            <w:tcW w:w="860" w:type="dxa"/>
            <w:vAlign w:val="bottom"/>
          </w:tcPr>
          <w:p>
            <w:pPr>
              <w:jc w:val="right"/>
              <w:ind w:right="114"/>
              <w:spacing w:after="0" w:line="202" w:lineRule="exact"/>
              <w:rPr>
                <w:sz w:val="20"/>
                <w:szCs w:val="20"/>
                <w:color w:val="auto"/>
              </w:rPr>
            </w:pPr>
            <w:r>
              <w:rPr>
                <w:rFonts w:ascii="Arial" w:cs="Arial" w:eastAsia="Arial" w:hAnsi="Arial"/>
                <w:sz w:val="18"/>
                <w:szCs w:val="18"/>
                <w:color w:val="auto"/>
              </w:rPr>
              <w:t>1.15</w:t>
            </w:r>
          </w:p>
        </w:tc>
        <w:tc>
          <w:tcPr>
            <w:tcW w:w="400" w:type="dxa"/>
            <w:vAlign w:val="bottom"/>
          </w:tcPr>
          <w:p>
            <w:pPr>
              <w:spacing w:after="0"/>
              <w:rPr>
                <w:sz w:val="17"/>
                <w:szCs w:val="17"/>
                <w:color w:val="auto"/>
              </w:rPr>
            </w:pPr>
          </w:p>
        </w:tc>
        <w:tc>
          <w:tcPr>
            <w:tcW w:w="860" w:type="dxa"/>
            <w:vAlign w:val="bottom"/>
          </w:tcPr>
          <w:p>
            <w:pPr>
              <w:jc w:val="right"/>
              <w:ind w:right="54"/>
              <w:spacing w:after="0" w:line="202" w:lineRule="exact"/>
              <w:rPr>
                <w:sz w:val="20"/>
                <w:szCs w:val="20"/>
                <w:color w:val="auto"/>
              </w:rPr>
            </w:pPr>
            <w:r>
              <w:rPr>
                <w:rFonts w:ascii="Arial" w:cs="Arial" w:eastAsia="Arial" w:hAnsi="Arial"/>
                <w:sz w:val="18"/>
                <w:szCs w:val="18"/>
                <w:color w:val="auto"/>
              </w:rPr>
              <w:t>(0.98)</w:t>
            </w:r>
          </w:p>
        </w:tc>
        <w:tc>
          <w:tcPr>
            <w:tcW w:w="400" w:type="dxa"/>
            <w:vAlign w:val="bottom"/>
          </w:tcPr>
          <w:p>
            <w:pPr>
              <w:spacing w:after="0"/>
              <w:rPr>
                <w:sz w:val="17"/>
                <w:szCs w:val="17"/>
                <w:color w:val="auto"/>
              </w:rPr>
            </w:pPr>
          </w:p>
        </w:tc>
        <w:tc>
          <w:tcPr>
            <w:tcW w:w="860" w:type="dxa"/>
            <w:vAlign w:val="bottom"/>
          </w:tcPr>
          <w:p>
            <w:pPr>
              <w:jc w:val="right"/>
              <w:ind w:right="114"/>
              <w:spacing w:after="0" w:line="202" w:lineRule="exact"/>
              <w:rPr>
                <w:sz w:val="20"/>
                <w:szCs w:val="20"/>
                <w:color w:val="auto"/>
              </w:rPr>
            </w:pPr>
            <w:r>
              <w:rPr>
                <w:rFonts w:ascii="Arial" w:cs="Arial" w:eastAsia="Arial" w:hAnsi="Arial"/>
                <w:sz w:val="18"/>
                <w:szCs w:val="18"/>
                <w:color w:val="auto"/>
              </w:rPr>
              <w:t>0.76</w:t>
            </w:r>
          </w:p>
        </w:tc>
        <w:tc>
          <w:tcPr>
            <w:tcW w:w="36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(0.39)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60" w:type="dxa"/>
            <w:vAlign w:val="bottom"/>
            <w:shd w:val="clear" w:color="auto" w:fill="E6E6E6"/>
          </w:tcPr>
          <w:p>
            <w:pPr>
              <w:ind w:left="140"/>
              <w:spacing w:after="0" w:line="202" w:lineRule="exact"/>
              <w:rPr>
                <w:sz w:val="20"/>
                <w:szCs w:val="20"/>
                <w:color w:val="auto"/>
              </w:rPr>
            </w:pPr>
            <w:r>
              <w:rPr>
                <w:rFonts w:ascii="Arial" w:cs="Arial" w:eastAsia="Arial" w:hAnsi="Arial"/>
                <w:sz w:val="18"/>
                <w:szCs w:val="18"/>
                <w:color w:val="auto"/>
              </w:rPr>
              <w:t>Diluted:</w:t>
            </w:r>
          </w:p>
        </w:tc>
        <w:tc>
          <w:tcPr>
            <w:tcW w:w="620" w:type="dxa"/>
            <w:vAlign w:val="bottom"/>
            <w:shd w:val="clear" w:color="auto" w:fill="E6E6E6"/>
          </w:tcPr>
          <w:p>
            <w:pPr>
              <w:spacing w:after="0"/>
              <w:rPr>
                <w:sz w:val="17"/>
                <w:szCs w:val="17"/>
                <w:color w:val="auto"/>
              </w:rPr>
            </w:pPr>
          </w:p>
        </w:tc>
        <w:tc>
          <w:tcPr>
            <w:tcW w:w="840" w:type="dxa"/>
            <w:vAlign w:val="bottom"/>
            <w:shd w:val="clear" w:color="auto" w:fill="E6E6E6"/>
          </w:tcPr>
          <w:p>
            <w:pPr>
              <w:spacing w:after="0"/>
              <w:rPr>
                <w:sz w:val="17"/>
                <w:szCs w:val="17"/>
                <w:color w:val="auto"/>
              </w:rPr>
            </w:pPr>
          </w:p>
        </w:tc>
        <w:tc>
          <w:tcPr>
            <w:tcW w:w="400" w:type="dxa"/>
            <w:vAlign w:val="bottom"/>
            <w:shd w:val="clear" w:color="auto" w:fill="E6E6E6"/>
          </w:tcPr>
          <w:p>
            <w:pPr>
              <w:spacing w:after="0"/>
              <w:rPr>
                <w:sz w:val="17"/>
                <w:szCs w:val="17"/>
                <w:color w:val="auto"/>
              </w:rPr>
            </w:pPr>
          </w:p>
        </w:tc>
        <w:tc>
          <w:tcPr>
            <w:tcW w:w="860" w:type="dxa"/>
            <w:vAlign w:val="bottom"/>
            <w:shd w:val="clear" w:color="auto" w:fill="E6E6E6"/>
          </w:tcPr>
          <w:p>
            <w:pPr>
              <w:spacing w:after="0"/>
              <w:rPr>
                <w:sz w:val="17"/>
                <w:szCs w:val="17"/>
                <w:color w:val="auto"/>
              </w:rPr>
            </w:pPr>
          </w:p>
        </w:tc>
        <w:tc>
          <w:tcPr>
            <w:tcW w:w="400" w:type="dxa"/>
            <w:vAlign w:val="bottom"/>
            <w:shd w:val="clear" w:color="auto" w:fill="E6E6E6"/>
          </w:tcPr>
          <w:p>
            <w:pPr>
              <w:spacing w:after="0"/>
              <w:rPr>
                <w:sz w:val="17"/>
                <w:szCs w:val="17"/>
                <w:color w:val="auto"/>
              </w:rPr>
            </w:pPr>
          </w:p>
        </w:tc>
        <w:tc>
          <w:tcPr>
            <w:tcW w:w="860" w:type="dxa"/>
            <w:vAlign w:val="bottom"/>
            <w:shd w:val="clear" w:color="auto" w:fill="E6E6E6"/>
          </w:tcPr>
          <w:p>
            <w:pPr>
              <w:spacing w:after="0"/>
              <w:rPr>
                <w:sz w:val="17"/>
                <w:szCs w:val="17"/>
                <w:color w:val="auto"/>
              </w:rPr>
            </w:pPr>
          </w:p>
        </w:tc>
        <w:tc>
          <w:tcPr>
            <w:tcW w:w="400" w:type="dxa"/>
            <w:vAlign w:val="bottom"/>
            <w:shd w:val="clear" w:color="auto" w:fill="E6E6E6"/>
          </w:tcPr>
          <w:p>
            <w:pPr>
              <w:spacing w:after="0"/>
              <w:rPr>
                <w:sz w:val="17"/>
                <w:szCs w:val="17"/>
                <w:color w:val="auto"/>
              </w:rPr>
            </w:pPr>
          </w:p>
        </w:tc>
        <w:tc>
          <w:tcPr>
            <w:tcW w:w="860" w:type="dxa"/>
            <w:vAlign w:val="bottom"/>
            <w:shd w:val="clear" w:color="auto" w:fill="E6E6E6"/>
          </w:tcPr>
          <w:p>
            <w:pPr>
              <w:spacing w:after="0"/>
              <w:rPr>
                <w:sz w:val="17"/>
                <w:szCs w:val="17"/>
                <w:color w:val="auto"/>
              </w:rPr>
            </w:pPr>
          </w:p>
        </w:tc>
        <w:tc>
          <w:tcPr>
            <w:tcW w:w="360" w:type="dxa"/>
            <w:vAlign w:val="bottom"/>
            <w:shd w:val="clear" w:color="auto" w:fill="E6E6E6"/>
          </w:tcPr>
          <w:p>
            <w:pPr>
              <w:spacing w:after="0"/>
              <w:rPr>
                <w:sz w:val="17"/>
                <w:szCs w:val="17"/>
                <w:color w:val="auto"/>
              </w:rPr>
            </w:pPr>
          </w:p>
        </w:tc>
        <w:tc>
          <w:tcPr>
            <w:tcW w:w="840" w:type="dxa"/>
            <w:vAlign w:val="bottom"/>
            <w:shd w:val="clear" w:color="auto" w:fill="E6E6E6"/>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60" w:type="dxa"/>
            <w:vAlign w:val="bottom"/>
          </w:tcPr>
          <w:p>
            <w:pPr>
              <w:ind w:left="300"/>
              <w:spacing w:after="0" w:line="202" w:lineRule="exact"/>
              <w:rPr>
                <w:sz w:val="20"/>
                <w:szCs w:val="20"/>
                <w:color w:val="auto"/>
              </w:rPr>
            </w:pPr>
            <w:r>
              <w:rPr>
                <w:rFonts w:ascii="Arial" w:cs="Arial" w:eastAsia="Arial" w:hAnsi="Arial"/>
                <w:sz w:val="18"/>
                <w:szCs w:val="18"/>
                <w:color w:val="auto"/>
              </w:rPr>
              <w:t>(Loss) earnings from continuing operations</w:t>
            </w:r>
          </w:p>
        </w:tc>
        <w:tc>
          <w:tcPr>
            <w:tcW w:w="620" w:type="dxa"/>
            <w:vAlign w:val="bottom"/>
          </w:tcPr>
          <w:p>
            <w:pPr>
              <w:spacing w:after="0"/>
              <w:rPr>
                <w:sz w:val="17"/>
                <w:szCs w:val="17"/>
                <w:color w:val="auto"/>
              </w:rPr>
            </w:pPr>
          </w:p>
        </w:tc>
        <w:tc>
          <w:tcPr>
            <w:tcW w:w="840" w:type="dxa"/>
            <w:vAlign w:val="bottom"/>
          </w:tcPr>
          <w:p>
            <w:pPr>
              <w:jc w:val="right"/>
              <w:ind w:right="54"/>
              <w:spacing w:after="0" w:line="202" w:lineRule="exact"/>
              <w:rPr>
                <w:sz w:val="20"/>
                <w:szCs w:val="20"/>
                <w:color w:val="auto"/>
              </w:rPr>
            </w:pPr>
            <w:r>
              <w:rPr>
                <w:rFonts w:ascii="Arial" w:cs="Arial" w:eastAsia="Arial" w:hAnsi="Arial"/>
                <w:sz w:val="18"/>
                <w:szCs w:val="18"/>
                <w:color w:val="auto"/>
              </w:rPr>
              <w:t>(1.13)</w:t>
            </w:r>
          </w:p>
        </w:tc>
        <w:tc>
          <w:tcPr>
            <w:tcW w:w="400" w:type="dxa"/>
            <w:vAlign w:val="bottom"/>
          </w:tcPr>
          <w:p>
            <w:pPr>
              <w:spacing w:after="0"/>
              <w:rPr>
                <w:sz w:val="17"/>
                <w:szCs w:val="17"/>
                <w:color w:val="auto"/>
              </w:rPr>
            </w:pPr>
          </w:p>
        </w:tc>
        <w:tc>
          <w:tcPr>
            <w:tcW w:w="860" w:type="dxa"/>
            <w:vAlign w:val="bottom"/>
          </w:tcPr>
          <w:p>
            <w:pPr>
              <w:jc w:val="right"/>
              <w:ind w:right="114"/>
              <w:spacing w:after="0" w:line="202" w:lineRule="exact"/>
              <w:rPr>
                <w:sz w:val="20"/>
                <w:szCs w:val="20"/>
                <w:color w:val="auto"/>
              </w:rPr>
            </w:pPr>
            <w:r>
              <w:rPr>
                <w:rFonts w:ascii="Arial" w:cs="Arial" w:eastAsia="Arial" w:hAnsi="Arial"/>
                <w:sz w:val="18"/>
                <w:szCs w:val="18"/>
                <w:color w:val="auto"/>
              </w:rPr>
              <w:t>1.55</w:t>
            </w:r>
          </w:p>
        </w:tc>
        <w:tc>
          <w:tcPr>
            <w:tcW w:w="400" w:type="dxa"/>
            <w:vAlign w:val="bottom"/>
          </w:tcPr>
          <w:p>
            <w:pPr>
              <w:spacing w:after="0"/>
              <w:rPr>
                <w:sz w:val="17"/>
                <w:szCs w:val="17"/>
                <w:color w:val="auto"/>
              </w:rPr>
            </w:pPr>
          </w:p>
        </w:tc>
        <w:tc>
          <w:tcPr>
            <w:tcW w:w="860" w:type="dxa"/>
            <w:vAlign w:val="bottom"/>
          </w:tcPr>
          <w:p>
            <w:pPr>
              <w:jc w:val="right"/>
              <w:ind w:right="54"/>
              <w:spacing w:after="0" w:line="202" w:lineRule="exact"/>
              <w:rPr>
                <w:sz w:val="20"/>
                <w:szCs w:val="20"/>
                <w:color w:val="auto"/>
              </w:rPr>
            </w:pPr>
            <w:r>
              <w:rPr>
                <w:rFonts w:ascii="Arial" w:cs="Arial" w:eastAsia="Arial" w:hAnsi="Arial"/>
                <w:sz w:val="18"/>
                <w:szCs w:val="18"/>
                <w:color w:val="auto"/>
              </w:rPr>
              <w:t>(0.93)</w:t>
            </w:r>
          </w:p>
        </w:tc>
        <w:tc>
          <w:tcPr>
            <w:tcW w:w="400" w:type="dxa"/>
            <w:vAlign w:val="bottom"/>
          </w:tcPr>
          <w:p>
            <w:pPr>
              <w:spacing w:after="0"/>
              <w:rPr>
                <w:sz w:val="17"/>
                <w:szCs w:val="17"/>
                <w:color w:val="auto"/>
              </w:rPr>
            </w:pPr>
          </w:p>
        </w:tc>
        <w:tc>
          <w:tcPr>
            <w:tcW w:w="860" w:type="dxa"/>
            <w:vAlign w:val="bottom"/>
          </w:tcPr>
          <w:p>
            <w:pPr>
              <w:jc w:val="right"/>
              <w:ind w:right="114"/>
              <w:spacing w:after="0" w:line="202" w:lineRule="exact"/>
              <w:rPr>
                <w:sz w:val="20"/>
                <w:szCs w:val="20"/>
                <w:color w:val="auto"/>
              </w:rPr>
            </w:pPr>
            <w:r>
              <w:rPr>
                <w:rFonts w:ascii="Arial" w:cs="Arial" w:eastAsia="Arial" w:hAnsi="Arial"/>
                <w:sz w:val="18"/>
                <w:szCs w:val="18"/>
                <w:color w:val="auto"/>
              </w:rPr>
              <w:t>0.88</w:t>
            </w:r>
          </w:p>
        </w:tc>
        <w:tc>
          <w:tcPr>
            <w:tcW w:w="360" w:type="dxa"/>
            <w:vAlign w:val="bottom"/>
          </w:tcPr>
          <w:p>
            <w:pPr>
              <w:spacing w:after="0"/>
              <w:rPr>
                <w:sz w:val="17"/>
                <w:szCs w:val="17"/>
                <w:color w:val="auto"/>
              </w:rPr>
            </w:pPr>
          </w:p>
        </w:tc>
        <w:tc>
          <w:tcPr>
            <w:tcW w:w="840" w:type="dxa"/>
            <w:vAlign w:val="bottom"/>
          </w:tcPr>
          <w:p>
            <w:pPr>
              <w:jc w:val="right"/>
              <w:ind w:right="35"/>
              <w:spacing w:after="0" w:line="202" w:lineRule="exact"/>
              <w:rPr>
                <w:sz w:val="20"/>
                <w:szCs w:val="20"/>
                <w:color w:val="auto"/>
              </w:rPr>
            </w:pPr>
            <w:r>
              <w:rPr>
                <w:rFonts w:ascii="Arial" w:cs="Arial" w:eastAsia="Arial" w:hAnsi="Arial"/>
                <w:sz w:val="18"/>
                <w:szCs w:val="18"/>
                <w:color w:val="auto"/>
              </w:rPr>
              <w:t>0.35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60" w:type="dxa"/>
            <w:vAlign w:val="bottom"/>
            <w:shd w:val="clear" w:color="auto" w:fill="E6E6E6"/>
          </w:tcPr>
          <w:p>
            <w:pPr>
              <w:ind w:left="300"/>
              <w:spacing w:after="0" w:line="202" w:lineRule="exact"/>
              <w:rPr>
                <w:sz w:val="20"/>
                <w:szCs w:val="20"/>
                <w:color w:val="auto"/>
              </w:rPr>
            </w:pPr>
            <w:r>
              <w:rPr>
                <w:rFonts w:ascii="Arial" w:cs="Arial" w:eastAsia="Arial" w:hAnsi="Arial"/>
                <w:sz w:val="18"/>
                <w:szCs w:val="18"/>
                <w:color w:val="auto"/>
              </w:rPr>
              <w:t>Loss from discontinued operations, net of tax</w:t>
            </w:r>
          </w:p>
        </w:tc>
        <w:tc>
          <w:tcPr>
            <w:tcW w:w="620" w:type="dxa"/>
            <w:vAlign w:val="bottom"/>
            <w:shd w:val="clear" w:color="auto" w:fill="E6E6E6"/>
          </w:tcPr>
          <w:p>
            <w:pPr>
              <w:spacing w:after="0"/>
              <w:rPr>
                <w:sz w:val="17"/>
                <w:szCs w:val="17"/>
                <w:color w:val="auto"/>
              </w:rPr>
            </w:pPr>
          </w:p>
        </w:tc>
        <w:tc>
          <w:tcPr>
            <w:tcW w:w="840" w:type="dxa"/>
            <w:vAlign w:val="bottom"/>
            <w:shd w:val="clear" w:color="auto" w:fill="E6E6E6"/>
          </w:tcPr>
          <w:p>
            <w:pPr>
              <w:jc w:val="right"/>
              <w:ind w:right="54"/>
              <w:spacing w:after="0" w:line="202" w:lineRule="exact"/>
              <w:rPr>
                <w:sz w:val="20"/>
                <w:szCs w:val="20"/>
                <w:color w:val="auto"/>
              </w:rPr>
            </w:pPr>
            <w:r>
              <w:rPr>
                <w:rFonts w:ascii="Arial" w:cs="Arial" w:eastAsia="Arial" w:hAnsi="Arial"/>
                <w:sz w:val="18"/>
                <w:szCs w:val="18"/>
                <w:color w:val="auto"/>
              </w:rPr>
              <w:t>(0.17)</w:t>
            </w:r>
          </w:p>
        </w:tc>
        <w:tc>
          <w:tcPr>
            <w:tcW w:w="400" w:type="dxa"/>
            <w:vAlign w:val="bottom"/>
            <w:shd w:val="clear" w:color="auto" w:fill="E6E6E6"/>
          </w:tcPr>
          <w:p>
            <w:pPr>
              <w:spacing w:after="0"/>
              <w:rPr>
                <w:sz w:val="17"/>
                <w:szCs w:val="17"/>
                <w:color w:val="auto"/>
              </w:rPr>
            </w:pPr>
          </w:p>
        </w:tc>
        <w:tc>
          <w:tcPr>
            <w:tcW w:w="860" w:type="dxa"/>
            <w:vAlign w:val="bottom"/>
            <w:shd w:val="clear" w:color="auto" w:fill="E6E6E6"/>
          </w:tcPr>
          <w:p>
            <w:pPr>
              <w:jc w:val="right"/>
              <w:ind w:right="54"/>
              <w:spacing w:after="0" w:line="202" w:lineRule="exact"/>
              <w:rPr>
                <w:sz w:val="20"/>
                <w:szCs w:val="20"/>
                <w:color w:val="auto"/>
              </w:rPr>
            </w:pPr>
            <w:r>
              <w:rPr>
                <w:rFonts w:ascii="Arial" w:cs="Arial" w:eastAsia="Arial" w:hAnsi="Arial"/>
                <w:sz w:val="18"/>
                <w:szCs w:val="18"/>
                <w:color w:val="auto"/>
              </w:rPr>
              <w:t>(0.40)</w:t>
            </w:r>
          </w:p>
        </w:tc>
        <w:tc>
          <w:tcPr>
            <w:tcW w:w="400" w:type="dxa"/>
            <w:vAlign w:val="bottom"/>
            <w:shd w:val="clear" w:color="auto" w:fill="E6E6E6"/>
          </w:tcPr>
          <w:p>
            <w:pPr>
              <w:spacing w:after="0"/>
              <w:rPr>
                <w:sz w:val="17"/>
                <w:szCs w:val="17"/>
                <w:color w:val="auto"/>
              </w:rPr>
            </w:pPr>
          </w:p>
        </w:tc>
        <w:tc>
          <w:tcPr>
            <w:tcW w:w="860" w:type="dxa"/>
            <w:vAlign w:val="bottom"/>
            <w:shd w:val="clear" w:color="auto" w:fill="E6E6E6"/>
          </w:tcPr>
          <w:p>
            <w:pPr>
              <w:jc w:val="right"/>
              <w:ind w:right="54"/>
              <w:spacing w:after="0" w:line="202" w:lineRule="exact"/>
              <w:rPr>
                <w:sz w:val="20"/>
                <w:szCs w:val="20"/>
                <w:color w:val="auto"/>
              </w:rPr>
            </w:pPr>
            <w:r>
              <w:rPr>
                <w:rFonts w:ascii="Arial" w:cs="Arial" w:eastAsia="Arial" w:hAnsi="Arial"/>
                <w:sz w:val="18"/>
                <w:szCs w:val="18"/>
                <w:color w:val="auto"/>
              </w:rPr>
              <w:t>(0.05)</w:t>
            </w:r>
          </w:p>
        </w:tc>
        <w:tc>
          <w:tcPr>
            <w:tcW w:w="400" w:type="dxa"/>
            <w:vAlign w:val="bottom"/>
            <w:shd w:val="clear" w:color="auto" w:fill="E6E6E6"/>
          </w:tcPr>
          <w:p>
            <w:pPr>
              <w:spacing w:after="0"/>
              <w:rPr>
                <w:sz w:val="17"/>
                <w:szCs w:val="17"/>
                <w:color w:val="auto"/>
              </w:rPr>
            </w:pPr>
          </w:p>
        </w:tc>
        <w:tc>
          <w:tcPr>
            <w:tcW w:w="860" w:type="dxa"/>
            <w:vAlign w:val="bottom"/>
            <w:shd w:val="clear" w:color="auto" w:fill="E6E6E6"/>
          </w:tcPr>
          <w:p>
            <w:pPr>
              <w:jc w:val="right"/>
              <w:ind w:right="54"/>
              <w:spacing w:after="0" w:line="202" w:lineRule="exact"/>
              <w:rPr>
                <w:sz w:val="20"/>
                <w:szCs w:val="20"/>
                <w:color w:val="auto"/>
              </w:rPr>
            </w:pPr>
            <w:r>
              <w:rPr>
                <w:rFonts w:ascii="Arial" w:cs="Arial" w:eastAsia="Arial" w:hAnsi="Arial"/>
                <w:sz w:val="18"/>
                <w:szCs w:val="18"/>
                <w:color w:val="auto"/>
              </w:rPr>
              <w:t>(0.12)</w:t>
            </w:r>
          </w:p>
        </w:tc>
        <w:tc>
          <w:tcPr>
            <w:tcW w:w="360" w:type="dxa"/>
            <w:vAlign w:val="bottom"/>
            <w:shd w:val="clear" w:color="auto" w:fill="E6E6E6"/>
          </w:tcPr>
          <w:p>
            <w:pPr>
              <w:spacing w:after="0"/>
              <w:rPr>
                <w:sz w:val="17"/>
                <w:szCs w:val="17"/>
                <w:color w:val="auto"/>
              </w:rPr>
            </w:pPr>
          </w:p>
        </w:tc>
        <w:tc>
          <w:tcPr>
            <w:tcW w:w="84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(0.73)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960" w:type="dxa"/>
            <w:vAlign w:val="bottom"/>
          </w:tcPr>
          <w:p>
            <w:pPr>
              <w:ind w:left="300"/>
              <w:spacing w:after="0"/>
              <w:rPr>
                <w:sz w:val="20"/>
                <w:szCs w:val="20"/>
                <w:color w:val="auto"/>
              </w:rPr>
            </w:pPr>
            <w:r>
              <w:rPr>
                <w:rFonts w:ascii="Arial" w:cs="Arial" w:eastAsia="Arial" w:hAnsi="Arial"/>
                <w:sz w:val="18"/>
                <w:szCs w:val="18"/>
                <w:color w:val="auto"/>
              </w:rPr>
              <w:t>Net (loss) income</w:t>
            </w:r>
          </w:p>
        </w:tc>
        <w:tc>
          <w:tcPr>
            <w:tcW w:w="620" w:type="dxa"/>
            <w:vAlign w:val="bottom"/>
          </w:tcPr>
          <w:p>
            <w:pPr>
              <w:spacing w:after="0"/>
              <w:rPr>
                <w:sz w:val="18"/>
                <w:szCs w:val="18"/>
                <w:color w:val="auto"/>
              </w:rPr>
            </w:pPr>
          </w:p>
        </w:tc>
        <w:tc>
          <w:tcPr>
            <w:tcW w:w="840" w:type="dxa"/>
            <w:vAlign w:val="bottom"/>
          </w:tcPr>
          <w:p>
            <w:pPr>
              <w:jc w:val="right"/>
              <w:ind w:right="54"/>
              <w:spacing w:after="0"/>
              <w:rPr>
                <w:sz w:val="20"/>
                <w:szCs w:val="20"/>
                <w:color w:val="auto"/>
              </w:rPr>
            </w:pPr>
            <w:r>
              <w:rPr>
                <w:rFonts w:ascii="Arial" w:cs="Arial" w:eastAsia="Arial" w:hAnsi="Arial"/>
                <w:sz w:val="18"/>
                <w:szCs w:val="18"/>
                <w:color w:val="auto"/>
              </w:rPr>
              <w:t>(1.30)</w:t>
            </w:r>
          </w:p>
        </w:tc>
        <w:tc>
          <w:tcPr>
            <w:tcW w:w="400" w:type="dxa"/>
            <w:vAlign w:val="bottom"/>
          </w:tcPr>
          <w:p>
            <w:pPr>
              <w:spacing w:after="0"/>
              <w:rPr>
                <w:sz w:val="18"/>
                <w:szCs w:val="18"/>
                <w:color w:val="auto"/>
              </w:rPr>
            </w:pPr>
          </w:p>
        </w:tc>
        <w:tc>
          <w:tcPr>
            <w:tcW w:w="860" w:type="dxa"/>
            <w:vAlign w:val="bottom"/>
          </w:tcPr>
          <w:p>
            <w:pPr>
              <w:jc w:val="right"/>
              <w:ind w:right="114"/>
              <w:spacing w:after="0"/>
              <w:rPr>
                <w:sz w:val="20"/>
                <w:szCs w:val="20"/>
                <w:color w:val="auto"/>
              </w:rPr>
            </w:pPr>
            <w:r>
              <w:rPr>
                <w:rFonts w:ascii="Arial" w:cs="Arial" w:eastAsia="Arial" w:hAnsi="Arial"/>
                <w:sz w:val="18"/>
                <w:szCs w:val="18"/>
                <w:color w:val="auto"/>
              </w:rPr>
              <w:t>1.15</w:t>
            </w:r>
          </w:p>
        </w:tc>
        <w:tc>
          <w:tcPr>
            <w:tcW w:w="400" w:type="dxa"/>
            <w:vAlign w:val="bottom"/>
          </w:tcPr>
          <w:p>
            <w:pPr>
              <w:spacing w:after="0"/>
              <w:rPr>
                <w:sz w:val="18"/>
                <w:szCs w:val="18"/>
                <w:color w:val="auto"/>
              </w:rPr>
            </w:pPr>
          </w:p>
        </w:tc>
        <w:tc>
          <w:tcPr>
            <w:tcW w:w="860" w:type="dxa"/>
            <w:vAlign w:val="bottom"/>
          </w:tcPr>
          <w:p>
            <w:pPr>
              <w:jc w:val="right"/>
              <w:ind w:right="54"/>
              <w:spacing w:after="0"/>
              <w:rPr>
                <w:sz w:val="20"/>
                <w:szCs w:val="20"/>
                <w:color w:val="auto"/>
              </w:rPr>
            </w:pPr>
            <w:r>
              <w:rPr>
                <w:rFonts w:ascii="Arial" w:cs="Arial" w:eastAsia="Arial" w:hAnsi="Arial"/>
                <w:sz w:val="18"/>
                <w:szCs w:val="18"/>
                <w:color w:val="auto"/>
              </w:rPr>
              <w:t>(0.98)</w:t>
            </w:r>
          </w:p>
        </w:tc>
        <w:tc>
          <w:tcPr>
            <w:tcW w:w="400" w:type="dxa"/>
            <w:vAlign w:val="bottom"/>
          </w:tcPr>
          <w:p>
            <w:pPr>
              <w:spacing w:after="0"/>
              <w:rPr>
                <w:sz w:val="18"/>
                <w:szCs w:val="18"/>
                <w:color w:val="auto"/>
              </w:rPr>
            </w:pPr>
          </w:p>
        </w:tc>
        <w:tc>
          <w:tcPr>
            <w:tcW w:w="860" w:type="dxa"/>
            <w:vAlign w:val="bottom"/>
          </w:tcPr>
          <w:p>
            <w:pPr>
              <w:jc w:val="right"/>
              <w:ind w:right="114"/>
              <w:spacing w:after="0"/>
              <w:rPr>
                <w:sz w:val="20"/>
                <w:szCs w:val="20"/>
                <w:color w:val="auto"/>
              </w:rPr>
            </w:pPr>
            <w:r>
              <w:rPr>
                <w:rFonts w:ascii="Arial" w:cs="Arial" w:eastAsia="Arial" w:hAnsi="Arial"/>
                <w:sz w:val="18"/>
                <w:szCs w:val="18"/>
                <w:color w:val="auto"/>
              </w:rPr>
              <w:t>0.76</w:t>
            </w:r>
          </w:p>
        </w:tc>
        <w:tc>
          <w:tcPr>
            <w:tcW w:w="3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496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2663825</wp:posOffset>
            </wp:positionH>
            <wp:positionV relativeFrom="paragraph">
              <wp:posOffset>205740</wp:posOffset>
            </wp:positionV>
            <wp:extent cx="1929765" cy="231775"/>
            <wp:wrapNone/>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863">
                      <a:extLst>
                        <a:ext uri="{28A0092B-C50C-407E-A947-70E740481C1C}"/>
                      </a:extLst>
                    </a:blip>
                    <a:srcRect/>
                    <a:stretch>
                      <a:fillRect/>
                    </a:stretch>
                  </pic:blipFill>
                  <pic:spPr bwMode="auto">
                    <a:xfrm>
                      <a:off x="0" y="0"/>
                      <a:ext cx="1929765"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38735"/>
            <wp:wrapNone/>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86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40"/>
          </w:cols>
          <w:pgMar w:left="240" w:top="827" w:right="219" w:bottom="1440" w:gutter="0" w:footer="0" w:header="0"/>
        </w:sectPr>
      </w:pPr>
    </w:p>
    <w:bookmarkStart w:id="83" w:name="page84"/>
    <w:bookmarkEnd w:id="8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858" name="Picture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pic:cNvPicPr>
                      <a:picLocks noChangeAspect="1" noChangeArrowheads="1"/>
                    </pic:cNvPicPr>
                  </pic:nvPicPr>
                  <pic:blipFill>
                    <a:blip r:embed="rId865">
                      <a:extLst>
                        <a:ext uri="{28A0092B-C50C-407E-A947-70E740481C1C}"/>
                      </a:extLst>
                    </a:blip>
                    <a:srcRect/>
                    <a:stretch>
                      <a:fillRect/>
                    </a:stretch>
                  </pic:blipFill>
                  <pic:spPr bwMode="auto">
                    <a:xfrm>
                      <a:off x="0" y="0"/>
                      <a:ext cx="7263765" cy="8890"/>
                    </a:xfrm>
                    <a:prstGeom prst="rect">
                      <a:avLst/>
                    </a:prstGeom>
                    <a:noFill/>
                  </pic:spPr>
                </pic:pic>
              </a:graphicData>
            </a:graphic>
          </wp:anchor>
        </w:drawing>
        <w:t>Item 9 | Changes in and Disagreements with Accountants on Accounting and Financial Disclosure</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 Controls and Procedures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2"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Chief Executive Officer and Chief Financial Officer of the Corporation, after conducting an evaluation, together with other members of the Company’s management, of the effectiveness of the design and operation of the Corporation’s disclosure controls and procedures as of May 31, 2010, have concluded that the Corporation’s disclosure controls and procedures were effective to ensure that information required to be disclosed by the Corporation in its reports filed or submitted under the Securities Exchange Act of 1934 (the “Exchange Act”) is recorded, processed, summarized, and reported within the time periods specified in the rules and forms of the SEC and accumulated and communicated to members of the Corporation’s management, including the Chief Executive Officer and Chief Financial Officer, to allow timely decisions regarding required disclosure.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22"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The management of the Corporation is responsible for establishing and maintaining adequate internal control over financial reporting for the Corporation. A corporation’s internal control over financial reporting is a process designed to provide reasonable assurance regarding the reliability of financial reporting and the preparation of financial statements for external purposes in accordance with generally accepted accounting principles.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 The Company’s management (with the participation of the Corporation’s Chief Executive Officer and Chief Financial Officer), after conducting an evaluation, of the effectiveness of the Corporation’s internal control over financial reporting based on the framework in Internal Control - Integrated Framework issued by the Committee of Sponsoring Organizations of the Treadway Commission, concluded that the Corporation’s internal control over financial reporting was effective as of May 31, 2010.</w:t>
      </w:r>
    </w:p>
    <w:p>
      <w:pPr>
        <w:spacing w:after="0" w:line="174" w:lineRule="exact"/>
        <w:rPr>
          <w:sz w:val="20"/>
          <w:szCs w:val="20"/>
          <w:color w:val="auto"/>
        </w:rPr>
      </w:pPr>
    </w:p>
    <w:p>
      <w:pPr>
        <w:ind w:right="220"/>
        <w:spacing w:after="0" w:line="306" w:lineRule="auto"/>
        <w:rPr>
          <w:sz w:val="20"/>
          <w:szCs w:val="20"/>
          <w:color w:val="auto"/>
        </w:rPr>
      </w:pPr>
      <w:r>
        <w:rPr>
          <w:rFonts w:ascii="Arial" w:cs="Arial" w:eastAsia="Arial" w:hAnsi="Arial"/>
          <w:sz w:val="16"/>
          <w:szCs w:val="16"/>
          <w:color w:val="auto"/>
        </w:rPr>
        <w:t>Ernst &amp; Young LLP, an independent registered public accounting firm, has issued an attestation report on the Corporation’s internal control over financial reporting as of May 31, 2010, which is included herein. There was no change in the Corporation’s internal control over financial reporting that occurred during the quarter ended May 31, 2010 that materially affected, or is reasonably likely to materially affect, the Corporation’s internal control over financial reporting.</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 Other Information</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2663825</wp:posOffset>
            </wp:positionH>
            <wp:positionV relativeFrom="paragraph">
              <wp:posOffset>148590</wp:posOffset>
            </wp:positionV>
            <wp:extent cx="1929765" cy="231775"/>
            <wp:wrapNone/>
            <wp:docPr id="859" name="Pictur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pic:cNvPicPr>
                      <a:picLocks noChangeAspect="1" noChangeArrowheads="1"/>
                    </pic:cNvPicPr>
                  </pic:nvPicPr>
                  <pic:blipFill>
                    <a:blip r:embed="rId866">
                      <a:extLst>
                        <a:ext uri="{28A0092B-C50C-407E-A947-70E740481C1C}"/>
                      </a:extLst>
                    </a:blip>
                    <a:srcRect/>
                    <a:stretch>
                      <a:fillRect/>
                    </a:stretch>
                  </pic:blipFill>
                  <pic:spPr bwMode="auto">
                    <a:xfrm>
                      <a:off x="0" y="0"/>
                      <a:ext cx="1929765"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38735"/>
            <wp:wrapNone/>
            <wp:docPr id="860"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pic:cNvPicPr>
                      <a:picLocks noChangeAspect="1" noChangeArrowheads="1"/>
                    </pic:cNvPicPr>
                  </pic:nvPicPr>
                  <pic:blipFill>
                    <a:blip r:embed="rId86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823" w:right="259" w:bottom="1440" w:gutter="0" w:footer="0" w:header="0"/>
        </w:sectPr>
      </w:pPr>
    </w:p>
    <w:bookmarkStart w:id="84" w:name="page85"/>
    <w:bookmarkEnd w:id="84"/>
    <w:p>
      <w:pPr>
        <w:ind w:left="536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861" name="Picture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pic:cNvPicPr>
                      <a:picLocks noChangeAspect="1" noChangeArrowheads="1"/>
                    </pic:cNvPicPr>
                  </pic:nvPicPr>
                  <pic:blipFill>
                    <a:blip r:embed="rId868">
                      <a:extLst>
                        <a:ext uri="{28A0092B-C50C-407E-A947-70E740481C1C}"/>
                      </a:extLst>
                    </a:blip>
                    <a:srcRect/>
                    <a:stretch>
                      <a:fillRect/>
                    </a:stretch>
                  </pic:blipFill>
                  <pic:spPr bwMode="auto">
                    <a:xfrm>
                      <a:off x="0" y="0"/>
                      <a:ext cx="7263765" cy="8890"/>
                    </a:xfrm>
                    <a:prstGeom prst="rect">
                      <a:avLst/>
                    </a:prstGeom>
                    <a:noFill/>
                  </pic:spPr>
                </pic:pic>
              </a:graphicData>
            </a:graphic>
          </wp:anchor>
        </w:drawing>
        <w:t>Part III</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 Directors, Executive Officers and Corporate Governance</w:t>
      </w:r>
    </w:p>
    <w:p>
      <w:pPr>
        <w:spacing w:after="0" w:line="22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Information required by this item is incorporated herein by reference from the Corporation’s definitive proxy statement for the Annual Meeting of Stockholders to be held September 22, 2010 to be filed with the SEC pursuant to Regulation 14A under the Exchange Act. Certain information regarding the Corporation’s Executive Officers is set forth in Part I - Item 1 - Business.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 Executive Compensation</w:t>
      </w:r>
    </w:p>
    <w:p>
      <w:pPr>
        <w:spacing w:after="0" w:line="222"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Incorporated herein by reference from the Corporation’s definitive proxy statement for the Annual Meeting of Stockholders to be held September 22, 2010 to be filed pursuant to Regulation 14A under the Exchange Act.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 Security Ownership of Certain Beneficial Owners and Management and Related Stockholder Matters</w:t>
      </w:r>
    </w:p>
    <w:p>
      <w:pPr>
        <w:spacing w:after="0" w:line="222"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Incorporated herein by reference from the Corporation’s definitive proxy statement for the Annual Meeting of Stockholders to be held September 22, 2010 to be filed pursuant to Regulation 14A under the Exchange Act.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 Certain Relationships and Related Transactions, and Director Independence</w:t>
      </w:r>
    </w:p>
    <w:p>
      <w:pPr>
        <w:spacing w:after="0" w:line="222"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Incorporated herein by reference from the Corporation’s definitive proxy statement for the Annual Meeting of Stockholders to be held September 22, 2010 to be filed pursuant to Regulation 14A under the Exchange Act.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 Principal Accounting Fees and Services</w:t>
      </w:r>
    </w:p>
    <w:p>
      <w:pPr>
        <w:spacing w:after="0" w:line="222"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Incorporated herein by reference from the Corporation’s definitive proxy statement for the Annual Meeting of Stockholders to be held September 22, 2010 to be filed pursuant to Regulation 14A under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2663825</wp:posOffset>
            </wp:positionH>
            <wp:positionV relativeFrom="paragraph">
              <wp:posOffset>123190</wp:posOffset>
            </wp:positionV>
            <wp:extent cx="1929765" cy="231775"/>
            <wp:wrapNone/>
            <wp:docPr id="862" name="Picture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pic:cNvPicPr>
                      <a:picLocks noChangeAspect="1" noChangeArrowheads="1"/>
                    </pic:cNvPicPr>
                  </pic:nvPicPr>
                  <pic:blipFill>
                    <a:blip r:embed="rId869">
                      <a:extLst>
                        <a:ext uri="{28A0092B-C50C-407E-A947-70E740481C1C}"/>
                      </a:extLst>
                    </a:blip>
                    <a:srcRect/>
                    <a:stretch>
                      <a:fillRect/>
                    </a:stretch>
                  </pic:blipFill>
                  <pic:spPr bwMode="auto">
                    <a:xfrm>
                      <a:off x="0" y="0"/>
                      <a:ext cx="1929765"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38735"/>
            <wp:wrapNone/>
            <wp:docPr id="863" name="Picture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pic:cNvPicPr>
                      <a:picLocks noChangeAspect="1" noChangeArrowheads="1"/>
                    </pic:cNvPicPr>
                  </pic:nvPicPr>
                  <pic:blipFill>
                    <a:blip r:embed="rId87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814" w:right="259" w:bottom="1440" w:gutter="0" w:footer="0" w:header="0"/>
        </w:sectPr>
      </w:pPr>
    </w:p>
    <w:bookmarkStart w:id="85" w:name="page86"/>
    <w:bookmarkEnd w:id="85"/>
    <w:p>
      <w:pPr>
        <w:jc w:val="center"/>
        <w:ind w:right="-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864" name="Picture 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pic:cNvPicPr>
                      <a:picLocks noChangeAspect="1" noChangeArrowheads="1"/>
                    </pic:cNvPicPr>
                  </pic:nvPicPr>
                  <pic:blipFill>
                    <a:blip r:embed="rId871">
                      <a:extLst>
                        <a:ext uri="{28A0092B-C50C-407E-A947-70E740481C1C}"/>
                      </a:extLst>
                    </a:blip>
                    <a:srcRect/>
                    <a:stretch>
                      <a:fillRect/>
                    </a:stretch>
                  </pic:blipFill>
                  <pic:spPr bwMode="auto">
                    <a:xfrm>
                      <a:off x="0" y="0"/>
                      <a:ext cx="7263765" cy="8890"/>
                    </a:xfrm>
                    <a:prstGeom prst="rect">
                      <a:avLst/>
                    </a:prstGeom>
                    <a:noFill/>
                  </pic:spPr>
                </pic:pic>
              </a:graphicData>
            </a:graphic>
          </wp:anchor>
        </w:drawing>
        <w:t>Part IV</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 Exhibits, Financial Statement Schedules</w:t>
      </w:r>
    </w:p>
    <w:p>
      <w:pPr>
        <w:spacing w:after="0" w:line="23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(a)(1)</w:t>
      </w:r>
      <w:r>
        <w:rPr>
          <w:sz w:val="20"/>
          <w:szCs w:val="20"/>
          <w:color w:val="auto"/>
        </w:rPr>
        <w:tab/>
      </w:r>
      <w:r>
        <w:rPr>
          <w:rFonts w:ascii="Arial" w:cs="Arial" w:eastAsia="Arial" w:hAnsi="Arial"/>
          <w:sz w:val="18"/>
          <w:szCs w:val="18"/>
          <w:color w:val="auto"/>
        </w:rPr>
        <w:t>Financial Statements:</w:t>
      </w:r>
    </w:p>
    <w:p>
      <w:pPr>
        <w:spacing w:after="0" w:line="158" w:lineRule="exact"/>
        <w:rPr>
          <w:sz w:val="20"/>
          <w:szCs w:val="20"/>
          <w:color w:val="auto"/>
        </w:rPr>
      </w:pPr>
    </w:p>
    <w:p>
      <w:pPr>
        <w:ind w:left="1380"/>
        <w:spacing w:after="0"/>
        <w:rPr>
          <w:sz w:val="20"/>
          <w:szCs w:val="20"/>
          <w:color w:val="auto"/>
        </w:rPr>
      </w:pPr>
      <w:r>
        <w:rPr>
          <w:rFonts w:ascii="Arial" w:cs="Arial" w:eastAsia="Arial" w:hAnsi="Arial"/>
          <w:sz w:val="16"/>
          <w:szCs w:val="16"/>
          <w:color w:val="auto"/>
        </w:rPr>
        <w:t>The following consolidated financial statements are included in Part II, Item 8, “Consolidated Financial Statements and Supplementary Data”:</w:t>
      </w:r>
    </w:p>
    <w:p>
      <w:pPr>
        <w:spacing w:after="0" w:line="181" w:lineRule="exact"/>
        <w:rPr>
          <w:sz w:val="20"/>
          <w:szCs w:val="20"/>
          <w:color w:val="auto"/>
        </w:rPr>
      </w:pPr>
    </w:p>
    <w:p>
      <w:pPr>
        <w:ind w:left="1380" w:right="3720"/>
        <w:spacing w:after="0" w:line="422" w:lineRule="auto"/>
        <w:rPr>
          <w:sz w:val="20"/>
          <w:szCs w:val="20"/>
          <w:color w:val="auto"/>
        </w:rPr>
      </w:pPr>
      <w:r>
        <w:rPr>
          <w:rFonts w:ascii="Arial" w:cs="Arial" w:eastAsia="Arial" w:hAnsi="Arial"/>
          <w:sz w:val="18"/>
          <w:szCs w:val="18"/>
          <w:color w:val="auto"/>
        </w:rPr>
        <w:t>Consolidated Statements of Operations for the years ended May 31, 2010, 2009 and 2008 Consolidated Balance Sheets at May 31, 2010 and 2009</w:t>
      </w:r>
    </w:p>
    <w:p>
      <w:pPr>
        <w:spacing w:after="0" w:line="1" w:lineRule="exact"/>
        <w:rPr>
          <w:sz w:val="20"/>
          <w:szCs w:val="20"/>
          <w:color w:val="auto"/>
        </w:rPr>
      </w:pPr>
    </w:p>
    <w:p>
      <w:pPr>
        <w:ind w:left="1380" w:right="80"/>
        <w:spacing w:after="0" w:line="268" w:lineRule="auto"/>
        <w:rPr>
          <w:sz w:val="20"/>
          <w:szCs w:val="20"/>
          <w:color w:val="auto"/>
        </w:rPr>
      </w:pPr>
      <w:r>
        <w:rPr>
          <w:rFonts w:ascii="Arial" w:cs="Arial" w:eastAsia="Arial" w:hAnsi="Arial"/>
          <w:sz w:val="18"/>
          <w:szCs w:val="18"/>
          <w:color w:val="auto"/>
        </w:rPr>
        <w:t>Consolidated Statements of Changes in Stockholders’ Equity and Comprehensive Income (Loss) for the years ended May 31, 2010, 2009 and 2008</w:t>
      </w:r>
    </w:p>
    <w:p>
      <w:pPr>
        <w:spacing w:after="0" w:line="118" w:lineRule="exact"/>
        <w:rPr>
          <w:sz w:val="20"/>
          <w:szCs w:val="20"/>
          <w:color w:val="auto"/>
        </w:rPr>
      </w:pPr>
    </w:p>
    <w:p>
      <w:pPr>
        <w:ind w:left="1380" w:right="3680"/>
        <w:spacing w:after="0" w:line="422" w:lineRule="auto"/>
        <w:rPr>
          <w:sz w:val="20"/>
          <w:szCs w:val="20"/>
          <w:color w:val="auto"/>
        </w:rPr>
      </w:pPr>
      <w:r>
        <w:rPr>
          <w:rFonts w:ascii="Arial" w:cs="Arial" w:eastAsia="Arial" w:hAnsi="Arial"/>
          <w:sz w:val="18"/>
          <w:szCs w:val="18"/>
          <w:color w:val="auto"/>
        </w:rPr>
        <w:t>Consolidated Statements of Cash Flows for the years ended May 31, 2010, 2009 and 2008 Notes to Consolidated Financial Statements</w:t>
      </w:r>
    </w:p>
    <w:p>
      <w:pPr>
        <w:spacing w:after="0" w:line="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(a)(2)</w:t>
      </w:r>
      <w:r>
        <w:rPr>
          <w:sz w:val="20"/>
          <w:szCs w:val="20"/>
          <w:color w:val="auto"/>
        </w:rPr>
        <w:tab/>
      </w:r>
      <w:r>
        <w:rPr>
          <w:rFonts w:ascii="Arial" w:cs="Arial" w:eastAsia="Arial" w:hAnsi="Arial"/>
          <w:sz w:val="18"/>
          <w:szCs w:val="18"/>
          <w:color w:val="auto"/>
        </w:rPr>
        <w:t>Supplementary Financial Information - Summary of Quarterly Results of Operations Financial Statement Schedule: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and (c)</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The following consolidated financial statement schedule is included with this report: Schedule II-Valuation and Qualifying Accounts and Reserves.</w:t>
      </w:r>
    </w:p>
    <w:p>
      <w:pPr>
        <w:spacing w:after="0" w:line="181" w:lineRule="exact"/>
        <w:rPr>
          <w:sz w:val="20"/>
          <w:szCs w:val="20"/>
          <w:color w:val="auto"/>
        </w:rPr>
      </w:pPr>
    </w:p>
    <w:p>
      <w:pPr>
        <w:ind w:left="920" w:right="200"/>
        <w:spacing w:after="0" w:line="332" w:lineRule="auto"/>
        <w:rPr>
          <w:sz w:val="20"/>
          <w:szCs w:val="20"/>
          <w:color w:val="auto"/>
        </w:rPr>
      </w:pPr>
      <w:r>
        <w:rPr>
          <w:rFonts w:ascii="Arial" w:cs="Arial" w:eastAsia="Arial" w:hAnsi="Arial"/>
          <w:sz w:val="16"/>
          <w:szCs w:val="16"/>
          <w:color w:val="auto"/>
        </w:rPr>
        <w:t>All other schedules have been omitted since the required information is not present or is not present in amounts sufficient to require submission of the schedule, or because the information required is included in the Consolidated Financial Statements or the Notes thereto.</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(a)(3) and (b)</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20" w:type="dxa"/>
            <w:vAlign w:val="bottom"/>
          </w:tcPr>
          <w:p>
            <w:pPr>
              <w:spacing w:after="0"/>
              <w:rPr>
                <w:sz w:val="18"/>
                <w:szCs w:val="18"/>
                <w:color w:val="auto"/>
              </w:rPr>
            </w:pPr>
          </w:p>
        </w:tc>
        <w:tc>
          <w:tcPr>
            <w:tcW w:w="10480" w:type="dxa"/>
            <w:vAlign w:val="bottom"/>
            <w:gridSpan w:val="2"/>
          </w:tcPr>
          <w:p>
            <w:pPr>
              <w:spacing w:after="0"/>
              <w:rPr>
                <w:sz w:val="20"/>
                <w:szCs w:val="20"/>
                <w:color w:val="auto"/>
              </w:rPr>
            </w:pPr>
            <w:r>
              <w:rPr>
                <w:rFonts w:ascii="Arial" w:cs="Arial" w:eastAsia="Arial" w:hAnsi="Arial"/>
                <w:sz w:val="18"/>
                <w:szCs w:val="18"/>
                <w:color w:val="auto"/>
              </w:rPr>
              <w:t>Exhibits:</w:t>
            </w:r>
          </w:p>
        </w:tc>
      </w:tr>
      <w:tr>
        <w:trPr>
          <w:trHeight w:val="20"/>
        </w:trPr>
        <w:tc>
          <w:tcPr>
            <w:tcW w:w="9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9840" w:type="dxa"/>
            <w:vAlign w:val="bottom"/>
          </w:tcPr>
          <w:p>
            <w:pPr>
              <w:spacing w:after="0" w:line="20" w:lineRule="exact"/>
              <w:rPr>
                <w:sz w:val="1"/>
                <w:szCs w:val="1"/>
                <w:color w:val="auto"/>
              </w:rPr>
            </w:pPr>
          </w:p>
        </w:tc>
      </w:tr>
      <w:tr>
        <w:trPr>
          <w:trHeight w:val="377"/>
        </w:trPr>
        <w:tc>
          <w:tcPr>
            <w:tcW w:w="920" w:type="dxa"/>
            <w:vAlign w:val="bottom"/>
          </w:tcPr>
          <w:p>
            <w:pPr>
              <w:spacing w:after="0"/>
              <w:rPr>
                <w:sz w:val="20"/>
                <w:szCs w:val="20"/>
                <w:color w:val="auto"/>
              </w:rPr>
            </w:pPr>
            <w:r>
              <w:rPr>
                <w:rFonts w:ascii="Arial" w:cs="Arial" w:eastAsia="Arial" w:hAnsi="Arial"/>
                <w:sz w:val="18"/>
                <w:szCs w:val="18"/>
                <w:color w:val="auto"/>
              </w:rPr>
              <w:t>3.1</w:t>
            </w:r>
          </w:p>
        </w:tc>
        <w:tc>
          <w:tcPr>
            <w:tcW w:w="10480" w:type="dxa"/>
            <w:vAlign w:val="bottom"/>
            <w:gridSpan w:val="2"/>
          </w:tcPr>
          <w:p>
            <w:pPr>
              <w:spacing w:after="0"/>
              <w:rPr>
                <w:sz w:val="20"/>
                <w:szCs w:val="20"/>
                <w:color w:val="auto"/>
              </w:rPr>
            </w:pPr>
            <w:r>
              <w:rPr>
                <w:rFonts w:ascii="Arial" w:cs="Arial" w:eastAsia="Arial" w:hAnsi="Arial"/>
                <w:sz w:val="18"/>
                <w:szCs w:val="18"/>
                <w:color w:val="auto"/>
                <w:w w:val="88"/>
              </w:rPr>
              <w:t>Amended and Restated Certificate of Incorporation of the Corporation, as amended to date (incorporated by reference to the Corporation’s Quarterly</w:t>
            </w:r>
          </w:p>
        </w:tc>
      </w:tr>
      <w:tr>
        <w:trPr>
          <w:trHeight w:val="222"/>
        </w:trPr>
        <w:tc>
          <w:tcPr>
            <w:tcW w:w="920" w:type="dxa"/>
            <w:vAlign w:val="bottom"/>
          </w:tcPr>
          <w:p>
            <w:pPr>
              <w:spacing w:after="0"/>
              <w:rPr>
                <w:sz w:val="19"/>
                <w:szCs w:val="19"/>
                <w:color w:val="auto"/>
              </w:rPr>
            </w:pPr>
          </w:p>
        </w:tc>
        <w:tc>
          <w:tcPr>
            <w:tcW w:w="10480" w:type="dxa"/>
            <w:vAlign w:val="bottom"/>
            <w:gridSpan w:val="2"/>
          </w:tcPr>
          <w:p>
            <w:pPr>
              <w:spacing w:after="0"/>
              <w:rPr>
                <w:sz w:val="20"/>
                <w:szCs w:val="20"/>
                <w:color w:val="auto"/>
              </w:rPr>
            </w:pPr>
            <w:r>
              <w:rPr>
                <w:rFonts w:ascii="Arial" w:cs="Arial" w:eastAsia="Arial" w:hAnsi="Arial"/>
                <w:sz w:val="18"/>
                <w:szCs w:val="18"/>
                <w:color w:val="auto"/>
              </w:rPr>
              <w:t>Report on Form 10-Q as filed with the SEC on October 5, 2006, SEC File No. 000-19860) (the “August 31, 2006 10-Q”).</w:t>
            </w:r>
          </w:p>
        </w:tc>
      </w:tr>
      <w:tr>
        <w:trPr>
          <w:trHeight w:val="358"/>
        </w:trPr>
        <w:tc>
          <w:tcPr>
            <w:tcW w:w="920" w:type="dxa"/>
            <w:vAlign w:val="bottom"/>
          </w:tcPr>
          <w:p>
            <w:pPr>
              <w:spacing w:after="0"/>
              <w:rPr>
                <w:sz w:val="20"/>
                <w:szCs w:val="20"/>
                <w:color w:val="auto"/>
              </w:rPr>
            </w:pPr>
            <w:r>
              <w:rPr>
                <w:rFonts w:ascii="Arial" w:cs="Arial" w:eastAsia="Arial" w:hAnsi="Arial"/>
                <w:sz w:val="18"/>
                <w:szCs w:val="18"/>
                <w:color w:val="auto"/>
              </w:rPr>
              <w:t>3.2</w:t>
            </w:r>
          </w:p>
        </w:tc>
        <w:tc>
          <w:tcPr>
            <w:tcW w:w="10480" w:type="dxa"/>
            <w:vAlign w:val="bottom"/>
            <w:gridSpan w:val="2"/>
          </w:tcPr>
          <w:p>
            <w:pPr>
              <w:spacing w:after="0"/>
              <w:rPr>
                <w:sz w:val="20"/>
                <w:szCs w:val="20"/>
                <w:color w:val="auto"/>
              </w:rPr>
            </w:pPr>
            <w:r>
              <w:rPr>
                <w:rFonts w:ascii="Arial" w:cs="Arial" w:eastAsia="Arial" w:hAnsi="Arial"/>
                <w:sz w:val="18"/>
                <w:szCs w:val="18"/>
                <w:color w:val="auto"/>
                <w:w w:val="88"/>
              </w:rPr>
              <w:t>Bylaws of the Corporation, amended and restated as of December 12, 2007 (incorporated by reference to the Corporation’s Current Report on Form</w:t>
            </w:r>
          </w:p>
        </w:tc>
      </w:tr>
      <w:tr>
        <w:trPr>
          <w:trHeight w:val="222"/>
        </w:trPr>
        <w:tc>
          <w:tcPr>
            <w:tcW w:w="920" w:type="dxa"/>
            <w:vAlign w:val="bottom"/>
          </w:tcPr>
          <w:p>
            <w:pPr>
              <w:spacing w:after="0"/>
              <w:rPr>
                <w:sz w:val="19"/>
                <w:szCs w:val="19"/>
                <w:color w:val="auto"/>
              </w:rPr>
            </w:pPr>
          </w:p>
        </w:tc>
        <w:tc>
          <w:tcPr>
            <w:tcW w:w="10480" w:type="dxa"/>
            <w:vAlign w:val="bottom"/>
            <w:gridSpan w:val="2"/>
          </w:tcPr>
          <w:p>
            <w:pPr>
              <w:spacing w:after="0"/>
              <w:rPr>
                <w:sz w:val="20"/>
                <w:szCs w:val="20"/>
                <w:color w:val="auto"/>
              </w:rPr>
            </w:pPr>
            <w:r>
              <w:rPr>
                <w:rFonts w:ascii="Arial" w:cs="Arial" w:eastAsia="Arial" w:hAnsi="Arial"/>
                <w:sz w:val="18"/>
                <w:szCs w:val="18"/>
                <w:color w:val="auto"/>
              </w:rPr>
              <w:t>8-K as filed with the SEC on December 14, 2007, SEC File No. 000-19860).</w:t>
            </w:r>
          </w:p>
        </w:tc>
      </w:tr>
      <w:tr>
        <w:trPr>
          <w:trHeight w:val="358"/>
        </w:trPr>
        <w:tc>
          <w:tcPr>
            <w:tcW w:w="920" w:type="dxa"/>
            <w:vAlign w:val="bottom"/>
          </w:tcPr>
          <w:p>
            <w:pPr>
              <w:spacing w:after="0"/>
              <w:rPr>
                <w:sz w:val="20"/>
                <w:szCs w:val="20"/>
                <w:color w:val="auto"/>
              </w:rPr>
            </w:pPr>
            <w:r>
              <w:rPr>
                <w:rFonts w:ascii="Arial" w:cs="Arial" w:eastAsia="Arial" w:hAnsi="Arial"/>
                <w:sz w:val="18"/>
                <w:szCs w:val="18"/>
                <w:color w:val="auto"/>
              </w:rPr>
              <w:t>4.1</w:t>
            </w:r>
          </w:p>
        </w:tc>
        <w:tc>
          <w:tcPr>
            <w:tcW w:w="10480" w:type="dxa"/>
            <w:vAlign w:val="bottom"/>
            <w:gridSpan w:val="2"/>
          </w:tcPr>
          <w:p>
            <w:pPr>
              <w:spacing w:after="0"/>
              <w:rPr>
                <w:sz w:val="20"/>
                <w:szCs w:val="20"/>
                <w:color w:val="auto"/>
              </w:rPr>
            </w:pPr>
            <w:r>
              <w:rPr>
                <w:rFonts w:ascii="Arial" w:cs="Arial" w:eastAsia="Arial" w:hAnsi="Arial"/>
                <w:sz w:val="18"/>
                <w:szCs w:val="18"/>
                <w:color w:val="auto"/>
                <w:w w:val="88"/>
              </w:rPr>
              <w:t>Credit Agreement, dated as of June 1, 2007, among the Corporation and Scholastic Inc., as borrowers, the Initial Lenders named therein, JP Morgan</w:t>
            </w:r>
          </w:p>
        </w:tc>
      </w:tr>
      <w:tr>
        <w:trPr>
          <w:trHeight w:val="216"/>
        </w:trPr>
        <w:tc>
          <w:tcPr>
            <w:tcW w:w="920" w:type="dxa"/>
            <w:vAlign w:val="bottom"/>
          </w:tcPr>
          <w:p>
            <w:pPr>
              <w:spacing w:after="0"/>
              <w:rPr>
                <w:sz w:val="18"/>
                <w:szCs w:val="18"/>
                <w:color w:val="auto"/>
              </w:rPr>
            </w:pPr>
          </w:p>
        </w:tc>
        <w:tc>
          <w:tcPr>
            <w:tcW w:w="10480" w:type="dxa"/>
            <w:vAlign w:val="bottom"/>
            <w:gridSpan w:val="2"/>
          </w:tcPr>
          <w:p>
            <w:pPr>
              <w:spacing w:after="0"/>
              <w:rPr>
                <w:sz w:val="20"/>
                <w:szCs w:val="20"/>
                <w:color w:val="auto"/>
              </w:rPr>
            </w:pPr>
            <w:r>
              <w:rPr>
                <w:rFonts w:ascii="Arial" w:cs="Arial" w:eastAsia="Arial" w:hAnsi="Arial"/>
                <w:sz w:val="18"/>
                <w:szCs w:val="18"/>
                <w:color w:val="auto"/>
                <w:w w:val="93"/>
              </w:rPr>
              <w:t>Chase Bank, N.A., as administrative agent, J.P. Morgan Securities Inc. and Bank of America Securities LLC., as joint lead arrangers and joint</w:t>
            </w:r>
          </w:p>
        </w:tc>
      </w:tr>
      <w:tr>
        <w:trPr>
          <w:trHeight w:val="216"/>
        </w:trPr>
        <w:tc>
          <w:tcPr>
            <w:tcW w:w="920" w:type="dxa"/>
            <w:vAlign w:val="bottom"/>
          </w:tcPr>
          <w:p>
            <w:pPr>
              <w:spacing w:after="0"/>
              <w:rPr>
                <w:sz w:val="18"/>
                <w:szCs w:val="18"/>
                <w:color w:val="auto"/>
              </w:rPr>
            </w:pPr>
          </w:p>
        </w:tc>
        <w:tc>
          <w:tcPr>
            <w:tcW w:w="10480" w:type="dxa"/>
            <w:vAlign w:val="bottom"/>
            <w:gridSpan w:val="2"/>
          </w:tcPr>
          <w:p>
            <w:pPr>
              <w:spacing w:after="0"/>
              <w:rPr>
                <w:sz w:val="20"/>
                <w:szCs w:val="20"/>
                <w:color w:val="auto"/>
              </w:rPr>
            </w:pPr>
            <w:r>
              <w:rPr>
                <w:rFonts w:ascii="Arial" w:cs="Arial" w:eastAsia="Arial" w:hAnsi="Arial"/>
                <w:sz w:val="18"/>
                <w:szCs w:val="18"/>
                <w:color w:val="auto"/>
                <w:w w:val="88"/>
              </w:rPr>
              <w:t>bookrunners, Bank of America, N. A. and Wachovia Bank, N. A., as syndication agents, and SunTrust Bank and The Royal Bank of Scotland, plc, as</w:t>
            </w:r>
          </w:p>
        </w:tc>
      </w:tr>
      <w:tr>
        <w:trPr>
          <w:trHeight w:val="216"/>
        </w:trPr>
        <w:tc>
          <w:tcPr>
            <w:tcW w:w="920" w:type="dxa"/>
            <w:vAlign w:val="bottom"/>
          </w:tcPr>
          <w:p>
            <w:pPr>
              <w:spacing w:after="0"/>
              <w:rPr>
                <w:sz w:val="18"/>
                <w:szCs w:val="18"/>
                <w:color w:val="auto"/>
              </w:rPr>
            </w:pPr>
          </w:p>
        </w:tc>
        <w:tc>
          <w:tcPr>
            <w:tcW w:w="10480" w:type="dxa"/>
            <w:vAlign w:val="bottom"/>
            <w:gridSpan w:val="2"/>
          </w:tcPr>
          <w:p>
            <w:pPr>
              <w:spacing w:after="0"/>
              <w:rPr>
                <w:sz w:val="20"/>
                <w:szCs w:val="20"/>
                <w:color w:val="auto"/>
              </w:rPr>
            </w:pPr>
            <w:r>
              <w:rPr>
                <w:rFonts w:ascii="Arial" w:cs="Arial" w:eastAsia="Arial" w:hAnsi="Arial"/>
                <w:sz w:val="18"/>
                <w:szCs w:val="18"/>
                <w:color w:val="auto"/>
                <w:w w:val="90"/>
              </w:rPr>
              <w:t>Documentation Agents (incorporated by reference to the Corporation’s Annual Report on Form 10-K as filed with the SEC on July 30, 2007, SEC</w:t>
            </w:r>
          </w:p>
        </w:tc>
      </w:tr>
      <w:tr>
        <w:trPr>
          <w:trHeight w:val="222"/>
        </w:trPr>
        <w:tc>
          <w:tcPr>
            <w:tcW w:w="920" w:type="dxa"/>
            <w:vAlign w:val="bottom"/>
          </w:tcPr>
          <w:p>
            <w:pPr>
              <w:spacing w:after="0"/>
              <w:rPr>
                <w:sz w:val="19"/>
                <w:szCs w:val="19"/>
                <w:color w:val="auto"/>
              </w:rPr>
            </w:pPr>
          </w:p>
        </w:tc>
        <w:tc>
          <w:tcPr>
            <w:tcW w:w="10480" w:type="dxa"/>
            <w:vAlign w:val="bottom"/>
            <w:gridSpan w:val="2"/>
          </w:tcPr>
          <w:p>
            <w:pPr>
              <w:spacing w:after="0"/>
              <w:rPr>
                <w:sz w:val="20"/>
                <w:szCs w:val="20"/>
                <w:color w:val="auto"/>
              </w:rPr>
            </w:pPr>
            <w:r>
              <w:rPr>
                <w:rFonts w:ascii="Arial" w:cs="Arial" w:eastAsia="Arial" w:hAnsi="Arial"/>
                <w:sz w:val="18"/>
                <w:szCs w:val="18"/>
                <w:color w:val="auto"/>
              </w:rPr>
              <w:t>File No. 000-19860) (the “2007 10-K”).</w:t>
            </w:r>
          </w:p>
        </w:tc>
      </w:tr>
      <w:tr>
        <w:trPr>
          <w:trHeight w:val="365"/>
        </w:trPr>
        <w:tc>
          <w:tcPr>
            <w:tcW w:w="920" w:type="dxa"/>
            <w:vAlign w:val="bottom"/>
          </w:tcPr>
          <w:p>
            <w:pPr>
              <w:spacing w:after="0"/>
              <w:rPr>
                <w:sz w:val="20"/>
                <w:szCs w:val="20"/>
                <w:color w:val="auto"/>
              </w:rPr>
            </w:pPr>
            <w:r>
              <w:rPr>
                <w:rFonts w:ascii="Arial" w:cs="Arial" w:eastAsia="Arial" w:hAnsi="Arial"/>
                <w:sz w:val="18"/>
                <w:szCs w:val="18"/>
                <w:color w:val="auto"/>
              </w:rPr>
              <w:t>4.2*</w:t>
            </w:r>
          </w:p>
        </w:tc>
        <w:tc>
          <w:tcPr>
            <w:tcW w:w="10480" w:type="dxa"/>
            <w:vAlign w:val="bottom"/>
            <w:gridSpan w:val="2"/>
          </w:tcPr>
          <w:p>
            <w:pPr>
              <w:spacing w:after="0"/>
              <w:rPr>
                <w:sz w:val="20"/>
                <w:szCs w:val="20"/>
                <w:color w:val="auto"/>
              </w:rPr>
            </w:pPr>
            <w:r>
              <w:rPr>
                <w:rFonts w:ascii="Arial" w:cs="Arial" w:eastAsia="Arial" w:hAnsi="Arial"/>
                <w:sz w:val="18"/>
                <w:szCs w:val="18"/>
                <w:color w:val="auto"/>
              </w:rPr>
              <w:t>Indenture dated April 4, 2003 for 5% Notes due 2013 issued by the Corporation.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2663825</wp:posOffset>
            </wp:positionH>
            <wp:positionV relativeFrom="paragraph">
              <wp:posOffset>292735</wp:posOffset>
            </wp:positionV>
            <wp:extent cx="1929765" cy="231775"/>
            <wp:wrapNone/>
            <wp:docPr id="865"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pic:cNvPicPr>
                      <a:picLocks noChangeAspect="1" noChangeArrowheads="1"/>
                    </pic:cNvPicPr>
                  </pic:nvPicPr>
                  <pic:blipFill>
                    <a:blip r:embed="rId872">
                      <a:extLst>
                        <a:ext uri="{28A0092B-C50C-407E-A947-70E740481C1C}"/>
                      </a:extLst>
                    </a:blip>
                    <a:srcRect/>
                    <a:stretch>
                      <a:fillRect/>
                    </a:stretch>
                  </pic:blipFill>
                  <pic:spPr bwMode="auto">
                    <a:xfrm>
                      <a:off x="0" y="0"/>
                      <a:ext cx="1929765"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38735"/>
            <wp:wrapNone/>
            <wp:docPr id="866" name="Picture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pic:cNvPicPr>
                      <a:picLocks noChangeAspect="1" noChangeArrowheads="1"/>
                    </pic:cNvPicPr>
                  </pic:nvPicPr>
                  <pic:blipFill>
                    <a:blip r:embed="rId87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814" w:right="259" w:bottom="1440" w:gutter="0" w:footer="0" w:header="0"/>
        </w:sectPr>
      </w:pPr>
    </w:p>
    <w:bookmarkStart w:id="86" w:name="page87"/>
    <w:bookmarkEnd w:id="86"/>
    <w:tbl>
      <w:tblPr>
        <w:tblLayout w:type="fixed"/>
        <w:tblInd w:w="0" w:type="dxa"/>
        <w:tblCellMar>
          <w:top w:w="0" w:type="dxa"/>
          <w:left w:w="0" w:type="dxa"/>
          <w:bottom w:w="0" w:type="dxa"/>
          <w:right w:w="0" w:type="dxa"/>
        </w:tblCellMar>
      </w:tblP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10.1**</w:t>
            </w:r>
          </w:p>
        </w:tc>
        <w:tc>
          <w:tcPr>
            <w:tcW w:w="10660" w:type="dxa"/>
            <w:vAlign w:val="bottom"/>
          </w:tcPr>
          <w:p>
            <w:pPr>
              <w:ind w:left="160"/>
              <w:spacing w:after="0"/>
              <w:rPr>
                <w:sz w:val="20"/>
                <w:szCs w:val="20"/>
                <w:color w:val="auto"/>
              </w:rPr>
            </w:pPr>
            <w:r>
              <w:rPr>
                <w:rFonts w:ascii="Arial" w:cs="Arial" w:eastAsia="Arial" w:hAnsi="Arial"/>
                <w:sz w:val="18"/>
                <w:szCs w:val="18"/>
                <w:color w:val="auto"/>
                <w:w w:val="91"/>
              </w:rPr>
              <w:t>Scholastic Corporation 1995 Stock Option Plan, effective as of September 21, 1995 (incorporated by reference to the Corporation’s Registration</w:t>
            </w:r>
          </w:p>
        </w:tc>
      </w:tr>
      <w:tr>
        <w:trPr>
          <w:trHeight w:val="216"/>
        </w:trPr>
        <w:tc>
          <w:tcPr>
            <w:tcW w:w="760" w:type="dxa"/>
            <w:vAlign w:val="bottom"/>
          </w:tcPr>
          <w:p>
            <w:pPr>
              <w:spacing w:after="0"/>
              <w:rPr>
                <w:sz w:val="18"/>
                <w:szCs w:val="18"/>
                <w:color w:val="auto"/>
              </w:rPr>
            </w:pPr>
          </w:p>
        </w:tc>
        <w:tc>
          <w:tcPr>
            <w:tcW w:w="10660" w:type="dxa"/>
            <w:vAlign w:val="bottom"/>
          </w:tcPr>
          <w:p>
            <w:pPr>
              <w:ind w:left="160"/>
              <w:spacing w:after="0"/>
              <w:rPr>
                <w:sz w:val="20"/>
                <w:szCs w:val="20"/>
                <w:color w:val="auto"/>
              </w:rPr>
            </w:pPr>
            <w:r>
              <w:rPr>
                <w:rFonts w:ascii="Arial" w:cs="Arial" w:eastAsia="Arial" w:hAnsi="Arial"/>
                <w:sz w:val="18"/>
                <w:szCs w:val="18"/>
                <w:color w:val="auto"/>
                <w:w w:val="94"/>
              </w:rPr>
              <w:t>Statement on Form S-8 (Registration No. 33-98186), as filed with the SEC on October 16, 1995), together with Amendment No. 1, effective</w:t>
            </w:r>
          </w:p>
        </w:tc>
      </w:tr>
      <w:tr>
        <w:trPr>
          <w:trHeight w:val="216"/>
        </w:trPr>
        <w:tc>
          <w:tcPr>
            <w:tcW w:w="760" w:type="dxa"/>
            <w:vAlign w:val="bottom"/>
          </w:tcPr>
          <w:p>
            <w:pPr>
              <w:spacing w:after="0"/>
              <w:rPr>
                <w:sz w:val="18"/>
                <w:szCs w:val="18"/>
                <w:color w:val="auto"/>
              </w:rPr>
            </w:pPr>
          </w:p>
        </w:tc>
        <w:tc>
          <w:tcPr>
            <w:tcW w:w="10660" w:type="dxa"/>
            <w:vAlign w:val="bottom"/>
          </w:tcPr>
          <w:p>
            <w:pPr>
              <w:ind w:left="160"/>
              <w:spacing w:after="0"/>
              <w:rPr>
                <w:sz w:val="20"/>
                <w:szCs w:val="20"/>
                <w:color w:val="auto"/>
              </w:rPr>
            </w:pPr>
            <w:r>
              <w:rPr>
                <w:rFonts w:ascii="Arial" w:cs="Arial" w:eastAsia="Arial" w:hAnsi="Arial"/>
                <w:sz w:val="18"/>
                <w:szCs w:val="18"/>
                <w:color w:val="auto"/>
                <w:w w:val="88"/>
              </w:rPr>
              <w:t>September 16, 1998 (incorporated by reference to the Corporation’s Quarterly Report on Form 10-Q as filed with the SEC on October 15, 1998, SEC</w:t>
            </w:r>
          </w:p>
        </w:tc>
      </w:tr>
      <w:tr>
        <w:trPr>
          <w:trHeight w:val="216"/>
        </w:trPr>
        <w:tc>
          <w:tcPr>
            <w:tcW w:w="760" w:type="dxa"/>
            <w:vAlign w:val="bottom"/>
          </w:tcPr>
          <w:p>
            <w:pPr>
              <w:spacing w:after="0"/>
              <w:rPr>
                <w:sz w:val="18"/>
                <w:szCs w:val="18"/>
                <w:color w:val="auto"/>
              </w:rPr>
            </w:pPr>
          </w:p>
        </w:tc>
        <w:tc>
          <w:tcPr>
            <w:tcW w:w="10660" w:type="dxa"/>
            <w:vAlign w:val="bottom"/>
          </w:tcPr>
          <w:p>
            <w:pPr>
              <w:ind w:left="160"/>
              <w:spacing w:after="0"/>
              <w:rPr>
                <w:sz w:val="20"/>
                <w:szCs w:val="20"/>
                <w:color w:val="auto"/>
              </w:rPr>
            </w:pPr>
            <w:r>
              <w:rPr>
                <w:rFonts w:ascii="Arial" w:cs="Arial" w:eastAsia="Arial" w:hAnsi="Arial"/>
                <w:sz w:val="18"/>
                <w:szCs w:val="18"/>
                <w:color w:val="auto"/>
                <w:w w:val="90"/>
              </w:rPr>
              <w:t>File No. 000-19860), Amendment No. 2, effective as of July 18, 2001 (incorporated by reference to the Corporation’s Annual Report on Form 10-K</w:t>
            </w:r>
          </w:p>
        </w:tc>
      </w:tr>
      <w:tr>
        <w:trPr>
          <w:trHeight w:val="216"/>
        </w:trPr>
        <w:tc>
          <w:tcPr>
            <w:tcW w:w="760" w:type="dxa"/>
            <w:vAlign w:val="bottom"/>
          </w:tcPr>
          <w:p>
            <w:pPr>
              <w:spacing w:after="0"/>
              <w:rPr>
                <w:sz w:val="18"/>
                <w:szCs w:val="18"/>
                <w:color w:val="auto"/>
              </w:rPr>
            </w:pPr>
          </w:p>
        </w:tc>
        <w:tc>
          <w:tcPr>
            <w:tcW w:w="10660" w:type="dxa"/>
            <w:vAlign w:val="bottom"/>
          </w:tcPr>
          <w:p>
            <w:pPr>
              <w:ind w:left="160"/>
              <w:spacing w:after="0"/>
              <w:rPr>
                <w:sz w:val="20"/>
                <w:szCs w:val="20"/>
                <w:color w:val="auto"/>
              </w:rPr>
            </w:pPr>
            <w:r>
              <w:rPr>
                <w:rFonts w:ascii="Arial" w:cs="Arial" w:eastAsia="Arial" w:hAnsi="Arial"/>
                <w:sz w:val="18"/>
                <w:szCs w:val="18"/>
                <w:color w:val="auto"/>
                <w:w w:val="89"/>
              </w:rPr>
              <w:t>as filed with the SEC on August 24, 2001, SEC File No. 000-19860), Amendment No. 3, effective as of May 25, 2006 (incorporated by reference to</w:t>
            </w:r>
          </w:p>
        </w:tc>
      </w:tr>
      <w:tr>
        <w:trPr>
          <w:trHeight w:val="216"/>
        </w:trPr>
        <w:tc>
          <w:tcPr>
            <w:tcW w:w="760" w:type="dxa"/>
            <w:vAlign w:val="bottom"/>
          </w:tcPr>
          <w:p>
            <w:pPr>
              <w:spacing w:after="0"/>
              <w:rPr>
                <w:sz w:val="18"/>
                <w:szCs w:val="18"/>
                <w:color w:val="auto"/>
              </w:rPr>
            </w:pPr>
          </w:p>
        </w:tc>
        <w:tc>
          <w:tcPr>
            <w:tcW w:w="10660" w:type="dxa"/>
            <w:vAlign w:val="bottom"/>
          </w:tcPr>
          <w:p>
            <w:pPr>
              <w:ind w:left="160"/>
              <w:spacing w:after="0"/>
              <w:rPr>
                <w:sz w:val="20"/>
                <w:szCs w:val="20"/>
                <w:color w:val="auto"/>
              </w:rPr>
            </w:pPr>
            <w:r>
              <w:rPr>
                <w:rFonts w:ascii="Arial" w:cs="Arial" w:eastAsia="Arial" w:hAnsi="Arial"/>
                <w:sz w:val="18"/>
                <w:szCs w:val="18"/>
                <w:color w:val="auto"/>
                <w:w w:val="90"/>
              </w:rPr>
              <w:t>the Corporation’s Annual Report on Form 10-K as filed with the SEC on August 9, 2006, SEC File No. 000-19860 (the “2006 10-K”)), Amendment</w:t>
            </w:r>
          </w:p>
        </w:tc>
      </w:tr>
      <w:tr>
        <w:trPr>
          <w:trHeight w:val="216"/>
        </w:trPr>
        <w:tc>
          <w:tcPr>
            <w:tcW w:w="760" w:type="dxa"/>
            <w:vAlign w:val="bottom"/>
          </w:tcPr>
          <w:p>
            <w:pPr>
              <w:spacing w:after="0"/>
              <w:rPr>
                <w:sz w:val="18"/>
                <w:szCs w:val="18"/>
                <w:color w:val="auto"/>
              </w:rPr>
            </w:pPr>
          </w:p>
        </w:tc>
        <w:tc>
          <w:tcPr>
            <w:tcW w:w="10660" w:type="dxa"/>
            <w:vAlign w:val="bottom"/>
          </w:tcPr>
          <w:p>
            <w:pPr>
              <w:ind w:left="160"/>
              <w:spacing w:after="0"/>
              <w:rPr>
                <w:sz w:val="20"/>
                <w:szCs w:val="20"/>
                <w:color w:val="auto"/>
              </w:rPr>
            </w:pPr>
            <w:r>
              <w:rPr>
                <w:rFonts w:ascii="Arial" w:cs="Arial" w:eastAsia="Arial" w:hAnsi="Arial"/>
                <w:sz w:val="18"/>
                <w:szCs w:val="18"/>
                <w:color w:val="auto"/>
                <w:w w:val="90"/>
              </w:rPr>
              <w:t>No. 4, dated as of March 21, 2007 (incorporated by reference to the Corporation’s Quarterly Report on Form 10-Q as filed with the SEC on March</w:t>
            </w:r>
          </w:p>
        </w:tc>
      </w:tr>
      <w:tr>
        <w:trPr>
          <w:trHeight w:val="216"/>
        </w:trPr>
        <w:tc>
          <w:tcPr>
            <w:tcW w:w="760" w:type="dxa"/>
            <w:vAlign w:val="bottom"/>
          </w:tcPr>
          <w:p>
            <w:pPr>
              <w:spacing w:after="0"/>
              <w:rPr>
                <w:sz w:val="18"/>
                <w:szCs w:val="18"/>
                <w:color w:val="auto"/>
              </w:rPr>
            </w:pPr>
          </w:p>
        </w:tc>
        <w:tc>
          <w:tcPr>
            <w:tcW w:w="10660" w:type="dxa"/>
            <w:vAlign w:val="bottom"/>
          </w:tcPr>
          <w:p>
            <w:pPr>
              <w:ind w:left="160"/>
              <w:spacing w:after="0"/>
              <w:rPr>
                <w:sz w:val="20"/>
                <w:szCs w:val="20"/>
                <w:color w:val="auto"/>
              </w:rPr>
            </w:pPr>
            <w:r>
              <w:rPr>
                <w:rFonts w:ascii="Arial" w:cs="Arial" w:eastAsia="Arial" w:hAnsi="Arial"/>
                <w:sz w:val="18"/>
                <w:szCs w:val="18"/>
                <w:color w:val="auto"/>
                <w:w w:val="89"/>
              </w:rPr>
              <w:t>30, 2007 (the “February 28, 2007 10-Q”)) and Amendment No. 5, dated as of May 20, 2008 (incorporated by reference to the Corporation’s Annual</w:t>
            </w:r>
          </w:p>
        </w:tc>
      </w:tr>
      <w:tr>
        <w:trPr>
          <w:trHeight w:val="222"/>
        </w:trPr>
        <w:tc>
          <w:tcPr>
            <w:tcW w:w="760" w:type="dxa"/>
            <w:vAlign w:val="bottom"/>
          </w:tcPr>
          <w:p>
            <w:pPr>
              <w:spacing w:after="0"/>
              <w:rPr>
                <w:sz w:val="19"/>
                <w:szCs w:val="19"/>
                <w:color w:val="auto"/>
              </w:rPr>
            </w:pPr>
          </w:p>
        </w:tc>
        <w:tc>
          <w:tcPr>
            <w:tcW w:w="10660" w:type="dxa"/>
            <w:vAlign w:val="bottom"/>
          </w:tcPr>
          <w:p>
            <w:pPr>
              <w:ind w:left="160"/>
              <w:spacing w:after="0"/>
              <w:rPr>
                <w:sz w:val="20"/>
                <w:szCs w:val="20"/>
                <w:color w:val="auto"/>
              </w:rPr>
            </w:pPr>
            <w:r>
              <w:rPr>
                <w:rFonts w:ascii="Arial" w:cs="Arial" w:eastAsia="Arial" w:hAnsi="Arial"/>
                <w:sz w:val="18"/>
                <w:szCs w:val="18"/>
                <w:color w:val="auto"/>
              </w:rPr>
              <w:t>Report on Form 10-K as filed with the SEC on July 30, 2008 (the “2008 10-K”).</w:t>
            </w:r>
          </w:p>
        </w:tc>
      </w:tr>
      <w:tr>
        <w:trPr>
          <w:trHeight w:val="358"/>
        </w:trPr>
        <w:tc>
          <w:tcPr>
            <w:tcW w:w="760" w:type="dxa"/>
            <w:vAlign w:val="bottom"/>
          </w:tcPr>
          <w:p>
            <w:pPr>
              <w:spacing w:after="0"/>
              <w:rPr>
                <w:sz w:val="20"/>
                <w:szCs w:val="20"/>
                <w:color w:val="auto"/>
              </w:rPr>
            </w:pPr>
            <w:r>
              <w:rPr>
                <w:rFonts w:ascii="Arial" w:cs="Arial" w:eastAsia="Arial" w:hAnsi="Arial"/>
                <w:sz w:val="18"/>
                <w:szCs w:val="18"/>
                <w:color w:val="auto"/>
              </w:rPr>
              <w:t>10.2**</w:t>
            </w:r>
          </w:p>
        </w:tc>
        <w:tc>
          <w:tcPr>
            <w:tcW w:w="10660" w:type="dxa"/>
            <w:vAlign w:val="bottom"/>
          </w:tcPr>
          <w:p>
            <w:pPr>
              <w:ind w:left="160"/>
              <w:spacing w:after="0"/>
              <w:rPr>
                <w:sz w:val="20"/>
                <w:szCs w:val="20"/>
                <w:color w:val="auto"/>
              </w:rPr>
            </w:pPr>
            <w:r>
              <w:rPr>
                <w:rFonts w:ascii="Arial" w:cs="Arial" w:eastAsia="Arial" w:hAnsi="Arial"/>
                <w:sz w:val="18"/>
                <w:szCs w:val="18"/>
                <w:color w:val="auto"/>
                <w:w w:val="87"/>
              </w:rPr>
              <w:t>Scholastic Corporation Management Stock Purchase Plan, amended and restated effective as of September 23, 2008 (incorporated by reference to the</w:t>
            </w:r>
          </w:p>
        </w:tc>
      </w:tr>
      <w:tr>
        <w:trPr>
          <w:trHeight w:val="222"/>
        </w:trPr>
        <w:tc>
          <w:tcPr>
            <w:tcW w:w="760" w:type="dxa"/>
            <w:vAlign w:val="bottom"/>
          </w:tcPr>
          <w:p>
            <w:pPr>
              <w:spacing w:after="0"/>
              <w:rPr>
                <w:sz w:val="19"/>
                <w:szCs w:val="19"/>
                <w:color w:val="auto"/>
              </w:rPr>
            </w:pPr>
          </w:p>
        </w:tc>
        <w:tc>
          <w:tcPr>
            <w:tcW w:w="10660" w:type="dxa"/>
            <w:vAlign w:val="bottom"/>
          </w:tcPr>
          <w:p>
            <w:pPr>
              <w:ind w:left="160"/>
              <w:spacing w:after="0"/>
              <w:rPr>
                <w:sz w:val="20"/>
                <w:szCs w:val="20"/>
                <w:color w:val="auto"/>
              </w:rPr>
            </w:pPr>
            <w:r>
              <w:rPr>
                <w:rFonts w:ascii="Arial" w:cs="Arial" w:eastAsia="Arial" w:hAnsi="Arial"/>
                <w:sz w:val="18"/>
                <w:szCs w:val="18"/>
                <w:color w:val="auto"/>
              </w:rPr>
              <w:t>Corporation’s Annual Report on Form 10-K as filed with the SEC on July 30, 2009, SEC File No. 000-19860 (the “2009 10-K”)).</w:t>
            </w:r>
          </w:p>
        </w:tc>
      </w:tr>
      <w:tr>
        <w:trPr>
          <w:trHeight w:val="358"/>
        </w:trPr>
        <w:tc>
          <w:tcPr>
            <w:tcW w:w="760" w:type="dxa"/>
            <w:vAlign w:val="bottom"/>
          </w:tcPr>
          <w:p>
            <w:pPr>
              <w:spacing w:after="0"/>
              <w:rPr>
                <w:sz w:val="20"/>
                <w:szCs w:val="20"/>
                <w:color w:val="auto"/>
              </w:rPr>
            </w:pPr>
            <w:r>
              <w:rPr>
                <w:rFonts w:ascii="Arial" w:cs="Arial" w:eastAsia="Arial" w:hAnsi="Arial"/>
                <w:sz w:val="18"/>
                <w:szCs w:val="18"/>
                <w:color w:val="auto"/>
              </w:rPr>
              <w:t>10.3**</w:t>
            </w:r>
          </w:p>
        </w:tc>
        <w:tc>
          <w:tcPr>
            <w:tcW w:w="10660" w:type="dxa"/>
            <w:vAlign w:val="bottom"/>
          </w:tcPr>
          <w:p>
            <w:pPr>
              <w:ind w:left="160"/>
              <w:spacing w:after="0"/>
              <w:rPr>
                <w:sz w:val="20"/>
                <w:szCs w:val="20"/>
                <w:color w:val="auto"/>
              </w:rPr>
            </w:pPr>
            <w:r>
              <w:rPr>
                <w:rFonts w:ascii="Arial" w:cs="Arial" w:eastAsia="Arial" w:hAnsi="Arial"/>
                <w:sz w:val="18"/>
                <w:szCs w:val="18"/>
                <w:color w:val="auto"/>
                <w:w w:val="92"/>
              </w:rPr>
              <w:t>Scholastic Corporation 1997 Outside Directors’ Stock Option Plan, amended and restated as of May 25, 1999 (incorporated by reference to the</w:t>
            </w:r>
          </w:p>
        </w:tc>
      </w:tr>
      <w:tr>
        <w:trPr>
          <w:trHeight w:val="216"/>
        </w:trPr>
        <w:tc>
          <w:tcPr>
            <w:tcW w:w="760" w:type="dxa"/>
            <w:vAlign w:val="bottom"/>
          </w:tcPr>
          <w:p>
            <w:pPr>
              <w:spacing w:after="0"/>
              <w:rPr>
                <w:sz w:val="18"/>
                <w:szCs w:val="18"/>
                <w:color w:val="auto"/>
              </w:rPr>
            </w:pPr>
          </w:p>
        </w:tc>
        <w:tc>
          <w:tcPr>
            <w:tcW w:w="10660" w:type="dxa"/>
            <w:vAlign w:val="bottom"/>
          </w:tcPr>
          <w:p>
            <w:pPr>
              <w:ind w:left="160"/>
              <w:spacing w:after="0"/>
              <w:rPr>
                <w:sz w:val="20"/>
                <w:szCs w:val="20"/>
                <w:color w:val="auto"/>
              </w:rPr>
            </w:pPr>
            <w:r>
              <w:rPr>
                <w:rFonts w:ascii="Arial" w:cs="Arial" w:eastAsia="Arial" w:hAnsi="Arial"/>
                <w:sz w:val="18"/>
                <w:szCs w:val="18"/>
                <w:color w:val="auto"/>
                <w:w w:val="91"/>
              </w:rPr>
              <w:t>Corporation’s Annual Report on Form 10-K as filed with the SEC on August 23, 1999, SEC File No. 000-19860 (the “1999 10-K”)), together with</w:t>
            </w:r>
          </w:p>
        </w:tc>
      </w:tr>
      <w:tr>
        <w:trPr>
          <w:trHeight w:val="216"/>
        </w:trPr>
        <w:tc>
          <w:tcPr>
            <w:tcW w:w="760" w:type="dxa"/>
            <w:vAlign w:val="bottom"/>
          </w:tcPr>
          <w:p>
            <w:pPr>
              <w:spacing w:after="0"/>
              <w:rPr>
                <w:sz w:val="18"/>
                <w:szCs w:val="18"/>
                <w:color w:val="auto"/>
              </w:rPr>
            </w:pPr>
          </w:p>
        </w:tc>
        <w:tc>
          <w:tcPr>
            <w:tcW w:w="10660" w:type="dxa"/>
            <w:vAlign w:val="bottom"/>
          </w:tcPr>
          <w:p>
            <w:pPr>
              <w:ind w:left="160"/>
              <w:spacing w:after="0"/>
              <w:rPr>
                <w:sz w:val="20"/>
                <w:szCs w:val="20"/>
                <w:color w:val="auto"/>
              </w:rPr>
            </w:pPr>
            <w:r>
              <w:rPr>
                <w:rFonts w:ascii="Arial" w:cs="Arial" w:eastAsia="Arial" w:hAnsi="Arial"/>
                <w:sz w:val="18"/>
                <w:szCs w:val="18"/>
                <w:color w:val="auto"/>
                <w:w w:val="89"/>
              </w:rPr>
              <w:t>Amendment No. 1, dated September 20, 2001 (incorporated by reference to the Corporation’s Quarterly Report on Form 10-Q as filed with the SEC</w:t>
            </w:r>
          </w:p>
        </w:tc>
      </w:tr>
      <w:tr>
        <w:trPr>
          <w:trHeight w:val="216"/>
        </w:trPr>
        <w:tc>
          <w:tcPr>
            <w:tcW w:w="760" w:type="dxa"/>
            <w:vAlign w:val="bottom"/>
          </w:tcPr>
          <w:p>
            <w:pPr>
              <w:spacing w:after="0"/>
              <w:rPr>
                <w:sz w:val="18"/>
                <w:szCs w:val="18"/>
                <w:color w:val="auto"/>
              </w:rPr>
            </w:pPr>
          </w:p>
        </w:tc>
        <w:tc>
          <w:tcPr>
            <w:tcW w:w="10660" w:type="dxa"/>
            <w:vAlign w:val="bottom"/>
          </w:tcPr>
          <w:p>
            <w:pPr>
              <w:ind w:left="160"/>
              <w:spacing w:after="0"/>
              <w:rPr>
                <w:sz w:val="20"/>
                <w:szCs w:val="20"/>
                <w:color w:val="auto"/>
              </w:rPr>
            </w:pPr>
            <w:r>
              <w:rPr>
                <w:rFonts w:ascii="Arial" w:cs="Arial" w:eastAsia="Arial" w:hAnsi="Arial"/>
                <w:sz w:val="18"/>
                <w:szCs w:val="18"/>
                <w:color w:val="auto"/>
                <w:w w:val="89"/>
              </w:rPr>
              <w:t>on January 14, 2002, SEC File No. 000-19860), Amendment No. 2, effective as of September 23, 2003 (incorporated by reference to Appendix B to</w:t>
            </w:r>
          </w:p>
        </w:tc>
      </w:tr>
      <w:tr>
        <w:trPr>
          <w:trHeight w:val="216"/>
        </w:trPr>
        <w:tc>
          <w:tcPr>
            <w:tcW w:w="760" w:type="dxa"/>
            <w:vAlign w:val="bottom"/>
          </w:tcPr>
          <w:p>
            <w:pPr>
              <w:spacing w:after="0"/>
              <w:rPr>
                <w:sz w:val="18"/>
                <w:szCs w:val="18"/>
                <w:color w:val="auto"/>
              </w:rPr>
            </w:pPr>
          </w:p>
        </w:tc>
        <w:tc>
          <w:tcPr>
            <w:tcW w:w="10660" w:type="dxa"/>
            <w:vAlign w:val="bottom"/>
          </w:tcPr>
          <w:p>
            <w:pPr>
              <w:ind w:left="160"/>
              <w:spacing w:after="0"/>
              <w:rPr>
                <w:sz w:val="20"/>
                <w:szCs w:val="20"/>
                <w:color w:val="auto"/>
              </w:rPr>
            </w:pPr>
            <w:r>
              <w:rPr>
                <w:rFonts w:ascii="Arial" w:cs="Arial" w:eastAsia="Arial" w:hAnsi="Arial"/>
                <w:sz w:val="18"/>
                <w:szCs w:val="18"/>
                <w:color w:val="auto"/>
                <w:w w:val="90"/>
              </w:rPr>
              <w:t>the Corporation’s definitive Proxy Statement as filed with the SEC on August 19, 2003, SEC File No. 000-19860), and Amendment No. 3, effective</w:t>
            </w:r>
          </w:p>
        </w:tc>
      </w:tr>
      <w:tr>
        <w:trPr>
          <w:trHeight w:val="222"/>
        </w:trPr>
        <w:tc>
          <w:tcPr>
            <w:tcW w:w="760" w:type="dxa"/>
            <w:vAlign w:val="bottom"/>
          </w:tcPr>
          <w:p>
            <w:pPr>
              <w:spacing w:after="0"/>
              <w:rPr>
                <w:sz w:val="19"/>
                <w:szCs w:val="19"/>
                <w:color w:val="auto"/>
              </w:rPr>
            </w:pPr>
          </w:p>
        </w:tc>
        <w:tc>
          <w:tcPr>
            <w:tcW w:w="10660" w:type="dxa"/>
            <w:vAlign w:val="bottom"/>
          </w:tcPr>
          <w:p>
            <w:pPr>
              <w:ind w:left="160"/>
              <w:spacing w:after="0"/>
              <w:rPr>
                <w:sz w:val="20"/>
                <w:szCs w:val="20"/>
                <w:color w:val="auto"/>
              </w:rPr>
            </w:pPr>
            <w:r>
              <w:rPr>
                <w:rFonts w:ascii="Arial" w:cs="Arial" w:eastAsia="Arial" w:hAnsi="Arial"/>
                <w:sz w:val="18"/>
                <w:szCs w:val="18"/>
                <w:color w:val="auto"/>
              </w:rPr>
              <w:t>as of May 25, 2006 (incorporated by reference to the 2006 10-K).</w:t>
            </w:r>
          </w:p>
        </w:tc>
      </w:tr>
      <w:tr>
        <w:trPr>
          <w:trHeight w:val="358"/>
        </w:trPr>
        <w:tc>
          <w:tcPr>
            <w:tcW w:w="760" w:type="dxa"/>
            <w:vAlign w:val="bottom"/>
          </w:tcPr>
          <w:p>
            <w:pPr>
              <w:spacing w:after="0"/>
              <w:rPr>
                <w:sz w:val="20"/>
                <w:szCs w:val="20"/>
                <w:color w:val="auto"/>
              </w:rPr>
            </w:pPr>
            <w:r>
              <w:rPr>
                <w:rFonts w:ascii="Arial" w:cs="Arial" w:eastAsia="Arial" w:hAnsi="Arial"/>
                <w:sz w:val="18"/>
                <w:szCs w:val="18"/>
                <w:color w:val="auto"/>
              </w:rPr>
              <w:t>10.4**</w:t>
            </w:r>
          </w:p>
        </w:tc>
        <w:tc>
          <w:tcPr>
            <w:tcW w:w="10660" w:type="dxa"/>
            <w:vAlign w:val="bottom"/>
          </w:tcPr>
          <w:p>
            <w:pPr>
              <w:ind w:left="160"/>
              <w:spacing w:after="0"/>
              <w:rPr>
                <w:sz w:val="20"/>
                <w:szCs w:val="20"/>
                <w:color w:val="auto"/>
              </w:rPr>
            </w:pPr>
            <w:r>
              <w:rPr>
                <w:rFonts w:ascii="Arial" w:cs="Arial" w:eastAsia="Arial" w:hAnsi="Arial"/>
                <w:sz w:val="18"/>
                <w:szCs w:val="18"/>
                <w:color w:val="auto"/>
                <w:w w:val="88"/>
              </w:rPr>
              <w:t>Scholastic Corporation Director’s Deferred Compensation Plan, amended and restated effective as of September 23, 2008 (incorporated by reference</w:t>
            </w:r>
          </w:p>
        </w:tc>
      </w:tr>
      <w:tr>
        <w:trPr>
          <w:trHeight w:val="222"/>
        </w:trPr>
        <w:tc>
          <w:tcPr>
            <w:tcW w:w="760" w:type="dxa"/>
            <w:vAlign w:val="bottom"/>
          </w:tcPr>
          <w:p>
            <w:pPr>
              <w:spacing w:after="0"/>
              <w:rPr>
                <w:sz w:val="19"/>
                <w:szCs w:val="19"/>
                <w:color w:val="auto"/>
              </w:rPr>
            </w:pPr>
          </w:p>
        </w:tc>
        <w:tc>
          <w:tcPr>
            <w:tcW w:w="10660" w:type="dxa"/>
            <w:vAlign w:val="bottom"/>
          </w:tcPr>
          <w:p>
            <w:pPr>
              <w:ind w:left="160"/>
              <w:spacing w:after="0"/>
              <w:rPr>
                <w:sz w:val="20"/>
                <w:szCs w:val="20"/>
                <w:color w:val="auto"/>
              </w:rPr>
            </w:pPr>
            <w:r>
              <w:rPr>
                <w:rFonts w:ascii="Arial" w:cs="Arial" w:eastAsia="Arial" w:hAnsi="Arial"/>
                <w:sz w:val="18"/>
                <w:szCs w:val="18"/>
                <w:color w:val="auto"/>
              </w:rPr>
              <w:t>to the 2009 10-K).</w:t>
            </w:r>
          </w:p>
        </w:tc>
      </w:tr>
      <w:tr>
        <w:trPr>
          <w:trHeight w:val="358"/>
        </w:trPr>
        <w:tc>
          <w:tcPr>
            <w:tcW w:w="760" w:type="dxa"/>
            <w:vAlign w:val="bottom"/>
          </w:tcPr>
          <w:p>
            <w:pPr>
              <w:spacing w:after="0"/>
              <w:rPr>
                <w:sz w:val="20"/>
                <w:szCs w:val="20"/>
                <w:color w:val="auto"/>
              </w:rPr>
            </w:pPr>
            <w:r>
              <w:rPr>
                <w:rFonts w:ascii="Arial" w:cs="Arial" w:eastAsia="Arial" w:hAnsi="Arial"/>
                <w:sz w:val="18"/>
                <w:szCs w:val="18"/>
                <w:color w:val="auto"/>
              </w:rPr>
              <w:t>10.5**</w:t>
            </w:r>
          </w:p>
        </w:tc>
        <w:tc>
          <w:tcPr>
            <w:tcW w:w="10660" w:type="dxa"/>
            <w:vAlign w:val="bottom"/>
          </w:tcPr>
          <w:p>
            <w:pPr>
              <w:ind w:left="160"/>
              <w:spacing w:after="0"/>
              <w:rPr>
                <w:sz w:val="20"/>
                <w:szCs w:val="20"/>
                <w:color w:val="auto"/>
              </w:rPr>
            </w:pPr>
            <w:r>
              <w:rPr>
                <w:rFonts w:ascii="Arial" w:cs="Arial" w:eastAsia="Arial" w:hAnsi="Arial"/>
                <w:sz w:val="18"/>
                <w:szCs w:val="18"/>
                <w:color w:val="auto"/>
                <w:w w:val="90"/>
              </w:rPr>
              <w:t>Scholastic Corporation 2007 Outside Directors Stock Incentive Plan (the “2007 Directors’ Plan”) effective as of September 23, 2008 (incorporated</w:t>
            </w:r>
          </w:p>
        </w:tc>
      </w:tr>
      <w:tr>
        <w:trPr>
          <w:trHeight w:val="222"/>
        </w:trPr>
        <w:tc>
          <w:tcPr>
            <w:tcW w:w="760" w:type="dxa"/>
            <w:vAlign w:val="bottom"/>
          </w:tcPr>
          <w:p>
            <w:pPr>
              <w:spacing w:after="0"/>
              <w:rPr>
                <w:sz w:val="19"/>
                <w:szCs w:val="19"/>
                <w:color w:val="auto"/>
              </w:rPr>
            </w:pPr>
          </w:p>
        </w:tc>
        <w:tc>
          <w:tcPr>
            <w:tcW w:w="10660" w:type="dxa"/>
            <w:vAlign w:val="bottom"/>
          </w:tcPr>
          <w:p>
            <w:pPr>
              <w:ind w:left="160"/>
              <w:spacing w:after="0"/>
              <w:rPr>
                <w:sz w:val="20"/>
                <w:szCs w:val="20"/>
                <w:color w:val="auto"/>
              </w:rPr>
            </w:pPr>
            <w:r>
              <w:rPr>
                <w:rFonts w:ascii="Arial" w:cs="Arial" w:eastAsia="Arial" w:hAnsi="Arial"/>
                <w:sz w:val="18"/>
                <w:szCs w:val="18"/>
                <w:color w:val="auto"/>
              </w:rPr>
              <w:t>by reference to the 2009 10-K).</w:t>
            </w:r>
          </w:p>
        </w:tc>
      </w:tr>
      <w:tr>
        <w:trPr>
          <w:trHeight w:val="358"/>
        </w:trPr>
        <w:tc>
          <w:tcPr>
            <w:tcW w:w="760" w:type="dxa"/>
            <w:vAlign w:val="bottom"/>
          </w:tcPr>
          <w:p>
            <w:pPr>
              <w:spacing w:after="0"/>
              <w:rPr>
                <w:sz w:val="20"/>
                <w:szCs w:val="20"/>
                <w:color w:val="auto"/>
              </w:rPr>
            </w:pPr>
            <w:r>
              <w:rPr>
                <w:rFonts w:ascii="Arial" w:cs="Arial" w:eastAsia="Arial" w:hAnsi="Arial"/>
                <w:sz w:val="18"/>
                <w:szCs w:val="18"/>
                <w:color w:val="auto"/>
              </w:rPr>
              <w:t>10.6**</w:t>
            </w:r>
          </w:p>
        </w:tc>
        <w:tc>
          <w:tcPr>
            <w:tcW w:w="10660" w:type="dxa"/>
            <w:vAlign w:val="bottom"/>
          </w:tcPr>
          <w:p>
            <w:pPr>
              <w:ind w:left="160"/>
              <w:spacing w:after="0"/>
              <w:rPr>
                <w:sz w:val="20"/>
                <w:szCs w:val="20"/>
                <w:color w:val="auto"/>
              </w:rPr>
            </w:pPr>
            <w:r>
              <w:rPr>
                <w:rFonts w:ascii="Arial" w:cs="Arial" w:eastAsia="Arial" w:hAnsi="Arial"/>
                <w:sz w:val="18"/>
                <w:szCs w:val="18"/>
                <w:color w:val="auto"/>
                <w:w w:val="89"/>
              </w:rPr>
              <w:t>Form of Stock Option Agreement under the 2007 Directors’ Plan (incorporated by reference to the Corporation’s Quarterly Report on Form 10-Q as</w:t>
            </w:r>
          </w:p>
        </w:tc>
      </w:tr>
      <w:tr>
        <w:trPr>
          <w:trHeight w:val="222"/>
        </w:trPr>
        <w:tc>
          <w:tcPr>
            <w:tcW w:w="760" w:type="dxa"/>
            <w:vAlign w:val="bottom"/>
          </w:tcPr>
          <w:p>
            <w:pPr>
              <w:spacing w:after="0"/>
              <w:rPr>
                <w:sz w:val="19"/>
                <w:szCs w:val="19"/>
                <w:color w:val="auto"/>
              </w:rPr>
            </w:pPr>
          </w:p>
        </w:tc>
        <w:tc>
          <w:tcPr>
            <w:tcW w:w="10660" w:type="dxa"/>
            <w:vAlign w:val="bottom"/>
          </w:tcPr>
          <w:p>
            <w:pPr>
              <w:ind w:left="160"/>
              <w:spacing w:after="0"/>
              <w:rPr>
                <w:sz w:val="20"/>
                <w:szCs w:val="20"/>
                <w:color w:val="auto"/>
              </w:rPr>
            </w:pPr>
            <w:r>
              <w:rPr>
                <w:rFonts w:ascii="Arial" w:cs="Arial" w:eastAsia="Arial" w:hAnsi="Arial"/>
                <w:sz w:val="18"/>
                <w:szCs w:val="18"/>
                <w:color w:val="auto"/>
              </w:rPr>
              <w:t>filed with the SEC on January 9, 2008, SEC File No. 000-19860).</w:t>
            </w:r>
          </w:p>
        </w:tc>
      </w:tr>
      <w:tr>
        <w:trPr>
          <w:trHeight w:val="358"/>
        </w:trPr>
        <w:tc>
          <w:tcPr>
            <w:tcW w:w="760" w:type="dxa"/>
            <w:vAlign w:val="bottom"/>
          </w:tcPr>
          <w:p>
            <w:pPr>
              <w:spacing w:after="0"/>
              <w:rPr>
                <w:sz w:val="20"/>
                <w:szCs w:val="20"/>
                <w:color w:val="auto"/>
              </w:rPr>
            </w:pPr>
            <w:r>
              <w:rPr>
                <w:rFonts w:ascii="Arial" w:cs="Arial" w:eastAsia="Arial" w:hAnsi="Arial"/>
                <w:sz w:val="18"/>
                <w:szCs w:val="18"/>
                <w:color w:val="auto"/>
              </w:rPr>
              <w:t>10.7**</w:t>
            </w:r>
          </w:p>
        </w:tc>
        <w:tc>
          <w:tcPr>
            <w:tcW w:w="10660" w:type="dxa"/>
            <w:vAlign w:val="bottom"/>
          </w:tcPr>
          <w:p>
            <w:pPr>
              <w:ind w:left="160"/>
              <w:spacing w:after="0"/>
              <w:rPr>
                <w:sz w:val="20"/>
                <w:szCs w:val="20"/>
                <w:color w:val="auto"/>
              </w:rPr>
            </w:pPr>
            <w:r>
              <w:rPr>
                <w:rFonts w:ascii="Arial" w:cs="Arial" w:eastAsia="Arial" w:hAnsi="Arial"/>
                <w:sz w:val="18"/>
                <w:szCs w:val="18"/>
                <w:color w:val="auto"/>
                <w:w w:val="89"/>
              </w:rPr>
              <w:t>Form of Restricted Stock Unit Agreement under the 2007 Directors’ Plan, effective as of September 23, 2008 (incorporated by reference to the 2009</w:t>
            </w:r>
          </w:p>
        </w:tc>
      </w:tr>
      <w:tr>
        <w:trPr>
          <w:trHeight w:val="222"/>
        </w:trPr>
        <w:tc>
          <w:tcPr>
            <w:tcW w:w="760" w:type="dxa"/>
            <w:vAlign w:val="bottom"/>
          </w:tcPr>
          <w:p>
            <w:pPr>
              <w:spacing w:after="0"/>
              <w:rPr>
                <w:sz w:val="19"/>
                <w:szCs w:val="19"/>
                <w:color w:val="auto"/>
              </w:rPr>
            </w:pPr>
          </w:p>
        </w:tc>
        <w:tc>
          <w:tcPr>
            <w:tcW w:w="10660" w:type="dxa"/>
            <w:vAlign w:val="bottom"/>
          </w:tcPr>
          <w:p>
            <w:pPr>
              <w:ind w:left="160"/>
              <w:spacing w:after="0"/>
              <w:rPr>
                <w:sz w:val="20"/>
                <w:szCs w:val="20"/>
                <w:color w:val="auto"/>
              </w:rPr>
            </w:pPr>
            <w:r>
              <w:rPr>
                <w:rFonts w:ascii="Arial" w:cs="Arial" w:eastAsia="Arial" w:hAnsi="Arial"/>
                <w:sz w:val="18"/>
                <w:szCs w:val="18"/>
                <w:color w:val="auto"/>
              </w:rPr>
              <w:t>10-K).</w:t>
            </w:r>
          </w:p>
        </w:tc>
      </w:tr>
      <w:tr>
        <w:trPr>
          <w:trHeight w:val="358"/>
        </w:trPr>
        <w:tc>
          <w:tcPr>
            <w:tcW w:w="760" w:type="dxa"/>
            <w:vAlign w:val="bottom"/>
          </w:tcPr>
          <w:p>
            <w:pPr>
              <w:spacing w:after="0"/>
              <w:rPr>
                <w:sz w:val="20"/>
                <w:szCs w:val="20"/>
                <w:color w:val="auto"/>
              </w:rPr>
            </w:pPr>
            <w:r>
              <w:rPr>
                <w:rFonts w:ascii="Arial" w:cs="Arial" w:eastAsia="Arial" w:hAnsi="Arial"/>
                <w:sz w:val="18"/>
                <w:szCs w:val="18"/>
                <w:color w:val="auto"/>
              </w:rPr>
              <w:t>10.8**</w:t>
            </w:r>
          </w:p>
        </w:tc>
        <w:tc>
          <w:tcPr>
            <w:tcW w:w="10660" w:type="dxa"/>
            <w:vAlign w:val="bottom"/>
          </w:tcPr>
          <w:p>
            <w:pPr>
              <w:ind w:left="160"/>
              <w:spacing w:after="0"/>
              <w:rPr>
                <w:sz w:val="20"/>
                <w:szCs w:val="20"/>
                <w:color w:val="auto"/>
              </w:rPr>
            </w:pPr>
            <w:r>
              <w:rPr>
                <w:rFonts w:ascii="Arial" w:cs="Arial" w:eastAsia="Arial" w:hAnsi="Arial"/>
                <w:sz w:val="18"/>
                <w:szCs w:val="18"/>
                <w:color w:val="auto"/>
                <w:w w:val="94"/>
              </w:rPr>
              <w:t>Scholastic Corporation Executive Performance Incentive Plan, effective as of May 21, 2008 (incorporated by reference to Appendix B to the</w:t>
            </w:r>
          </w:p>
        </w:tc>
      </w:tr>
      <w:tr>
        <w:trPr>
          <w:trHeight w:val="222"/>
        </w:trPr>
        <w:tc>
          <w:tcPr>
            <w:tcW w:w="760" w:type="dxa"/>
            <w:vAlign w:val="bottom"/>
          </w:tcPr>
          <w:p>
            <w:pPr>
              <w:spacing w:after="0"/>
              <w:rPr>
                <w:sz w:val="19"/>
                <w:szCs w:val="19"/>
                <w:color w:val="auto"/>
              </w:rPr>
            </w:pPr>
          </w:p>
        </w:tc>
        <w:tc>
          <w:tcPr>
            <w:tcW w:w="10660" w:type="dxa"/>
            <w:vAlign w:val="bottom"/>
          </w:tcPr>
          <w:p>
            <w:pPr>
              <w:ind w:left="160"/>
              <w:spacing w:after="0"/>
              <w:rPr>
                <w:sz w:val="20"/>
                <w:szCs w:val="20"/>
                <w:color w:val="auto"/>
              </w:rPr>
            </w:pPr>
            <w:r>
              <w:rPr>
                <w:rFonts w:ascii="Arial" w:cs="Arial" w:eastAsia="Arial" w:hAnsi="Arial"/>
                <w:sz w:val="18"/>
                <w:szCs w:val="18"/>
                <w:color w:val="auto"/>
              </w:rPr>
              <w:t>Corporation’s definitive Proxy Statement as filed with the SEC on August 15, 2008, SEC File No. 000-19860).</w:t>
            </w:r>
          </w:p>
        </w:tc>
      </w:tr>
      <w:tr>
        <w:trPr>
          <w:trHeight w:val="358"/>
        </w:trPr>
        <w:tc>
          <w:tcPr>
            <w:tcW w:w="760" w:type="dxa"/>
            <w:vAlign w:val="bottom"/>
          </w:tcPr>
          <w:p>
            <w:pPr>
              <w:spacing w:after="0"/>
              <w:rPr>
                <w:sz w:val="20"/>
                <w:szCs w:val="20"/>
                <w:color w:val="auto"/>
              </w:rPr>
            </w:pPr>
            <w:r>
              <w:rPr>
                <w:rFonts w:ascii="Arial" w:cs="Arial" w:eastAsia="Arial" w:hAnsi="Arial"/>
                <w:sz w:val="18"/>
                <w:szCs w:val="18"/>
                <w:color w:val="auto"/>
              </w:rPr>
              <w:t>10.9**</w:t>
            </w:r>
          </w:p>
        </w:tc>
        <w:tc>
          <w:tcPr>
            <w:tcW w:w="10660" w:type="dxa"/>
            <w:vAlign w:val="bottom"/>
          </w:tcPr>
          <w:p>
            <w:pPr>
              <w:ind w:left="160"/>
              <w:spacing w:after="0"/>
              <w:rPr>
                <w:sz w:val="20"/>
                <w:szCs w:val="20"/>
                <w:color w:val="auto"/>
              </w:rPr>
            </w:pPr>
            <w:r>
              <w:rPr>
                <w:rFonts w:ascii="Arial" w:cs="Arial" w:eastAsia="Arial" w:hAnsi="Arial"/>
                <w:sz w:val="18"/>
                <w:szCs w:val="18"/>
                <w:color w:val="auto"/>
                <w:w w:val="91"/>
              </w:rPr>
              <w:t>Scholastic Corporation 2001 Stock Incentive Plan, amended and restated as of July 21, 2009 (“the 2001 Plan”) (incorporated by reference to the</w:t>
            </w:r>
          </w:p>
        </w:tc>
      </w:tr>
      <w:tr>
        <w:trPr>
          <w:trHeight w:val="222"/>
        </w:trPr>
        <w:tc>
          <w:tcPr>
            <w:tcW w:w="760" w:type="dxa"/>
            <w:vAlign w:val="bottom"/>
          </w:tcPr>
          <w:p>
            <w:pPr>
              <w:spacing w:after="0"/>
              <w:rPr>
                <w:sz w:val="19"/>
                <w:szCs w:val="19"/>
                <w:color w:val="auto"/>
              </w:rPr>
            </w:pPr>
          </w:p>
        </w:tc>
        <w:tc>
          <w:tcPr>
            <w:tcW w:w="10660" w:type="dxa"/>
            <w:vAlign w:val="bottom"/>
          </w:tcPr>
          <w:p>
            <w:pPr>
              <w:ind w:left="160"/>
              <w:spacing w:after="0"/>
              <w:rPr>
                <w:sz w:val="20"/>
                <w:szCs w:val="20"/>
                <w:color w:val="auto"/>
              </w:rPr>
            </w:pPr>
            <w:r>
              <w:rPr>
                <w:rFonts w:ascii="Arial" w:cs="Arial" w:eastAsia="Arial" w:hAnsi="Arial"/>
                <w:sz w:val="18"/>
                <w:szCs w:val="18"/>
                <w:color w:val="auto"/>
                <w:w w:val="90"/>
              </w:rPr>
              <w:t>Corporation’s Quarterly Report on Form 10-Q as filed with the SEC on October 10, 2009, SEC File No. 000-19860 (the “August 31, 2009 10-Q”)).</w:t>
            </w:r>
          </w:p>
        </w:tc>
      </w:tr>
      <w:tr>
        <w:trPr>
          <w:trHeight w:val="365"/>
        </w:trPr>
        <w:tc>
          <w:tcPr>
            <w:tcW w:w="760" w:type="dxa"/>
            <w:vAlign w:val="bottom"/>
          </w:tcPr>
          <w:p>
            <w:pPr>
              <w:spacing w:after="0"/>
              <w:rPr>
                <w:sz w:val="20"/>
                <w:szCs w:val="20"/>
                <w:color w:val="auto"/>
              </w:rPr>
            </w:pPr>
            <w:r>
              <w:rPr>
                <w:rFonts w:ascii="Arial" w:cs="Arial" w:eastAsia="Arial" w:hAnsi="Arial"/>
                <w:sz w:val="18"/>
                <w:szCs w:val="18"/>
                <w:color w:val="auto"/>
              </w:rPr>
              <w:t>10.10**</w:t>
            </w:r>
          </w:p>
        </w:tc>
        <w:tc>
          <w:tcPr>
            <w:tcW w:w="10660" w:type="dxa"/>
            <w:vAlign w:val="bottom"/>
          </w:tcPr>
          <w:p>
            <w:pPr>
              <w:ind w:left="160"/>
              <w:spacing w:after="0"/>
              <w:rPr>
                <w:sz w:val="20"/>
                <w:szCs w:val="20"/>
                <w:color w:val="auto"/>
              </w:rPr>
            </w:pPr>
            <w:r>
              <w:rPr>
                <w:rFonts w:ascii="Arial" w:cs="Arial" w:eastAsia="Arial" w:hAnsi="Arial"/>
                <w:sz w:val="18"/>
                <w:szCs w:val="18"/>
                <w:color w:val="auto"/>
              </w:rPr>
              <w:t>Form of Stock Unit Agreement under the 2001 Plan (incorporated by reference to the August 31, 2009 10-Q).</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867" name="Picture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pic:cNvPicPr>
                      <a:picLocks noChangeAspect="1" noChangeArrowheads="1"/>
                    </pic:cNvPicPr>
                  </pic:nvPicPr>
                  <pic:blipFill>
                    <a:blip r:embed="rId874">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2663825</wp:posOffset>
            </wp:positionH>
            <wp:positionV relativeFrom="paragraph">
              <wp:posOffset>138430</wp:posOffset>
            </wp:positionV>
            <wp:extent cx="1929765" cy="231775"/>
            <wp:wrapNone/>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
                    <pic:cNvPicPr>
                      <a:picLocks noChangeAspect="1" noChangeArrowheads="1"/>
                    </pic:cNvPicPr>
                  </pic:nvPicPr>
                  <pic:blipFill>
                    <a:blip r:embed="rId875">
                      <a:extLst>
                        <a:ext uri="{28A0092B-C50C-407E-A947-70E740481C1C}"/>
                      </a:extLst>
                    </a:blip>
                    <a:srcRect/>
                    <a:stretch>
                      <a:fillRect/>
                    </a:stretch>
                  </pic:blipFill>
                  <pic:spPr bwMode="auto">
                    <a:xfrm>
                      <a:off x="0" y="0"/>
                      <a:ext cx="1929765"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38735"/>
            <wp:wrapNone/>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
                    <pic:cNvPicPr>
                      <a:picLocks noChangeAspect="1" noChangeArrowheads="1"/>
                    </pic:cNvPicPr>
                  </pic:nvPicPr>
                  <pic:blipFill>
                    <a:blip r:embed="rId87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874" w:right="239" w:bottom="1440" w:gutter="0" w:footer="0" w:header="0"/>
        </w:sectPr>
      </w:pPr>
    </w:p>
    <w:bookmarkStart w:id="87" w:name="page88"/>
    <w:bookmarkEnd w:id="87"/>
    <w:tbl>
      <w:tblPr>
        <w:tblLayout w:type="fixed"/>
        <w:tblInd w:w="0" w:type="dxa"/>
        <w:tblCellMar>
          <w:top w:w="0" w:type="dxa"/>
          <w:left w:w="0" w:type="dxa"/>
          <w:bottom w:w="0" w:type="dxa"/>
          <w:right w:w="0" w:type="dxa"/>
        </w:tblCellMar>
      </w:tblP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10.11**</w:t>
            </w:r>
          </w:p>
        </w:tc>
        <w:tc>
          <w:tcPr>
            <w:tcW w:w="10620" w:type="dxa"/>
            <w:vAlign w:val="bottom"/>
          </w:tcPr>
          <w:p>
            <w:pPr>
              <w:ind w:left="160"/>
              <w:spacing w:after="0"/>
              <w:rPr>
                <w:sz w:val="20"/>
                <w:szCs w:val="20"/>
                <w:color w:val="auto"/>
              </w:rPr>
            </w:pPr>
            <w:r>
              <w:rPr>
                <w:rFonts w:ascii="Arial" w:cs="Arial" w:eastAsia="Arial" w:hAnsi="Arial"/>
                <w:sz w:val="18"/>
                <w:szCs w:val="18"/>
                <w:color w:val="auto"/>
                <w:w w:val="87"/>
              </w:rPr>
              <w:t>Amended and Restated Guidelines for Stock Units granted under the 2001 Plan, amended and restated as of July 21, 2009 (incorporated by reference</w:t>
            </w:r>
          </w:p>
        </w:tc>
      </w:tr>
      <w:tr>
        <w:trPr>
          <w:trHeight w:val="222"/>
        </w:trPr>
        <w:tc>
          <w:tcPr>
            <w:tcW w:w="760" w:type="dxa"/>
            <w:vAlign w:val="bottom"/>
          </w:tcPr>
          <w:p>
            <w:pPr>
              <w:spacing w:after="0"/>
              <w:rPr>
                <w:sz w:val="19"/>
                <w:szCs w:val="19"/>
                <w:color w:val="auto"/>
              </w:rPr>
            </w:pPr>
          </w:p>
        </w:tc>
        <w:tc>
          <w:tcPr>
            <w:tcW w:w="10620" w:type="dxa"/>
            <w:vAlign w:val="bottom"/>
          </w:tcPr>
          <w:p>
            <w:pPr>
              <w:ind w:left="160"/>
              <w:spacing w:after="0"/>
              <w:rPr>
                <w:sz w:val="20"/>
                <w:szCs w:val="20"/>
                <w:color w:val="auto"/>
              </w:rPr>
            </w:pPr>
            <w:r>
              <w:rPr>
                <w:rFonts w:ascii="Arial" w:cs="Arial" w:eastAsia="Arial" w:hAnsi="Arial"/>
                <w:sz w:val="18"/>
                <w:szCs w:val="18"/>
                <w:color w:val="auto"/>
              </w:rPr>
              <w:t>to the August 31, 2009 10-Q).</w:t>
            </w:r>
          </w:p>
        </w:tc>
      </w:tr>
      <w:tr>
        <w:trPr>
          <w:trHeight w:val="365"/>
        </w:trPr>
        <w:tc>
          <w:tcPr>
            <w:tcW w:w="760" w:type="dxa"/>
            <w:vAlign w:val="bottom"/>
          </w:tcPr>
          <w:p>
            <w:pPr>
              <w:spacing w:after="0"/>
              <w:rPr>
                <w:sz w:val="20"/>
                <w:szCs w:val="20"/>
                <w:color w:val="auto"/>
              </w:rPr>
            </w:pPr>
            <w:r>
              <w:rPr>
                <w:rFonts w:ascii="Arial" w:cs="Arial" w:eastAsia="Arial" w:hAnsi="Arial"/>
                <w:sz w:val="18"/>
                <w:szCs w:val="18"/>
                <w:color w:val="auto"/>
              </w:rPr>
              <w:t>10.12**</w:t>
            </w:r>
          </w:p>
        </w:tc>
        <w:tc>
          <w:tcPr>
            <w:tcW w:w="10620" w:type="dxa"/>
            <w:vAlign w:val="bottom"/>
          </w:tcPr>
          <w:p>
            <w:pPr>
              <w:ind w:left="160"/>
              <w:spacing w:after="0"/>
              <w:rPr>
                <w:sz w:val="20"/>
                <w:szCs w:val="20"/>
                <w:color w:val="auto"/>
              </w:rPr>
            </w:pPr>
            <w:r>
              <w:rPr>
                <w:rFonts w:ascii="Arial" w:cs="Arial" w:eastAsia="Arial" w:hAnsi="Arial"/>
                <w:sz w:val="18"/>
                <w:szCs w:val="18"/>
                <w:color w:val="auto"/>
              </w:rPr>
              <w:t>Form of Non-Qualified Stock Option Agreement under the 2001 Plan (incorporated by reference to the August 31, 2009 10-Q).</w:t>
            </w:r>
          </w:p>
        </w:tc>
      </w:tr>
      <w:tr>
        <w:trPr>
          <w:trHeight w:val="358"/>
        </w:trPr>
        <w:tc>
          <w:tcPr>
            <w:tcW w:w="760" w:type="dxa"/>
            <w:vAlign w:val="bottom"/>
          </w:tcPr>
          <w:p>
            <w:pPr>
              <w:spacing w:after="0"/>
              <w:rPr>
                <w:sz w:val="20"/>
                <w:szCs w:val="20"/>
                <w:color w:val="auto"/>
              </w:rPr>
            </w:pPr>
            <w:r>
              <w:rPr>
                <w:rFonts w:ascii="Arial" w:cs="Arial" w:eastAsia="Arial" w:hAnsi="Arial"/>
                <w:sz w:val="18"/>
                <w:szCs w:val="18"/>
                <w:color w:val="auto"/>
              </w:rPr>
              <w:t>10.13**</w:t>
            </w:r>
          </w:p>
        </w:tc>
        <w:tc>
          <w:tcPr>
            <w:tcW w:w="10620" w:type="dxa"/>
            <w:vAlign w:val="bottom"/>
          </w:tcPr>
          <w:p>
            <w:pPr>
              <w:ind w:left="160"/>
              <w:spacing w:after="0"/>
              <w:rPr>
                <w:sz w:val="20"/>
                <w:szCs w:val="20"/>
                <w:color w:val="auto"/>
              </w:rPr>
            </w:pPr>
            <w:r>
              <w:rPr>
                <w:rFonts w:ascii="Arial" w:cs="Arial" w:eastAsia="Arial" w:hAnsi="Arial"/>
                <w:sz w:val="18"/>
                <w:szCs w:val="18"/>
                <w:color w:val="auto"/>
                <w:w w:val="93"/>
              </w:rPr>
              <w:t>Scholastic Corporation 2004 Class A Stock Incentive Plan (the “Class A Plan”) (incorporated by reference to Appendix A to the Corporation’s</w:t>
            </w:r>
          </w:p>
        </w:tc>
      </w:tr>
      <w:tr>
        <w:trPr>
          <w:trHeight w:val="216"/>
        </w:trPr>
        <w:tc>
          <w:tcPr>
            <w:tcW w:w="760" w:type="dxa"/>
            <w:vAlign w:val="bottom"/>
          </w:tcPr>
          <w:p>
            <w:pPr>
              <w:spacing w:after="0"/>
              <w:rPr>
                <w:sz w:val="18"/>
                <w:szCs w:val="18"/>
                <w:color w:val="auto"/>
              </w:rPr>
            </w:pPr>
          </w:p>
        </w:tc>
        <w:tc>
          <w:tcPr>
            <w:tcW w:w="10620" w:type="dxa"/>
            <w:vAlign w:val="bottom"/>
          </w:tcPr>
          <w:p>
            <w:pPr>
              <w:ind w:left="160"/>
              <w:spacing w:after="0"/>
              <w:rPr>
                <w:sz w:val="20"/>
                <w:szCs w:val="20"/>
                <w:color w:val="auto"/>
              </w:rPr>
            </w:pPr>
            <w:r>
              <w:rPr>
                <w:rFonts w:ascii="Arial" w:cs="Arial" w:eastAsia="Arial" w:hAnsi="Arial"/>
                <w:sz w:val="18"/>
                <w:szCs w:val="18"/>
                <w:color w:val="auto"/>
                <w:w w:val="92"/>
              </w:rPr>
              <w:t>definitive Proxy Statement as filed with the SEC on August 2, 2004, SEC File No. 000-19860), Amendment No. 1, effective as of May 25, 2006</w:t>
            </w:r>
          </w:p>
        </w:tc>
      </w:tr>
      <w:tr>
        <w:trPr>
          <w:trHeight w:val="216"/>
        </w:trPr>
        <w:tc>
          <w:tcPr>
            <w:tcW w:w="760" w:type="dxa"/>
            <w:vAlign w:val="bottom"/>
          </w:tcPr>
          <w:p>
            <w:pPr>
              <w:spacing w:after="0"/>
              <w:rPr>
                <w:sz w:val="18"/>
                <w:szCs w:val="18"/>
                <w:color w:val="auto"/>
              </w:rPr>
            </w:pPr>
          </w:p>
        </w:tc>
        <w:tc>
          <w:tcPr>
            <w:tcW w:w="10620" w:type="dxa"/>
            <w:vAlign w:val="bottom"/>
          </w:tcPr>
          <w:p>
            <w:pPr>
              <w:ind w:left="160"/>
              <w:spacing w:after="0"/>
              <w:rPr>
                <w:sz w:val="20"/>
                <w:szCs w:val="20"/>
                <w:color w:val="auto"/>
              </w:rPr>
            </w:pPr>
            <w:r>
              <w:rPr>
                <w:rFonts w:ascii="Arial" w:cs="Arial" w:eastAsia="Arial" w:hAnsi="Arial"/>
                <w:sz w:val="18"/>
                <w:szCs w:val="18"/>
                <w:color w:val="auto"/>
                <w:w w:val="88"/>
              </w:rPr>
              <w:t>(incorporated by reference to the 2006 10-K), Amendment No. 2, dated July 18, 2006 (incorporated by reference to Appendix C to the Corporation’s</w:t>
            </w:r>
          </w:p>
        </w:tc>
      </w:tr>
      <w:tr>
        <w:trPr>
          <w:trHeight w:val="216"/>
        </w:trPr>
        <w:tc>
          <w:tcPr>
            <w:tcW w:w="760" w:type="dxa"/>
            <w:vAlign w:val="bottom"/>
          </w:tcPr>
          <w:p>
            <w:pPr>
              <w:spacing w:after="0"/>
              <w:rPr>
                <w:sz w:val="18"/>
                <w:szCs w:val="18"/>
                <w:color w:val="auto"/>
              </w:rPr>
            </w:pPr>
          </w:p>
        </w:tc>
        <w:tc>
          <w:tcPr>
            <w:tcW w:w="10620" w:type="dxa"/>
            <w:vAlign w:val="bottom"/>
          </w:tcPr>
          <w:p>
            <w:pPr>
              <w:ind w:left="160"/>
              <w:spacing w:after="0"/>
              <w:rPr>
                <w:sz w:val="20"/>
                <w:szCs w:val="20"/>
                <w:color w:val="auto"/>
              </w:rPr>
            </w:pPr>
            <w:r>
              <w:rPr>
                <w:rFonts w:ascii="Arial" w:cs="Arial" w:eastAsia="Arial" w:hAnsi="Arial"/>
                <w:sz w:val="18"/>
                <w:szCs w:val="18"/>
                <w:color w:val="auto"/>
                <w:w w:val="89"/>
              </w:rPr>
              <w:t>definitive Proxy Statement as filed with the SEC on August 1, 2006), and Amendment No. 3, dated as of March 20, 2007 (incorporated by reference</w:t>
            </w:r>
          </w:p>
        </w:tc>
      </w:tr>
      <w:tr>
        <w:trPr>
          <w:trHeight w:val="222"/>
        </w:trPr>
        <w:tc>
          <w:tcPr>
            <w:tcW w:w="760" w:type="dxa"/>
            <w:vAlign w:val="bottom"/>
          </w:tcPr>
          <w:p>
            <w:pPr>
              <w:spacing w:after="0"/>
              <w:rPr>
                <w:sz w:val="19"/>
                <w:szCs w:val="19"/>
                <w:color w:val="auto"/>
              </w:rPr>
            </w:pPr>
          </w:p>
        </w:tc>
        <w:tc>
          <w:tcPr>
            <w:tcW w:w="10620" w:type="dxa"/>
            <w:vAlign w:val="bottom"/>
          </w:tcPr>
          <w:p>
            <w:pPr>
              <w:ind w:left="160"/>
              <w:spacing w:after="0"/>
              <w:rPr>
                <w:sz w:val="20"/>
                <w:szCs w:val="20"/>
                <w:color w:val="auto"/>
              </w:rPr>
            </w:pPr>
            <w:r>
              <w:rPr>
                <w:rFonts w:ascii="Arial" w:cs="Arial" w:eastAsia="Arial" w:hAnsi="Arial"/>
                <w:sz w:val="18"/>
                <w:szCs w:val="18"/>
                <w:color w:val="auto"/>
              </w:rPr>
              <w:t>to the February 28, 2007 10-Q).</w:t>
            </w:r>
          </w:p>
        </w:tc>
      </w:tr>
      <w:tr>
        <w:trPr>
          <w:trHeight w:val="358"/>
        </w:trPr>
        <w:tc>
          <w:tcPr>
            <w:tcW w:w="760" w:type="dxa"/>
            <w:vAlign w:val="bottom"/>
          </w:tcPr>
          <w:p>
            <w:pPr>
              <w:spacing w:after="0"/>
              <w:rPr>
                <w:sz w:val="20"/>
                <w:szCs w:val="20"/>
                <w:color w:val="auto"/>
              </w:rPr>
            </w:pPr>
            <w:r>
              <w:rPr>
                <w:rFonts w:ascii="Arial" w:cs="Arial" w:eastAsia="Arial" w:hAnsi="Arial"/>
                <w:sz w:val="18"/>
                <w:szCs w:val="18"/>
                <w:color w:val="auto"/>
              </w:rPr>
              <w:t>10.14**</w:t>
            </w:r>
          </w:p>
        </w:tc>
        <w:tc>
          <w:tcPr>
            <w:tcW w:w="10620" w:type="dxa"/>
            <w:vAlign w:val="bottom"/>
          </w:tcPr>
          <w:p>
            <w:pPr>
              <w:ind w:left="160"/>
              <w:spacing w:after="0"/>
              <w:rPr>
                <w:sz w:val="20"/>
                <w:szCs w:val="20"/>
                <w:color w:val="auto"/>
              </w:rPr>
            </w:pPr>
            <w:r>
              <w:rPr>
                <w:rFonts w:ascii="Arial" w:cs="Arial" w:eastAsia="Arial" w:hAnsi="Arial"/>
                <w:sz w:val="18"/>
                <w:szCs w:val="18"/>
                <w:color w:val="auto"/>
                <w:w w:val="91"/>
              </w:rPr>
              <w:t>Form of Class A Option Agreement under the Class A Plan (incorporated by reference to the Corporation’s Annual Report on Form 10-K as filed</w:t>
            </w:r>
          </w:p>
        </w:tc>
      </w:tr>
      <w:tr>
        <w:trPr>
          <w:trHeight w:val="222"/>
        </w:trPr>
        <w:tc>
          <w:tcPr>
            <w:tcW w:w="760" w:type="dxa"/>
            <w:vAlign w:val="bottom"/>
          </w:tcPr>
          <w:p>
            <w:pPr>
              <w:spacing w:after="0"/>
              <w:rPr>
                <w:sz w:val="19"/>
                <w:szCs w:val="19"/>
                <w:color w:val="auto"/>
              </w:rPr>
            </w:pPr>
          </w:p>
        </w:tc>
        <w:tc>
          <w:tcPr>
            <w:tcW w:w="10620" w:type="dxa"/>
            <w:vAlign w:val="bottom"/>
          </w:tcPr>
          <w:p>
            <w:pPr>
              <w:ind w:left="160"/>
              <w:spacing w:after="0"/>
              <w:rPr>
                <w:sz w:val="20"/>
                <w:szCs w:val="20"/>
                <w:color w:val="auto"/>
              </w:rPr>
            </w:pPr>
            <w:r>
              <w:rPr>
                <w:rFonts w:ascii="Arial" w:cs="Arial" w:eastAsia="Arial" w:hAnsi="Arial"/>
                <w:sz w:val="18"/>
                <w:szCs w:val="18"/>
                <w:color w:val="auto"/>
              </w:rPr>
              <w:t>with the SEC on August 8, 2005, SEC File No. 000-19860).</w:t>
            </w:r>
          </w:p>
        </w:tc>
      </w:tr>
      <w:tr>
        <w:trPr>
          <w:trHeight w:val="365"/>
        </w:trPr>
        <w:tc>
          <w:tcPr>
            <w:tcW w:w="760" w:type="dxa"/>
            <w:vAlign w:val="bottom"/>
          </w:tcPr>
          <w:p>
            <w:pPr>
              <w:spacing w:after="0"/>
              <w:rPr>
                <w:sz w:val="20"/>
                <w:szCs w:val="20"/>
                <w:color w:val="auto"/>
              </w:rPr>
            </w:pPr>
            <w:r>
              <w:rPr>
                <w:rFonts w:ascii="Arial" w:cs="Arial" w:eastAsia="Arial" w:hAnsi="Arial"/>
                <w:sz w:val="18"/>
                <w:szCs w:val="18"/>
                <w:color w:val="auto"/>
              </w:rPr>
              <w:t>10.15**</w:t>
            </w:r>
          </w:p>
        </w:tc>
        <w:tc>
          <w:tcPr>
            <w:tcW w:w="10620" w:type="dxa"/>
            <w:vAlign w:val="bottom"/>
          </w:tcPr>
          <w:p>
            <w:pPr>
              <w:ind w:left="160"/>
              <w:spacing w:after="0"/>
              <w:rPr>
                <w:sz w:val="20"/>
                <w:szCs w:val="20"/>
                <w:color w:val="auto"/>
              </w:rPr>
            </w:pPr>
            <w:r>
              <w:rPr>
                <w:rFonts w:ascii="Arial" w:cs="Arial" w:eastAsia="Arial" w:hAnsi="Arial"/>
                <w:sz w:val="18"/>
                <w:szCs w:val="18"/>
                <w:color w:val="auto"/>
                <w:w w:val="96"/>
              </w:rPr>
              <w:t>Agreement between Devereux Chatillon and Scholastic Inc., dated November 30, 2008, with regard to certain severance arrangements.</w:t>
            </w:r>
          </w:p>
        </w:tc>
      </w:tr>
      <w:tr>
        <w:trPr>
          <w:trHeight w:val="358"/>
        </w:trPr>
        <w:tc>
          <w:tcPr>
            <w:tcW w:w="760" w:type="dxa"/>
            <w:vAlign w:val="bottom"/>
          </w:tcPr>
          <w:p>
            <w:pPr>
              <w:spacing w:after="0"/>
              <w:rPr>
                <w:sz w:val="20"/>
                <w:szCs w:val="20"/>
                <w:color w:val="auto"/>
              </w:rPr>
            </w:pPr>
            <w:r>
              <w:rPr>
                <w:rFonts w:ascii="Arial" w:cs="Arial" w:eastAsia="Arial" w:hAnsi="Arial"/>
                <w:sz w:val="18"/>
                <w:szCs w:val="18"/>
                <w:color w:val="auto"/>
              </w:rPr>
              <w:t>10.16</w:t>
            </w:r>
          </w:p>
        </w:tc>
        <w:tc>
          <w:tcPr>
            <w:tcW w:w="10620" w:type="dxa"/>
            <w:vAlign w:val="bottom"/>
          </w:tcPr>
          <w:p>
            <w:pPr>
              <w:ind w:left="160"/>
              <w:spacing w:after="0"/>
              <w:rPr>
                <w:sz w:val="20"/>
                <w:szCs w:val="20"/>
                <w:color w:val="auto"/>
              </w:rPr>
            </w:pPr>
            <w:r>
              <w:rPr>
                <w:rFonts w:ascii="Arial" w:cs="Arial" w:eastAsia="Arial" w:hAnsi="Arial"/>
                <w:sz w:val="18"/>
                <w:szCs w:val="18"/>
                <w:color w:val="auto"/>
                <w:w w:val="89"/>
              </w:rPr>
              <w:t>Amended and Restated Lease, effective as of August 1, 1999, between ISE 555 Broadway, LLC, and Scholastic Inc., tenant, for the building known</w:t>
            </w:r>
          </w:p>
        </w:tc>
      </w:tr>
      <w:tr>
        <w:trPr>
          <w:trHeight w:val="222"/>
        </w:trPr>
        <w:tc>
          <w:tcPr>
            <w:tcW w:w="760" w:type="dxa"/>
            <w:vAlign w:val="bottom"/>
          </w:tcPr>
          <w:p>
            <w:pPr>
              <w:spacing w:after="0"/>
              <w:rPr>
                <w:sz w:val="19"/>
                <w:szCs w:val="19"/>
                <w:color w:val="auto"/>
              </w:rPr>
            </w:pPr>
          </w:p>
        </w:tc>
        <w:tc>
          <w:tcPr>
            <w:tcW w:w="10620" w:type="dxa"/>
            <w:vAlign w:val="bottom"/>
          </w:tcPr>
          <w:p>
            <w:pPr>
              <w:ind w:left="160"/>
              <w:spacing w:after="0"/>
              <w:rPr>
                <w:sz w:val="20"/>
                <w:szCs w:val="20"/>
                <w:color w:val="auto"/>
              </w:rPr>
            </w:pPr>
            <w:r>
              <w:rPr>
                <w:rFonts w:ascii="Arial" w:cs="Arial" w:eastAsia="Arial" w:hAnsi="Arial"/>
                <w:sz w:val="18"/>
                <w:szCs w:val="18"/>
                <w:color w:val="auto"/>
              </w:rPr>
              <w:t>as 555 Broadway, NY, NY (incorporated by reference to the 1999 10-K).</w:t>
            </w:r>
          </w:p>
        </w:tc>
      </w:tr>
      <w:tr>
        <w:trPr>
          <w:trHeight w:val="358"/>
        </w:trPr>
        <w:tc>
          <w:tcPr>
            <w:tcW w:w="760" w:type="dxa"/>
            <w:vAlign w:val="bottom"/>
          </w:tcPr>
          <w:p>
            <w:pPr>
              <w:spacing w:after="0"/>
              <w:rPr>
                <w:sz w:val="20"/>
                <w:szCs w:val="20"/>
                <w:color w:val="auto"/>
              </w:rPr>
            </w:pPr>
            <w:r>
              <w:rPr>
                <w:rFonts w:ascii="Arial" w:cs="Arial" w:eastAsia="Arial" w:hAnsi="Arial"/>
                <w:sz w:val="18"/>
                <w:szCs w:val="18"/>
                <w:color w:val="auto"/>
              </w:rPr>
              <w:t>10.17</w:t>
            </w:r>
          </w:p>
        </w:tc>
        <w:tc>
          <w:tcPr>
            <w:tcW w:w="10620" w:type="dxa"/>
            <w:vAlign w:val="bottom"/>
          </w:tcPr>
          <w:p>
            <w:pPr>
              <w:ind w:left="160"/>
              <w:spacing w:after="0"/>
              <w:rPr>
                <w:sz w:val="20"/>
                <w:szCs w:val="20"/>
                <w:color w:val="auto"/>
              </w:rPr>
            </w:pPr>
            <w:r>
              <w:rPr>
                <w:rFonts w:ascii="Arial" w:cs="Arial" w:eastAsia="Arial" w:hAnsi="Arial"/>
                <w:sz w:val="18"/>
                <w:szCs w:val="18"/>
                <w:color w:val="auto"/>
                <w:w w:val="87"/>
              </w:rPr>
              <w:t>Amended and Restated Sublease, effective as of October 9, 1996, between Kalodop Corp. and Scholastic Inc., as subtenant, for the premises known</w:t>
            </w:r>
          </w:p>
        </w:tc>
      </w:tr>
      <w:tr>
        <w:trPr>
          <w:trHeight w:val="222"/>
        </w:trPr>
        <w:tc>
          <w:tcPr>
            <w:tcW w:w="760" w:type="dxa"/>
            <w:vAlign w:val="bottom"/>
          </w:tcPr>
          <w:p>
            <w:pPr>
              <w:spacing w:after="0"/>
              <w:rPr>
                <w:sz w:val="19"/>
                <w:szCs w:val="19"/>
                <w:color w:val="auto"/>
              </w:rPr>
            </w:pPr>
          </w:p>
        </w:tc>
        <w:tc>
          <w:tcPr>
            <w:tcW w:w="10620" w:type="dxa"/>
            <w:vAlign w:val="bottom"/>
          </w:tcPr>
          <w:p>
            <w:pPr>
              <w:ind w:left="160"/>
              <w:spacing w:after="0"/>
              <w:rPr>
                <w:sz w:val="20"/>
                <w:szCs w:val="20"/>
                <w:color w:val="auto"/>
              </w:rPr>
            </w:pPr>
            <w:r>
              <w:rPr>
                <w:rFonts w:ascii="Arial" w:cs="Arial" w:eastAsia="Arial" w:hAnsi="Arial"/>
                <w:sz w:val="18"/>
                <w:szCs w:val="18"/>
                <w:color w:val="auto"/>
              </w:rPr>
              <w:t>as 557 Broadway, NY, NY (incorporated reference to the 1999 10-K).</w:t>
            </w:r>
          </w:p>
        </w:tc>
      </w:tr>
      <w:tr>
        <w:trPr>
          <w:trHeight w:val="365"/>
        </w:trPr>
        <w:tc>
          <w:tcPr>
            <w:tcW w:w="760" w:type="dxa"/>
            <w:vAlign w:val="bottom"/>
          </w:tcPr>
          <w:p>
            <w:pPr>
              <w:spacing w:after="0"/>
              <w:rPr>
                <w:sz w:val="20"/>
                <w:szCs w:val="20"/>
                <w:color w:val="auto"/>
              </w:rPr>
            </w:pPr>
            <w:r>
              <w:rPr>
                <w:rFonts w:ascii="Arial" w:cs="Arial" w:eastAsia="Arial" w:hAnsi="Arial"/>
                <w:sz w:val="18"/>
                <w:szCs w:val="18"/>
                <w:color w:val="auto"/>
              </w:rPr>
              <w:t>21</w:t>
            </w:r>
          </w:p>
        </w:tc>
        <w:tc>
          <w:tcPr>
            <w:tcW w:w="10620" w:type="dxa"/>
            <w:vAlign w:val="bottom"/>
          </w:tcPr>
          <w:p>
            <w:pPr>
              <w:ind w:left="160"/>
              <w:spacing w:after="0"/>
              <w:rPr>
                <w:sz w:val="20"/>
                <w:szCs w:val="20"/>
                <w:color w:val="auto"/>
              </w:rPr>
            </w:pPr>
            <w:r>
              <w:rPr>
                <w:rFonts w:ascii="Arial" w:cs="Arial" w:eastAsia="Arial" w:hAnsi="Arial"/>
                <w:sz w:val="18"/>
                <w:szCs w:val="18"/>
                <w:color w:val="auto"/>
              </w:rPr>
              <w:t>Subsidiaries of the Corporation, as of July 26, 2010.</w:t>
            </w:r>
          </w:p>
        </w:tc>
      </w:tr>
      <w:tr>
        <w:trPr>
          <w:trHeight w:val="365"/>
        </w:trPr>
        <w:tc>
          <w:tcPr>
            <w:tcW w:w="760" w:type="dxa"/>
            <w:vAlign w:val="bottom"/>
          </w:tcPr>
          <w:p>
            <w:pPr>
              <w:spacing w:after="0"/>
              <w:rPr>
                <w:sz w:val="20"/>
                <w:szCs w:val="20"/>
                <w:color w:val="auto"/>
              </w:rPr>
            </w:pPr>
            <w:r>
              <w:rPr>
                <w:rFonts w:ascii="Arial" w:cs="Arial" w:eastAsia="Arial" w:hAnsi="Arial"/>
                <w:sz w:val="18"/>
                <w:szCs w:val="18"/>
                <w:color w:val="auto"/>
              </w:rPr>
              <w:t>23</w:t>
            </w:r>
          </w:p>
        </w:tc>
        <w:tc>
          <w:tcPr>
            <w:tcW w:w="10620" w:type="dxa"/>
            <w:vAlign w:val="bottom"/>
          </w:tcPr>
          <w:p>
            <w:pPr>
              <w:ind w:left="160"/>
              <w:spacing w:after="0"/>
              <w:rPr>
                <w:sz w:val="20"/>
                <w:szCs w:val="20"/>
                <w:color w:val="auto"/>
              </w:rPr>
            </w:pPr>
            <w:r>
              <w:rPr>
                <w:rFonts w:ascii="Arial" w:cs="Arial" w:eastAsia="Arial" w:hAnsi="Arial"/>
                <w:sz w:val="18"/>
                <w:szCs w:val="18"/>
                <w:color w:val="auto"/>
              </w:rPr>
              <w:t>Consent of Ernst &amp; Young LLP.</w:t>
            </w:r>
          </w:p>
        </w:tc>
      </w:tr>
      <w:tr>
        <w:trPr>
          <w:trHeight w:val="365"/>
        </w:trPr>
        <w:tc>
          <w:tcPr>
            <w:tcW w:w="760" w:type="dxa"/>
            <w:vAlign w:val="bottom"/>
          </w:tcPr>
          <w:p>
            <w:pPr>
              <w:spacing w:after="0"/>
              <w:rPr>
                <w:sz w:val="20"/>
                <w:szCs w:val="20"/>
                <w:color w:val="auto"/>
              </w:rPr>
            </w:pPr>
            <w:r>
              <w:rPr>
                <w:rFonts w:ascii="Arial" w:cs="Arial" w:eastAsia="Arial" w:hAnsi="Arial"/>
                <w:sz w:val="18"/>
                <w:szCs w:val="18"/>
                <w:color w:val="auto"/>
              </w:rPr>
              <w:t>31.1</w:t>
            </w:r>
          </w:p>
        </w:tc>
        <w:tc>
          <w:tcPr>
            <w:tcW w:w="10620" w:type="dxa"/>
            <w:vAlign w:val="bottom"/>
          </w:tcPr>
          <w:p>
            <w:pPr>
              <w:ind w:left="160"/>
              <w:spacing w:after="0"/>
              <w:rPr>
                <w:sz w:val="20"/>
                <w:szCs w:val="20"/>
                <w:color w:val="auto"/>
              </w:rPr>
            </w:pPr>
            <w:r>
              <w:rPr>
                <w:rFonts w:ascii="Arial" w:cs="Arial" w:eastAsia="Arial" w:hAnsi="Arial"/>
                <w:sz w:val="18"/>
                <w:szCs w:val="18"/>
                <w:color w:val="auto"/>
              </w:rPr>
              <w:t>Certification of the Chief Executive Officer of the Corporation filed pursuant to Section 302 of the Sarbanes-Oxley Act of 2002.</w:t>
            </w:r>
          </w:p>
        </w:tc>
      </w:tr>
      <w:tr>
        <w:trPr>
          <w:trHeight w:val="365"/>
        </w:trPr>
        <w:tc>
          <w:tcPr>
            <w:tcW w:w="760" w:type="dxa"/>
            <w:vAlign w:val="bottom"/>
          </w:tcPr>
          <w:p>
            <w:pPr>
              <w:spacing w:after="0"/>
              <w:rPr>
                <w:sz w:val="20"/>
                <w:szCs w:val="20"/>
                <w:color w:val="auto"/>
              </w:rPr>
            </w:pPr>
            <w:r>
              <w:rPr>
                <w:rFonts w:ascii="Arial" w:cs="Arial" w:eastAsia="Arial" w:hAnsi="Arial"/>
                <w:sz w:val="18"/>
                <w:szCs w:val="18"/>
                <w:color w:val="auto"/>
              </w:rPr>
              <w:t>31.2</w:t>
            </w:r>
          </w:p>
        </w:tc>
        <w:tc>
          <w:tcPr>
            <w:tcW w:w="10620" w:type="dxa"/>
            <w:vAlign w:val="bottom"/>
          </w:tcPr>
          <w:p>
            <w:pPr>
              <w:ind w:left="160"/>
              <w:spacing w:after="0"/>
              <w:rPr>
                <w:sz w:val="20"/>
                <w:szCs w:val="20"/>
                <w:color w:val="auto"/>
              </w:rPr>
            </w:pPr>
            <w:r>
              <w:rPr>
                <w:rFonts w:ascii="Arial" w:cs="Arial" w:eastAsia="Arial" w:hAnsi="Arial"/>
                <w:sz w:val="18"/>
                <w:szCs w:val="18"/>
                <w:color w:val="auto"/>
              </w:rPr>
              <w:t>Certification of the Chief Financial Officer of the Corporation filed pursuant to Section 302 of the Sarbanes-Oxley Act of 2002.</w:t>
            </w:r>
          </w:p>
        </w:tc>
      </w:tr>
    </w:tbl>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870" name="Picture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
                    <pic:cNvPicPr>
                      <a:picLocks noChangeAspect="1" noChangeArrowheads="1"/>
                    </pic:cNvPicPr>
                  </pic:nvPicPr>
                  <pic:blipFill>
                    <a:blip r:embed="rId877">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ind w:left="920" w:right="120" w:hanging="912"/>
        <w:spacing w:after="0" w:line="268" w:lineRule="auto"/>
        <w:tabs>
          <w:tab w:leader="none" w:pos="9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Certifications of the Chief Executive Officer and the Chief Financial Officer of the Corporation pursuant to Section 906 of the Sarbanes-Oxley Act of 2002.</w:t>
      </w:r>
    </w:p>
    <w:p>
      <w:pPr>
        <w:spacing w:after="0" w:line="383" w:lineRule="exact"/>
        <w:rPr>
          <w:sz w:val="20"/>
          <w:szCs w:val="20"/>
          <w:color w:val="auto"/>
        </w:rPr>
      </w:pPr>
    </w:p>
    <w:p>
      <w:pPr>
        <w:ind w:left="460" w:right="180" w:hanging="452"/>
        <w:spacing w:after="0" w:line="300" w:lineRule="auto"/>
        <w:tabs>
          <w:tab w:leader="none" w:pos="460" w:val="left"/>
        </w:tabs>
        <w:numPr>
          <w:ilvl w:val="0"/>
          <w:numId w:val="18"/>
        </w:numPr>
        <w:rPr>
          <w:rFonts w:ascii="Arial" w:cs="Arial" w:eastAsia="Arial" w:hAnsi="Arial"/>
          <w:sz w:val="12"/>
          <w:szCs w:val="12"/>
          <w:color w:val="auto"/>
        </w:rPr>
      </w:pPr>
      <w:r>
        <w:rPr>
          <w:rFonts w:ascii="Arial" w:cs="Arial" w:eastAsia="Arial" w:hAnsi="Arial"/>
          <w:sz w:val="12"/>
          <w:szCs w:val="12"/>
          <w:color w:val="auto"/>
        </w:rPr>
        <w:t>Such long-term debt does not individually amount to more than 10% of the total assets of the Corporation and its subsidiaries on a consolidated basis. Accordingly, pursuant to Item 601(b)(4)(iii) of Regulation S-K, such instrument is not filed herewith. The Corporation hereby agrees to furnish a copy of any such instrument to the SEC upon request.</w:t>
      </w:r>
    </w:p>
    <w:p>
      <w:pPr>
        <w:spacing w:after="0" w:line="101" w:lineRule="exact"/>
        <w:rPr>
          <w:sz w:val="20"/>
          <w:szCs w:val="20"/>
          <w:color w:val="auto"/>
        </w:rPr>
      </w:pPr>
    </w:p>
    <w:p>
      <w:pPr>
        <w:ind w:left="460" w:hanging="452"/>
        <w:spacing w:after="0"/>
        <w:tabs>
          <w:tab w:leader="none" w:pos="4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referenced exhibit is a management contract or compensation plan or arrangement described in Item 601(b) (10) (iii)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2663825</wp:posOffset>
            </wp:positionH>
            <wp:positionV relativeFrom="paragraph">
              <wp:posOffset>129540</wp:posOffset>
            </wp:positionV>
            <wp:extent cx="1929765" cy="231775"/>
            <wp:wrapNone/>
            <wp:docPr id="871" name="Picture 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
                    <pic:cNvPicPr>
                      <a:picLocks noChangeAspect="1" noChangeArrowheads="1"/>
                    </pic:cNvPicPr>
                  </pic:nvPicPr>
                  <pic:blipFill>
                    <a:blip r:embed="rId878">
                      <a:extLst>
                        <a:ext uri="{28A0092B-C50C-407E-A947-70E740481C1C}"/>
                      </a:extLst>
                    </a:blip>
                    <a:srcRect/>
                    <a:stretch>
                      <a:fillRect/>
                    </a:stretch>
                  </pic:blipFill>
                  <pic:spPr bwMode="auto">
                    <a:xfrm>
                      <a:off x="0" y="0"/>
                      <a:ext cx="1929765"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38735"/>
            <wp:wrapNone/>
            <wp:docPr id="872" name="Picture 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
                    <pic:cNvPicPr>
                      <a:picLocks noChangeAspect="1" noChangeArrowheads="1"/>
                    </pic:cNvPicPr>
                  </pic:nvPicPr>
                  <pic:blipFill>
                    <a:blip r:embed="rId87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80"/>
          </w:cols>
          <w:pgMar w:left="240" w:top="874" w:right="279" w:bottom="1440" w:gutter="0" w:footer="0" w:header="0"/>
        </w:sectPr>
      </w:pPr>
    </w:p>
    <w:bookmarkStart w:id="88" w:name="page89"/>
    <w:bookmarkEnd w:id="8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320040</wp:posOffset>
            </wp:positionV>
            <wp:extent cx="7263765" cy="8890"/>
            <wp:wrapNone/>
            <wp:docPr id="873" name="Picture 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
                    <pic:cNvPicPr>
                      <a:picLocks noChangeAspect="1" noChangeArrowheads="1"/>
                    </pic:cNvPicPr>
                  </pic:nvPicPr>
                  <pic:blipFill>
                    <a:blip r:embed="rId880">
                      <a:extLst>
                        <a:ext uri="{28A0092B-C50C-407E-A947-70E740481C1C}"/>
                      </a:extLst>
                    </a:blip>
                    <a:srcRect/>
                    <a:stretch>
                      <a:fillRect/>
                    </a:stretch>
                  </pic:blipFill>
                  <pic:spPr bwMode="auto">
                    <a:xfrm>
                      <a:off x="0" y="0"/>
                      <a:ext cx="7263765" cy="8890"/>
                    </a:xfrm>
                    <a:prstGeom prst="rect">
                      <a:avLst/>
                    </a:prstGeom>
                    <a:noFill/>
                  </pic:spPr>
                </pic:pic>
              </a:graphicData>
            </a:graphic>
          </wp:anchor>
        </w:drawing>
        <w:t>Signatures</w:t>
      </w:r>
    </w:p>
    <w:p>
      <w:pPr>
        <w:spacing w:after="0" w:line="231"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11" w:lineRule="exact"/>
        <w:rPr>
          <w:sz w:val="20"/>
          <w:szCs w:val="20"/>
          <w:color w:val="auto"/>
        </w:rPr>
      </w:pPr>
    </w:p>
    <w:p>
      <w:pPr>
        <w:spacing w:after="0"/>
        <w:tabs>
          <w:tab w:leader="none" w:pos="7360" w:val="left"/>
        </w:tabs>
        <w:rPr>
          <w:sz w:val="20"/>
          <w:szCs w:val="20"/>
          <w:color w:val="auto"/>
        </w:rPr>
      </w:pPr>
      <w:r>
        <w:rPr>
          <w:rFonts w:ascii="Arial" w:cs="Arial" w:eastAsia="Arial" w:hAnsi="Arial"/>
          <w:sz w:val="18"/>
          <w:szCs w:val="18"/>
          <w:color w:val="auto"/>
        </w:rPr>
        <w:t>Dated: July 26, 2010</w:t>
      </w:r>
      <w:r>
        <w:rPr>
          <w:sz w:val="20"/>
          <w:szCs w:val="20"/>
          <w:color w:val="auto"/>
        </w:rPr>
        <w:tab/>
      </w:r>
      <w:r>
        <w:rPr>
          <w:rFonts w:ascii="Arial" w:cs="Arial" w:eastAsia="Arial" w:hAnsi="Arial"/>
          <w:sz w:val="16"/>
          <w:szCs w:val="16"/>
          <w:color w:val="auto"/>
        </w:rPr>
        <w:t>SCHOLASTIC CORPORATION</w:t>
      </w:r>
    </w:p>
    <w:p>
      <w:pPr>
        <w:spacing w:after="0" w:line="144" w:lineRule="exact"/>
        <w:rPr>
          <w:sz w:val="20"/>
          <w:szCs w:val="20"/>
          <w:color w:val="auto"/>
        </w:rPr>
      </w:pPr>
    </w:p>
    <w:p>
      <w:pPr>
        <w:ind w:left="7380"/>
        <w:spacing w:after="0"/>
        <w:rPr>
          <w:sz w:val="20"/>
          <w:szCs w:val="20"/>
          <w:color w:val="auto"/>
        </w:rPr>
      </w:pPr>
      <w:r>
        <w:rPr>
          <w:rFonts w:ascii="Arial" w:cs="Arial" w:eastAsia="Arial" w:hAnsi="Arial"/>
          <w:sz w:val="18"/>
          <w:szCs w:val="18"/>
          <w:color w:val="auto"/>
        </w:rPr>
        <w:t>By: /s/ Richard Robinson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4687570</wp:posOffset>
            </wp:positionH>
            <wp:positionV relativeFrom="paragraph">
              <wp:posOffset>63500</wp:posOffset>
            </wp:positionV>
            <wp:extent cx="2581275" cy="8890"/>
            <wp:wrapNone/>
            <wp:docPr id="874" name="Picture 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
                    <pic:cNvPicPr>
                      <a:picLocks noChangeAspect="1" noChangeArrowheads="1"/>
                    </pic:cNvPicPr>
                  </pic:nvPicPr>
                  <pic:blipFill>
                    <a:blip r:embed="rId881">
                      <a:extLst>
                        <a:ext uri="{28A0092B-C50C-407E-A947-70E740481C1C}"/>
                      </a:extLst>
                    </a:blip>
                    <a:srcRect/>
                    <a:stretch>
                      <a:fillRect/>
                    </a:stretch>
                  </pic:blipFill>
                  <pic:spPr bwMode="auto">
                    <a:xfrm>
                      <a:off x="0" y="0"/>
                      <a:ext cx="2581275" cy="8890"/>
                    </a:xfrm>
                    <a:prstGeom prst="rect">
                      <a:avLst/>
                    </a:prstGeom>
                    <a:noFill/>
                  </pic:spPr>
                </pic:pic>
              </a:graphicData>
            </a:graphic>
          </wp:anchor>
        </w:drawing>
      </w:r>
    </w:p>
    <w:p>
      <w:pPr>
        <w:spacing w:after="0" w:line="201" w:lineRule="exact"/>
        <w:rPr>
          <w:sz w:val="20"/>
          <w:szCs w:val="20"/>
          <w:color w:val="auto"/>
        </w:rPr>
      </w:pPr>
    </w:p>
    <w:p>
      <w:pPr>
        <w:ind w:left="7380"/>
        <w:spacing w:after="0"/>
        <w:rPr>
          <w:sz w:val="20"/>
          <w:szCs w:val="20"/>
          <w:color w:val="auto"/>
        </w:rPr>
      </w:pPr>
      <w:r>
        <w:rPr>
          <w:rFonts w:ascii="Arial" w:cs="Arial" w:eastAsia="Arial" w:hAnsi="Arial"/>
          <w:sz w:val="18"/>
          <w:szCs w:val="18"/>
          <w:color w:val="auto"/>
        </w:rPr>
        <w:t>Richard Robinson, Chairman of the Board,</w:t>
      </w:r>
    </w:p>
    <w:p>
      <w:pPr>
        <w:ind w:left="7380"/>
        <w:spacing w:after="0"/>
        <w:rPr>
          <w:sz w:val="20"/>
          <w:szCs w:val="20"/>
          <w:color w:val="auto"/>
        </w:rPr>
      </w:pPr>
      <w:r>
        <w:rPr>
          <w:rFonts w:ascii="Arial" w:cs="Arial" w:eastAsia="Arial" w:hAnsi="Arial"/>
          <w:sz w:val="18"/>
          <w:szCs w:val="18"/>
          <w:color w:val="auto"/>
        </w:rPr>
        <w:t>President and Chief Executive Officer</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Power of Attorney</w:t>
      </w:r>
    </w:p>
    <w:p>
      <w:pPr>
        <w:spacing w:after="0" w:line="23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KNOW ALL MEN BY THESE PRESENTS, that each person whose signature appears below constitutes and appoints Richard Robinson his or her true and lawful attorney-in-fact and agent, with power of substitution and resubstitution, for him or her and in his or her name, place and stead, in any and all capacities, to sign any and all amendments to this Annual Report on Form 10-K, and to file the same, with all exhibits thereto, and other documents in connection therewith, with the Securities and Exchange Commission, granting unto said attorney-in-fact and agent full power and authority to do and perform each and every act and thing necessary and requisite to be done, as fully and to all the intents and purposes as he might or could do in person, hereby ratifying and confirming all that said attorney-in-fact and agent may lawfully do or cause to be done by virtue hereof.</w:t>
      </w:r>
    </w:p>
    <w:p>
      <w:pPr>
        <w:spacing w:after="0" w:line="174"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95" w:lineRule="exact"/>
        <w:rPr>
          <w:sz w:val="20"/>
          <w:szCs w:val="20"/>
          <w:color w:val="auto"/>
        </w:rPr>
      </w:pPr>
    </w:p>
    <w:p>
      <w:pPr>
        <w:spacing w:after="0"/>
        <w:tabs>
          <w:tab w:leader="none" w:pos="3980" w:val="left"/>
          <w:tab w:leader="none" w:pos="10120" w:val="left"/>
        </w:tabs>
        <w:rPr>
          <w:sz w:val="20"/>
          <w:szCs w:val="20"/>
          <w:color w:val="auto"/>
        </w:rPr>
      </w:pPr>
      <w:r>
        <w:rPr>
          <w:rFonts w:ascii="Arial" w:cs="Arial" w:eastAsia="Arial" w:hAnsi="Arial"/>
          <w:sz w:val="14"/>
          <w:szCs w:val="14"/>
          <w:b w:val="1"/>
          <w:bCs w:val="1"/>
          <w:color w:val="auto"/>
        </w:rPr>
        <w:t>Signature</w:t>
      </w:r>
      <w:r>
        <w:rPr>
          <w:sz w:val="20"/>
          <w:szCs w:val="20"/>
          <w:color w:val="auto"/>
        </w:rPr>
        <w:tab/>
      </w:r>
      <w:r>
        <w:rPr>
          <w:rFonts w:ascii="Arial" w:cs="Arial" w:eastAsia="Arial" w:hAnsi="Arial"/>
          <w:sz w:val="14"/>
          <w:szCs w:val="14"/>
          <w:b w:val="1"/>
          <w:bCs w:val="1"/>
          <w:color w:val="auto"/>
        </w:rPr>
        <w:t>Title</w:t>
      </w:r>
      <w:r>
        <w:rPr>
          <w:sz w:val="20"/>
          <w:szCs w:val="20"/>
          <w:color w:val="auto"/>
        </w:rPr>
        <w:tab/>
      </w:r>
      <w:r>
        <w:rPr>
          <w:rFonts w:ascii="Arial" w:cs="Arial" w:eastAsia="Arial" w:hAnsi="Arial"/>
          <w:sz w:val="12"/>
          <w:szCs w:val="12"/>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63765" cy="8890"/>
            <wp:wrapNone/>
            <wp:docPr id="875" name="Picture 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
                    <pic:cNvPicPr>
                      <a:picLocks noChangeAspect="1" noChangeArrowheads="1"/>
                    </pic:cNvPicPr>
                  </pic:nvPicPr>
                  <pic:blipFill>
                    <a:blip r:embed="rId882">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380"/>
          </w:cols>
          <w:pgMar w:left="240" w:top="827" w:right="279" w:bottom="1440" w:gutter="0" w:footer="0" w:header="0"/>
        </w:sectPr>
      </w:pPr>
    </w:p>
    <w:p>
      <w:pPr>
        <w:spacing w:after="0" w:line="3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 Richard Robinson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2195195" cy="8890"/>
            <wp:wrapNone/>
            <wp:docPr id="876" name="Picture 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
                    <pic:cNvPicPr>
                      <a:picLocks noChangeAspect="1" noChangeArrowheads="1"/>
                    </pic:cNvPicPr>
                  </pic:nvPicPr>
                  <pic:blipFill>
                    <a:blip r:embed="rId883">
                      <a:extLst>
                        <a:ext uri="{28A0092B-C50C-407E-A947-70E740481C1C}"/>
                      </a:extLst>
                    </a:blip>
                    <a:srcRect/>
                    <a:stretch>
                      <a:fillRect/>
                    </a:stretch>
                  </pic:blipFill>
                  <pic:spPr bwMode="auto">
                    <a:xfrm>
                      <a:off x="0" y="0"/>
                      <a:ext cx="2195195" cy="8890"/>
                    </a:xfrm>
                    <a:prstGeom prst="rect">
                      <a:avLst/>
                    </a:prstGeom>
                    <a:noFill/>
                  </pic:spPr>
                </pic:pic>
              </a:graphicData>
            </a:graphic>
          </wp:anchor>
        </w:drawing>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Richard Robinson</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 Maureen O’Connell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2195195" cy="8890"/>
            <wp:wrapNone/>
            <wp:docPr id="877" name="Picture 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
                    <pic:cNvPicPr>
                      <a:picLocks noChangeAspect="1" noChangeArrowheads="1"/>
                    </pic:cNvPicPr>
                  </pic:nvPicPr>
                  <pic:blipFill>
                    <a:blip r:embed="rId884">
                      <a:extLst>
                        <a:ext uri="{28A0092B-C50C-407E-A947-70E740481C1C}"/>
                      </a:extLst>
                    </a:blip>
                    <a:srcRect/>
                    <a:stretch>
                      <a:fillRect/>
                    </a:stretch>
                  </pic:blipFill>
                  <pic:spPr bwMode="auto">
                    <a:xfrm>
                      <a:off x="0" y="0"/>
                      <a:ext cx="2195195" cy="8890"/>
                    </a:xfrm>
                    <a:prstGeom prst="rect">
                      <a:avLst/>
                    </a:prstGeom>
                    <a:noFill/>
                  </pic:spPr>
                </pic:pic>
              </a:graphicData>
            </a:graphic>
          </wp:anchor>
        </w:drawing>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Maureen O’Connell</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 Robert J. Jackson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2195195" cy="8890"/>
            <wp:wrapNone/>
            <wp:docPr id="878" name="Picture 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
                    <pic:cNvPicPr>
                      <a:picLocks noChangeAspect="1" noChangeArrowheads="1"/>
                    </pic:cNvPicPr>
                  </pic:nvPicPr>
                  <pic:blipFill>
                    <a:blip r:embed="rId885">
                      <a:extLst>
                        <a:ext uri="{28A0092B-C50C-407E-A947-70E740481C1C}"/>
                      </a:extLst>
                    </a:blip>
                    <a:srcRect/>
                    <a:stretch>
                      <a:fillRect/>
                    </a:stretch>
                  </pic:blipFill>
                  <pic:spPr bwMode="auto">
                    <a:xfrm>
                      <a:off x="0" y="0"/>
                      <a:ext cx="2195195" cy="8890"/>
                    </a:xfrm>
                    <a:prstGeom prst="rect">
                      <a:avLst/>
                    </a:prstGeom>
                    <a:noFill/>
                  </pic:spPr>
                </pic:pic>
              </a:graphicData>
            </a:graphic>
          </wp:anchor>
        </w:drawing>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Robert J. Jackson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 James W. Barge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2195195" cy="8890"/>
            <wp:wrapNone/>
            <wp:docPr id="879" name="Picture 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
                    <pic:cNvPicPr>
                      <a:picLocks noChangeAspect="1" noChangeArrowheads="1"/>
                    </pic:cNvPicPr>
                  </pic:nvPicPr>
                  <pic:blipFill>
                    <a:blip r:embed="rId886">
                      <a:extLst>
                        <a:ext uri="{28A0092B-C50C-407E-A947-70E740481C1C}"/>
                      </a:extLst>
                    </a:blip>
                    <a:srcRect/>
                    <a:stretch>
                      <a:fillRect/>
                    </a:stretch>
                  </pic:blipFill>
                  <pic:spPr bwMode="auto">
                    <a:xfrm>
                      <a:off x="0" y="0"/>
                      <a:ext cx="219519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James W. Barge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 John L. Davies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2195195" cy="8890"/>
            <wp:wrapNone/>
            <wp:docPr id="880" name="Picture 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
                    <pic:cNvPicPr>
                      <a:picLocks noChangeAspect="1" noChangeArrowheads="1"/>
                    </pic:cNvPicPr>
                  </pic:nvPicPr>
                  <pic:blipFill>
                    <a:blip r:embed="rId887">
                      <a:extLst>
                        <a:ext uri="{28A0092B-C50C-407E-A947-70E740481C1C}"/>
                      </a:extLst>
                    </a:blip>
                    <a:srcRect/>
                    <a:stretch>
                      <a:fillRect/>
                    </a:stretch>
                  </pic:blipFill>
                  <pic:spPr bwMode="auto">
                    <a:xfrm>
                      <a:off x="0" y="0"/>
                      <a:ext cx="219519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John L. Davies</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 Andrew S. Hedden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2195195" cy="8890"/>
            <wp:wrapNone/>
            <wp:docPr id="881" name="Picture 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
                    <pic:cNvPicPr>
                      <a:picLocks noChangeAspect="1" noChangeArrowheads="1"/>
                    </pic:cNvPicPr>
                  </pic:nvPicPr>
                  <pic:blipFill>
                    <a:blip r:embed="rId888">
                      <a:extLst>
                        <a:ext uri="{28A0092B-C50C-407E-A947-70E740481C1C}"/>
                      </a:extLst>
                    </a:blip>
                    <a:srcRect/>
                    <a:stretch>
                      <a:fillRect/>
                    </a:stretch>
                  </pic:blipFill>
                  <pic:spPr bwMode="auto">
                    <a:xfrm>
                      <a:off x="0" y="0"/>
                      <a:ext cx="2195195" cy="8890"/>
                    </a:xfrm>
                    <a:prstGeom prst="rect">
                      <a:avLst/>
                    </a:prstGeom>
                    <a:noFill/>
                  </pic:spPr>
                </pic:pic>
              </a:graphicData>
            </a:graphic>
          </wp:anchor>
        </w:drawing>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Andrew S. Hedden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 Mae C. Jemison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2195195" cy="8890"/>
            <wp:wrapNone/>
            <wp:docPr id="882" name="Picture 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
                    <pic:cNvPicPr>
                      <a:picLocks noChangeAspect="1" noChangeArrowheads="1"/>
                    </pic:cNvPicPr>
                  </pic:nvPicPr>
                  <pic:blipFill>
                    <a:blip r:embed="rId889">
                      <a:extLst>
                        <a:ext uri="{28A0092B-C50C-407E-A947-70E740481C1C}"/>
                      </a:extLst>
                    </a:blip>
                    <a:srcRect/>
                    <a:stretch>
                      <a:fillRect/>
                    </a:stretch>
                  </pic:blipFill>
                  <pic:spPr bwMode="auto">
                    <a:xfrm>
                      <a:off x="0" y="0"/>
                      <a:ext cx="219519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Mae C. Jemison</w:t>
      </w:r>
    </w:p>
    <w:p>
      <w:pPr>
        <w:spacing w:after="0" w:line="20" w:lineRule="exact"/>
        <w:rPr>
          <w:sz w:val="20"/>
          <w:szCs w:val="20"/>
          <w:color w:val="auto"/>
        </w:rPr>
      </w:pPr>
      <w:r>
        <w:rPr>
          <w:sz w:val="20"/>
          <w:szCs w:val="20"/>
          <w:color w:val="auto"/>
        </w:rPr>
        <w:br w:type="column"/>
      </w:r>
    </w:p>
    <w:p>
      <w:pPr>
        <w:spacing w:after="0" w:line="350" w:lineRule="exact"/>
        <w:rPr>
          <w:sz w:val="20"/>
          <w:szCs w:val="20"/>
          <w:color w:val="auto"/>
        </w:rPr>
      </w:pPr>
    </w:p>
    <w:p>
      <w:pPr>
        <w:spacing w:after="0"/>
        <w:tabs>
          <w:tab w:leader="none" w:pos="5780" w:val="left"/>
        </w:tabs>
        <w:rPr>
          <w:sz w:val="20"/>
          <w:szCs w:val="20"/>
          <w:color w:val="auto"/>
        </w:rPr>
      </w:pPr>
      <w:r>
        <w:rPr>
          <w:rFonts w:ascii="Arial" w:cs="Arial" w:eastAsia="Arial" w:hAnsi="Arial"/>
          <w:sz w:val="18"/>
          <w:szCs w:val="18"/>
          <w:color w:val="auto"/>
        </w:rPr>
        <w:t>Chairman of the Board, President and</w:t>
      </w:r>
      <w:r>
        <w:rPr>
          <w:sz w:val="20"/>
          <w:szCs w:val="20"/>
          <w:color w:val="auto"/>
        </w:rPr>
        <w:tab/>
      </w:r>
      <w:r>
        <w:rPr>
          <w:rFonts w:ascii="Arial" w:cs="Arial" w:eastAsia="Arial" w:hAnsi="Arial"/>
          <w:sz w:val="16"/>
          <w:szCs w:val="16"/>
          <w:color w:val="auto"/>
        </w:rPr>
        <w:t>July 26, 2010</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 and Director</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pacing w:after="0" w:line="158" w:lineRule="exact"/>
        <w:rPr>
          <w:sz w:val="20"/>
          <w:szCs w:val="20"/>
          <w:color w:val="auto"/>
        </w:rPr>
      </w:pPr>
    </w:p>
    <w:p>
      <w:pPr>
        <w:spacing w:after="0"/>
        <w:tabs>
          <w:tab w:leader="none" w:pos="5780" w:val="left"/>
        </w:tabs>
        <w:rPr>
          <w:sz w:val="20"/>
          <w:szCs w:val="20"/>
          <w:color w:val="auto"/>
        </w:rPr>
      </w:pPr>
      <w:r>
        <w:rPr>
          <w:rFonts w:ascii="Arial" w:cs="Arial" w:eastAsia="Arial" w:hAnsi="Arial"/>
          <w:sz w:val="18"/>
          <w:szCs w:val="18"/>
          <w:color w:val="auto"/>
        </w:rPr>
        <w:t>Executive Vice President, Chief Administrative</w:t>
      </w:r>
      <w:r>
        <w:rPr>
          <w:sz w:val="20"/>
          <w:szCs w:val="20"/>
          <w:color w:val="auto"/>
        </w:rPr>
        <w:tab/>
      </w:r>
      <w:r>
        <w:rPr>
          <w:rFonts w:ascii="Arial" w:cs="Arial" w:eastAsia="Arial" w:hAnsi="Arial"/>
          <w:sz w:val="16"/>
          <w:szCs w:val="16"/>
          <w:color w:val="auto"/>
        </w:rPr>
        <w:t>July 26, 2010</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Officer and Chief Financial Officer</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officer)</w:t>
      </w:r>
    </w:p>
    <w:p>
      <w:pPr>
        <w:spacing w:after="0" w:line="158" w:lineRule="exact"/>
        <w:rPr>
          <w:sz w:val="20"/>
          <w:szCs w:val="20"/>
          <w:color w:val="auto"/>
        </w:rPr>
      </w:pPr>
    </w:p>
    <w:p>
      <w:pPr>
        <w:spacing w:after="0"/>
        <w:tabs>
          <w:tab w:leader="none" w:pos="5780" w:val="left"/>
        </w:tabs>
        <w:rPr>
          <w:sz w:val="20"/>
          <w:szCs w:val="20"/>
          <w:color w:val="auto"/>
        </w:rPr>
      </w:pPr>
      <w:r>
        <w:rPr>
          <w:rFonts w:ascii="Arial" w:cs="Arial" w:eastAsia="Arial" w:hAnsi="Arial"/>
          <w:sz w:val="18"/>
          <w:szCs w:val="18"/>
          <w:color w:val="auto"/>
        </w:rPr>
        <w:t>Senior Vice President, Chief Accounting Officer</w:t>
      </w:r>
      <w:r>
        <w:rPr>
          <w:sz w:val="20"/>
          <w:szCs w:val="20"/>
          <w:color w:val="auto"/>
        </w:rPr>
        <w:tab/>
      </w:r>
      <w:r>
        <w:rPr>
          <w:rFonts w:ascii="Arial" w:cs="Arial" w:eastAsia="Arial" w:hAnsi="Arial"/>
          <w:sz w:val="16"/>
          <w:szCs w:val="16"/>
          <w:color w:val="auto"/>
        </w:rPr>
        <w:t>July 26, 2010</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(principal accounting officer)</w:t>
      </w:r>
    </w:p>
    <w:p>
      <w:pPr>
        <w:spacing w:after="0" w:line="381" w:lineRule="exact"/>
        <w:rPr>
          <w:sz w:val="20"/>
          <w:szCs w:val="20"/>
          <w:color w:val="auto"/>
        </w:rPr>
      </w:pPr>
    </w:p>
    <w:p>
      <w:pPr>
        <w:spacing w:after="0"/>
        <w:tabs>
          <w:tab w:leader="none" w:pos="5780" w:val="left"/>
        </w:tabs>
        <w:rPr>
          <w:sz w:val="20"/>
          <w:szCs w:val="20"/>
          <w:color w:val="auto"/>
        </w:rPr>
      </w:pPr>
      <w:r>
        <w:rPr>
          <w:rFonts w:ascii="Arial" w:cs="Arial" w:eastAsia="Arial" w:hAnsi="Arial"/>
          <w:sz w:val="16"/>
          <w:szCs w:val="16"/>
          <w:color w:val="auto"/>
        </w:rPr>
        <w:t>Director</w:t>
      </w:r>
      <w:r>
        <w:rPr>
          <w:sz w:val="20"/>
          <w:szCs w:val="20"/>
          <w:color w:val="auto"/>
        </w:rPr>
        <w:tab/>
      </w:r>
      <w:r>
        <w:rPr>
          <w:rFonts w:ascii="Arial" w:cs="Arial" w:eastAsia="Arial" w:hAnsi="Arial"/>
          <w:sz w:val="16"/>
          <w:szCs w:val="16"/>
          <w:color w:val="auto"/>
        </w:rPr>
        <w:t>July 26, 2010</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tabs>
          <w:tab w:leader="none" w:pos="5780" w:val="left"/>
        </w:tabs>
        <w:rPr>
          <w:sz w:val="20"/>
          <w:szCs w:val="20"/>
          <w:color w:val="auto"/>
        </w:rPr>
      </w:pPr>
      <w:r>
        <w:rPr>
          <w:rFonts w:ascii="Arial" w:cs="Arial" w:eastAsia="Arial" w:hAnsi="Arial"/>
          <w:sz w:val="16"/>
          <w:szCs w:val="16"/>
          <w:color w:val="auto"/>
        </w:rPr>
        <w:t>Director</w:t>
      </w:r>
      <w:r>
        <w:rPr>
          <w:sz w:val="20"/>
          <w:szCs w:val="20"/>
          <w:color w:val="auto"/>
        </w:rPr>
        <w:tab/>
      </w:r>
      <w:r>
        <w:rPr>
          <w:rFonts w:ascii="Arial" w:cs="Arial" w:eastAsia="Arial" w:hAnsi="Arial"/>
          <w:sz w:val="16"/>
          <w:szCs w:val="16"/>
          <w:color w:val="auto"/>
        </w:rPr>
        <w:t>July 26, 2010</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tabs>
          <w:tab w:leader="none" w:pos="5780" w:val="left"/>
        </w:tabs>
        <w:rPr>
          <w:sz w:val="20"/>
          <w:szCs w:val="20"/>
          <w:color w:val="auto"/>
        </w:rPr>
      </w:pPr>
      <w:r>
        <w:rPr>
          <w:rFonts w:ascii="Arial" w:cs="Arial" w:eastAsia="Arial" w:hAnsi="Arial"/>
          <w:sz w:val="16"/>
          <w:szCs w:val="16"/>
          <w:color w:val="auto"/>
        </w:rPr>
        <w:t>Director</w:t>
      </w:r>
      <w:r>
        <w:rPr>
          <w:sz w:val="20"/>
          <w:szCs w:val="20"/>
          <w:color w:val="auto"/>
        </w:rPr>
        <w:tab/>
      </w:r>
      <w:r>
        <w:rPr>
          <w:rFonts w:ascii="Arial" w:cs="Arial" w:eastAsia="Arial" w:hAnsi="Arial"/>
          <w:sz w:val="16"/>
          <w:szCs w:val="16"/>
          <w:color w:val="auto"/>
        </w:rPr>
        <w:t>July 26, 2010</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tabs>
          <w:tab w:leader="none" w:pos="5780" w:val="left"/>
        </w:tabs>
        <w:rPr>
          <w:sz w:val="20"/>
          <w:szCs w:val="20"/>
          <w:color w:val="auto"/>
        </w:rPr>
      </w:pPr>
      <w:r>
        <w:rPr>
          <w:rFonts w:ascii="Arial" w:cs="Arial" w:eastAsia="Arial" w:hAnsi="Arial"/>
          <w:sz w:val="16"/>
          <w:szCs w:val="16"/>
          <w:color w:val="auto"/>
        </w:rPr>
        <w:t>Director</w:t>
      </w:r>
      <w:r>
        <w:rPr>
          <w:sz w:val="20"/>
          <w:szCs w:val="20"/>
          <w:color w:val="auto"/>
        </w:rPr>
        <w:tab/>
      </w:r>
      <w:r>
        <w:rPr>
          <w:rFonts w:ascii="Arial" w:cs="Arial" w:eastAsia="Arial" w:hAnsi="Arial"/>
          <w:sz w:val="16"/>
          <w:szCs w:val="16"/>
          <w:color w:val="auto"/>
        </w:rPr>
        <w:t>July 26,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123825</wp:posOffset>
            </wp:positionH>
            <wp:positionV relativeFrom="paragraph">
              <wp:posOffset>445770</wp:posOffset>
            </wp:positionV>
            <wp:extent cx="1929765" cy="231775"/>
            <wp:wrapNone/>
            <wp:docPr id="883" name="Picture 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
                    <pic:cNvPicPr>
                      <a:picLocks noChangeAspect="1" noChangeArrowheads="1"/>
                    </pic:cNvPicPr>
                  </pic:nvPicPr>
                  <pic:blipFill>
                    <a:blip r:embed="rId890">
                      <a:extLst>
                        <a:ext uri="{28A0092B-C50C-407E-A947-70E740481C1C}"/>
                      </a:extLst>
                    </a:blip>
                    <a:srcRect/>
                    <a:stretch>
                      <a:fillRect/>
                    </a:stretch>
                  </pic:blipFill>
                  <pic:spPr bwMode="auto">
                    <a:xfrm>
                      <a:off x="0" y="0"/>
                      <a:ext cx="1929765" cy="231775"/>
                    </a:xfrm>
                    <a:prstGeom prst="rect">
                      <a:avLst/>
                    </a:prstGeom>
                    <a:noFill/>
                  </pic:spPr>
                </pic:pic>
              </a:graphicData>
            </a:graphic>
          </wp:anchor>
        </w:drawing>
      </w:r>
    </w:p>
    <w:p>
      <w:pPr>
        <w:spacing w:after="0" w:line="662" w:lineRule="exact"/>
        <w:rPr>
          <w:sz w:val="20"/>
          <w:szCs w:val="20"/>
          <w:color w:val="auto"/>
        </w:rPr>
      </w:pPr>
    </w:p>
    <w:p>
      <w:pPr>
        <w:sectPr>
          <w:pgSz w:w="11900" w:h="16838" w:orient="portrait"/>
          <w:cols w:equalWidth="0" w:num="2">
            <w:col w:w="3280" w:space="720"/>
            <w:col w:w="7380"/>
          </w:cols>
          <w:pgMar w:left="240" w:top="827" w:right="2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67575" cy="38735"/>
            <wp:wrapNone/>
            <wp:docPr id="884" name="Picture 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
                    <pic:cNvPicPr>
                      <a:picLocks noChangeAspect="1" noChangeArrowheads="1"/>
                    </pic:cNvPicPr>
                  </pic:nvPicPr>
                  <pic:blipFill>
                    <a:blip r:embed="rId89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80"/>
          </w:cols>
          <w:pgMar w:left="240" w:top="827" w:right="279" w:bottom="1440" w:gutter="0" w:footer="0" w:header="0"/>
          <w:type w:val="continuous"/>
        </w:sectPr>
      </w:pPr>
    </w:p>
    <w:bookmarkStart w:id="89" w:name="page90"/>
    <w:bookmarkEnd w:id="89"/>
    <w:p>
      <w:pPr>
        <w:spacing w:after="0"/>
        <w:tabs>
          <w:tab w:leader="none" w:pos="3980" w:val="left"/>
          <w:tab w:leader="none" w:pos="10120" w:val="left"/>
        </w:tabs>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885" name="Picture 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
                    <pic:cNvPicPr>
                      <a:picLocks noChangeAspect="1" noChangeArrowheads="1"/>
                    </pic:cNvPicPr>
                  </pic:nvPicPr>
                  <pic:blipFill>
                    <a:blip r:embed="rId892">
                      <a:extLst>
                        <a:ext uri="{28A0092B-C50C-407E-A947-70E740481C1C}"/>
                      </a:extLst>
                    </a:blip>
                    <a:srcRect/>
                    <a:stretch>
                      <a:fillRect/>
                    </a:stretch>
                  </pic:blipFill>
                  <pic:spPr bwMode="auto">
                    <a:xfrm>
                      <a:off x="0" y="0"/>
                      <a:ext cx="7263765" cy="8890"/>
                    </a:xfrm>
                    <a:prstGeom prst="rect">
                      <a:avLst/>
                    </a:prstGeom>
                    <a:noFill/>
                  </pic:spPr>
                </pic:pic>
              </a:graphicData>
            </a:graphic>
          </wp:anchor>
        </w:drawing>
        <w:t>Signature</w:t>
      </w:r>
      <w:r>
        <w:rPr>
          <w:sz w:val="20"/>
          <w:szCs w:val="20"/>
          <w:color w:val="auto"/>
        </w:rPr>
        <w:tab/>
      </w:r>
      <w:r>
        <w:rPr>
          <w:rFonts w:ascii="Arial" w:cs="Arial" w:eastAsia="Arial" w:hAnsi="Arial"/>
          <w:sz w:val="14"/>
          <w:szCs w:val="14"/>
          <w:b w:val="1"/>
          <w:bCs w:val="1"/>
          <w:color w:val="auto"/>
        </w:rPr>
        <w:t>Title</w:t>
      </w:r>
      <w:r>
        <w:rPr>
          <w:sz w:val="20"/>
          <w:szCs w:val="20"/>
          <w:color w:val="auto"/>
        </w:rPr>
        <w:tab/>
      </w:r>
      <w:r>
        <w:rPr>
          <w:rFonts w:ascii="Arial" w:cs="Arial" w:eastAsia="Arial" w:hAnsi="Arial"/>
          <w:sz w:val="12"/>
          <w:szCs w:val="12"/>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63765" cy="8890"/>
            <wp:wrapNone/>
            <wp:docPr id="886" name="Picture 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
                    <pic:cNvPicPr>
                      <a:picLocks noChangeAspect="1" noChangeArrowheads="1"/>
                    </pic:cNvPicPr>
                  </pic:nvPicPr>
                  <pic:blipFill>
                    <a:blip r:embed="rId893">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460" w:type="dxa"/>
            <w:vAlign w:val="bottom"/>
          </w:tcPr>
          <w:p>
            <w:pPr>
              <w:spacing w:after="0"/>
              <w:rPr>
                <w:sz w:val="20"/>
                <w:szCs w:val="20"/>
                <w:color w:val="auto"/>
              </w:rPr>
            </w:pPr>
            <w:r>
              <w:rPr>
                <w:rFonts w:ascii="Arial" w:cs="Arial" w:eastAsia="Arial" w:hAnsi="Arial"/>
                <w:sz w:val="18"/>
                <w:szCs w:val="18"/>
                <w:b w:val="1"/>
                <w:bCs w:val="1"/>
                <w:color w:val="auto"/>
              </w:rPr>
              <w:t>/s/ Peter M. Mayer</w:t>
            </w:r>
          </w:p>
        </w:tc>
        <w:tc>
          <w:tcPr>
            <w:tcW w:w="3740" w:type="dxa"/>
            <w:vAlign w:val="bottom"/>
          </w:tcPr>
          <w:p>
            <w:pPr>
              <w:ind w:left="540"/>
              <w:spacing w:after="0"/>
              <w:rPr>
                <w:sz w:val="20"/>
                <w:szCs w:val="20"/>
                <w:color w:val="auto"/>
              </w:rPr>
            </w:pPr>
            <w:r>
              <w:rPr>
                <w:rFonts w:ascii="Arial" w:cs="Arial" w:eastAsia="Arial" w:hAnsi="Arial"/>
                <w:sz w:val="18"/>
                <w:szCs w:val="18"/>
                <w:color w:val="auto"/>
              </w:rPr>
              <w:t>Director</w:t>
            </w:r>
          </w:p>
        </w:tc>
        <w:tc>
          <w:tcPr>
            <w:tcW w:w="3560" w:type="dxa"/>
            <w:vAlign w:val="bottom"/>
          </w:tcPr>
          <w:p>
            <w:pPr>
              <w:ind w:left="2600"/>
              <w:spacing w:after="0"/>
              <w:rPr>
                <w:sz w:val="20"/>
                <w:szCs w:val="20"/>
                <w:color w:val="auto"/>
              </w:rPr>
            </w:pPr>
            <w:r>
              <w:rPr>
                <w:rFonts w:ascii="Arial" w:cs="Arial" w:eastAsia="Arial" w:hAnsi="Arial"/>
                <w:sz w:val="18"/>
                <w:szCs w:val="18"/>
                <w:color w:val="auto"/>
                <w:w w:val="87"/>
              </w:rPr>
              <w:t>July 26, 2010</w:t>
            </w:r>
          </w:p>
        </w:tc>
      </w:tr>
      <w:tr>
        <w:trPr>
          <w:trHeight w:val="110"/>
        </w:trPr>
        <w:tc>
          <w:tcPr>
            <w:tcW w:w="3460" w:type="dxa"/>
            <w:vAlign w:val="bottom"/>
            <w:tcBorders>
              <w:bottom w:val="single" w:sz="8" w:color="808080"/>
            </w:tcBorders>
          </w:tcPr>
          <w:p>
            <w:pPr>
              <w:spacing w:after="0"/>
              <w:rPr>
                <w:sz w:val="9"/>
                <w:szCs w:val="9"/>
                <w:color w:val="auto"/>
              </w:rPr>
            </w:pPr>
          </w:p>
        </w:tc>
        <w:tc>
          <w:tcPr>
            <w:tcW w:w="3740" w:type="dxa"/>
            <w:vAlign w:val="bottom"/>
          </w:tcPr>
          <w:p>
            <w:pPr>
              <w:spacing w:after="0"/>
              <w:rPr>
                <w:sz w:val="9"/>
                <w:szCs w:val="9"/>
                <w:color w:val="auto"/>
              </w:rPr>
            </w:pPr>
          </w:p>
        </w:tc>
        <w:tc>
          <w:tcPr>
            <w:tcW w:w="3560" w:type="dxa"/>
            <w:vAlign w:val="bottom"/>
          </w:tcPr>
          <w:p>
            <w:pPr>
              <w:spacing w:after="0"/>
              <w:rPr>
                <w:sz w:val="9"/>
                <w:szCs w:val="9"/>
                <w:color w:val="auto"/>
              </w:rPr>
            </w:pPr>
          </w:p>
        </w:tc>
      </w:tr>
      <w:tr>
        <w:trPr>
          <w:trHeight w:val="316"/>
        </w:trPr>
        <w:tc>
          <w:tcPr>
            <w:tcW w:w="3460" w:type="dxa"/>
            <w:vAlign w:val="bottom"/>
          </w:tcPr>
          <w:p>
            <w:pPr>
              <w:spacing w:after="0"/>
              <w:rPr>
                <w:sz w:val="20"/>
                <w:szCs w:val="20"/>
                <w:color w:val="auto"/>
              </w:rPr>
            </w:pPr>
            <w:r>
              <w:rPr>
                <w:rFonts w:ascii="Arial" w:cs="Arial" w:eastAsia="Arial" w:hAnsi="Arial"/>
                <w:sz w:val="18"/>
                <w:szCs w:val="18"/>
                <w:b w:val="1"/>
                <w:bCs w:val="1"/>
                <w:color w:val="auto"/>
              </w:rPr>
              <w:t>Peter M. Mayer</w:t>
            </w:r>
          </w:p>
        </w:tc>
        <w:tc>
          <w:tcPr>
            <w:tcW w:w="3740" w:type="dxa"/>
            <w:vAlign w:val="bottom"/>
          </w:tcPr>
          <w:p>
            <w:pPr>
              <w:spacing w:after="0"/>
              <w:rPr>
                <w:sz w:val="24"/>
                <w:szCs w:val="24"/>
                <w:color w:val="auto"/>
              </w:rPr>
            </w:pPr>
          </w:p>
        </w:tc>
        <w:tc>
          <w:tcPr>
            <w:tcW w:w="3560" w:type="dxa"/>
            <w:vAlign w:val="bottom"/>
          </w:tcPr>
          <w:p>
            <w:pPr>
              <w:spacing w:after="0"/>
              <w:rPr>
                <w:sz w:val="24"/>
                <w:szCs w:val="24"/>
                <w:color w:val="auto"/>
              </w:rPr>
            </w:pPr>
          </w:p>
        </w:tc>
      </w:tr>
      <w:tr>
        <w:trPr>
          <w:trHeight w:val="365"/>
        </w:trPr>
        <w:tc>
          <w:tcPr>
            <w:tcW w:w="3460" w:type="dxa"/>
            <w:vAlign w:val="bottom"/>
          </w:tcPr>
          <w:p>
            <w:pPr>
              <w:spacing w:after="0"/>
              <w:rPr>
                <w:sz w:val="20"/>
                <w:szCs w:val="20"/>
                <w:color w:val="auto"/>
              </w:rPr>
            </w:pPr>
            <w:r>
              <w:rPr>
                <w:rFonts w:ascii="Arial" w:cs="Arial" w:eastAsia="Arial" w:hAnsi="Arial"/>
                <w:sz w:val="18"/>
                <w:szCs w:val="18"/>
                <w:b w:val="1"/>
                <w:bCs w:val="1"/>
                <w:color w:val="auto"/>
              </w:rPr>
              <w:t>/s/ John G. McDonald</w:t>
            </w:r>
          </w:p>
        </w:tc>
        <w:tc>
          <w:tcPr>
            <w:tcW w:w="3740" w:type="dxa"/>
            <w:vAlign w:val="bottom"/>
          </w:tcPr>
          <w:p>
            <w:pPr>
              <w:ind w:left="540"/>
              <w:spacing w:after="0"/>
              <w:rPr>
                <w:sz w:val="20"/>
                <w:szCs w:val="20"/>
                <w:color w:val="auto"/>
              </w:rPr>
            </w:pPr>
            <w:r>
              <w:rPr>
                <w:rFonts w:ascii="Arial" w:cs="Arial" w:eastAsia="Arial" w:hAnsi="Arial"/>
                <w:sz w:val="18"/>
                <w:szCs w:val="18"/>
                <w:color w:val="auto"/>
              </w:rPr>
              <w:t>Director</w:t>
            </w:r>
          </w:p>
        </w:tc>
        <w:tc>
          <w:tcPr>
            <w:tcW w:w="3560" w:type="dxa"/>
            <w:vAlign w:val="bottom"/>
          </w:tcPr>
          <w:p>
            <w:pPr>
              <w:ind w:left="2600"/>
              <w:spacing w:after="0"/>
              <w:rPr>
                <w:sz w:val="20"/>
                <w:szCs w:val="20"/>
                <w:color w:val="auto"/>
              </w:rPr>
            </w:pPr>
            <w:r>
              <w:rPr>
                <w:rFonts w:ascii="Arial" w:cs="Arial" w:eastAsia="Arial" w:hAnsi="Arial"/>
                <w:sz w:val="18"/>
                <w:szCs w:val="18"/>
                <w:color w:val="auto"/>
                <w:w w:val="87"/>
              </w:rPr>
              <w:t>July 26, 2010</w:t>
            </w:r>
          </w:p>
        </w:tc>
      </w:tr>
      <w:tr>
        <w:trPr>
          <w:trHeight w:val="110"/>
        </w:trPr>
        <w:tc>
          <w:tcPr>
            <w:tcW w:w="3460" w:type="dxa"/>
            <w:vAlign w:val="bottom"/>
            <w:tcBorders>
              <w:bottom w:val="single" w:sz="8" w:color="808080"/>
            </w:tcBorders>
          </w:tcPr>
          <w:p>
            <w:pPr>
              <w:spacing w:after="0"/>
              <w:rPr>
                <w:sz w:val="9"/>
                <w:szCs w:val="9"/>
                <w:color w:val="auto"/>
              </w:rPr>
            </w:pPr>
          </w:p>
        </w:tc>
        <w:tc>
          <w:tcPr>
            <w:tcW w:w="3740" w:type="dxa"/>
            <w:vAlign w:val="bottom"/>
          </w:tcPr>
          <w:p>
            <w:pPr>
              <w:spacing w:after="0"/>
              <w:rPr>
                <w:sz w:val="9"/>
                <w:szCs w:val="9"/>
                <w:color w:val="auto"/>
              </w:rPr>
            </w:pPr>
          </w:p>
        </w:tc>
        <w:tc>
          <w:tcPr>
            <w:tcW w:w="3560" w:type="dxa"/>
            <w:vAlign w:val="bottom"/>
          </w:tcPr>
          <w:p>
            <w:pPr>
              <w:spacing w:after="0"/>
              <w:rPr>
                <w:sz w:val="9"/>
                <w:szCs w:val="9"/>
                <w:color w:val="auto"/>
              </w:rPr>
            </w:pPr>
          </w:p>
        </w:tc>
      </w:tr>
      <w:tr>
        <w:trPr>
          <w:trHeight w:val="316"/>
        </w:trPr>
        <w:tc>
          <w:tcPr>
            <w:tcW w:w="3460" w:type="dxa"/>
            <w:vAlign w:val="bottom"/>
          </w:tcPr>
          <w:p>
            <w:pPr>
              <w:spacing w:after="0"/>
              <w:rPr>
                <w:sz w:val="20"/>
                <w:szCs w:val="20"/>
                <w:color w:val="auto"/>
              </w:rPr>
            </w:pPr>
            <w:r>
              <w:rPr>
                <w:rFonts w:ascii="Arial" w:cs="Arial" w:eastAsia="Arial" w:hAnsi="Arial"/>
                <w:sz w:val="18"/>
                <w:szCs w:val="18"/>
                <w:b w:val="1"/>
                <w:bCs w:val="1"/>
                <w:color w:val="auto"/>
              </w:rPr>
              <w:t>John G. McDonald</w:t>
            </w:r>
          </w:p>
        </w:tc>
        <w:tc>
          <w:tcPr>
            <w:tcW w:w="3740" w:type="dxa"/>
            <w:vAlign w:val="bottom"/>
          </w:tcPr>
          <w:p>
            <w:pPr>
              <w:spacing w:after="0"/>
              <w:rPr>
                <w:sz w:val="24"/>
                <w:szCs w:val="24"/>
                <w:color w:val="auto"/>
              </w:rPr>
            </w:pPr>
          </w:p>
        </w:tc>
        <w:tc>
          <w:tcPr>
            <w:tcW w:w="3560" w:type="dxa"/>
            <w:vAlign w:val="bottom"/>
          </w:tcPr>
          <w:p>
            <w:pPr>
              <w:spacing w:after="0"/>
              <w:rPr>
                <w:sz w:val="24"/>
                <w:szCs w:val="24"/>
                <w:color w:val="auto"/>
              </w:rPr>
            </w:pPr>
          </w:p>
        </w:tc>
      </w:tr>
      <w:tr>
        <w:trPr>
          <w:trHeight w:val="365"/>
        </w:trPr>
        <w:tc>
          <w:tcPr>
            <w:tcW w:w="3460" w:type="dxa"/>
            <w:vAlign w:val="bottom"/>
          </w:tcPr>
          <w:p>
            <w:pPr>
              <w:spacing w:after="0"/>
              <w:rPr>
                <w:sz w:val="20"/>
                <w:szCs w:val="20"/>
                <w:color w:val="auto"/>
              </w:rPr>
            </w:pPr>
            <w:r>
              <w:rPr>
                <w:rFonts w:ascii="Arial" w:cs="Arial" w:eastAsia="Arial" w:hAnsi="Arial"/>
                <w:sz w:val="18"/>
                <w:szCs w:val="18"/>
                <w:b w:val="1"/>
                <w:bCs w:val="1"/>
                <w:color w:val="auto"/>
              </w:rPr>
              <w:t>/s/ Augustus K. Oliver</w:t>
            </w:r>
          </w:p>
        </w:tc>
        <w:tc>
          <w:tcPr>
            <w:tcW w:w="3740" w:type="dxa"/>
            <w:vAlign w:val="bottom"/>
          </w:tcPr>
          <w:p>
            <w:pPr>
              <w:ind w:left="540"/>
              <w:spacing w:after="0"/>
              <w:rPr>
                <w:sz w:val="20"/>
                <w:szCs w:val="20"/>
                <w:color w:val="auto"/>
              </w:rPr>
            </w:pPr>
            <w:r>
              <w:rPr>
                <w:rFonts w:ascii="Arial" w:cs="Arial" w:eastAsia="Arial" w:hAnsi="Arial"/>
                <w:sz w:val="18"/>
                <w:szCs w:val="18"/>
                <w:color w:val="auto"/>
              </w:rPr>
              <w:t>Director</w:t>
            </w:r>
          </w:p>
        </w:tc>
        <w:tc>
          <w:tcPr>
            <w:tcW w:w="3560" w:type="dxa"/>
            <w:vAlign w:val="bottom"/>
          </w:tcPr>
          <w:p>
            <w:pPr>
              <w:ind w:left="2600"/>
              <w:spacing w:after="0"/>
              <w:rPr>
                <w:sz w:val="20"/>
                <w:szCs w:val="20"/>
                <w:color w:val="auto"/>
              </w:rPr>
            </w:pPr>
            <w:r>
              <w:rPr>
                <w:rFonts w:ascii="Arial" w:cs="Arial" w:eastAsia="Arial" w:hAnsi="Arial"/>
                <w:sz w:val="18"/>
                <w:szCs w:val="18"/>
                <w:color w:val="auto"/>
                <w:w w:val="87"/>
              </w:rPr>
              <w:t>July 26, 2010</w:t>
            </w:r>
          </w:p>
        </w:tc>
      </w:tr>
      <w:tr>
        <w:trPr>
          <w:trHeight w:val="110"/>
        </w:trPr>
        <w:tc>
          <w:tcPr>
            <w:tcW w:w="3460" w:type="dxa"/>
            <w:vAlign w:val="bottom"/>
            <w:tcBorders>
              <w:bottom w:val="single" w:sz="8" w:color="808080"/>
            </w:tcBorders>
          </w:tcPr>
          <w:p>
            <w:pPr>
              <w:spacing w:after="0"/>
              <w:rPr>
                <w:sz w:val="9"/>
                <w:szCs w:val="9"/>
                <w:color w:val="auto"/>
              </w:rPr>
            </w:pPr>
          </w:p>
        </w:tc>
        <w:tc>
          <w:tcPr>
            <w:tcW w:w="3740" w:type="dxa"/>
            <w:vAlign w:val="bottom"/>
          </w:tcPr>
          <w:p>
            <w:pPr>
              <w:spacing w:after="0"/>
              <w:rPr>
                <w:sz w:val="9"/>
                <w:szCs w:val="9"/>
                <w:color w:val="auto"/>
              </w:rPr>
            </w:pPr>
          </w:p>
        </w:tc>
        <w:tc>
          <w:tcPr>
            <w:tcW w:w="3560" w:type="dxa"/>
            <w:vAlign w:val="bottom"/>
          </w:tcPr>
          <w:p>
            <w:pPr>
              <w:spacing w:after="0"/>
              <w:rPr>
                <w:sz w:val="9"/>
                <w:szCs w:val="9"/>
                <w:color w:val="auto"/>
              </w:rPr>
            </w:pPr>
          </w:p>
        </w:tc>
      </w:tr>
      <w:tr>
        <w:trPr>
          <w:trHeight w:val="316"/>
        </w:trPr>
        <w:tc>
          <w:tcPr>
            <w:tcW w:w="3460" w:type="dxa"/>
            <w:vAlign w:val="bottom"/>
          </w:tcPr>
          <w:p>
            <w:pPr>
              <w:spacing w:after="0"/>
              <w:rPr>
                <w:sz w:val="20"/>
                <w:szCs w:val="20"/>
                <w:color w:val="auto"/>
              </w:rPr>
            </w:pPr>
            <w:r>
              <w:rPr>
                <w:rFonts w:ascii="Arial" w:cs="Arial" w:eastAsia="Arial" w:hAnsi="Arial"/>
                <w:sz w:val="18"/>
                <w:szCs w:val="18"/>
                <w:b w:val="1"/>
                <w:bCs w:val="1"/>
                <w:color w:val="auto"/>
              </w:rPr>
              <w:t>Augustus K. Oliver</w:t>
            </w:r>
          </w:p>
        </w:tc>
        <w:tc>
          <w:tcPr>
            <w:tcW w:w="3740" w:type="dxa"/>
            <w:vAlign w:val="bottom"/>
          </w:tcPr>
          <w:p>
            <w:pPr>
              <w:spacing w:after="0"/>
              <w:rPr>
                <w:sz w:val="24"/>
                <w:szCs w:val="24"/>
                <w:color w:val="auto"/>
              </w:rPr>
            </w:pPr>
          </w:p>
        </w:tc>
        <w:tc>
          <w:tcPr>
            <w:tcW w:w="3560" w:type="dxa"/>
            <w:vAlign w:val="bottom"/>
          </w:tcPr>
          <w:p>
            <w:pPr>
              <w:spacing w:after="0"/>
              <w:rPr>
                <w:sz w:val="24"/>
                <w:szCs w:val="24"/>
                <w:color w:val="auto"/>
              </w:rPr>
            </w:pPr>
          </w:p>
        </w:tc>
      </w:tr>
      <w:tr>
        <w:trPr>
          <w:trHeight w:val="365"/>
        </w:trPr>
        <w:tc>
          <w:tcPr>
            <w:tcW w:w="3460" w:type="dxa"/>
            <w:vAlign w:val="bottom"/>
          </w:tcPr>
          <w:p>
            <w:pPr>
              <w:spacing w:after="0"/>
              <w:rPr>
                <w:sz w:val="20"/>
                <w:szCs w:val="20"/>
                <w:color w:val="auto"/>
              </w:rPr>
            </w:pPr>
            <w:r>
              <w:rPr>
                <w:rFonts w:ascii="Arial" w:cs="Arial" w:eastAsia="Arial" w:hAnsi="Arial"/>
                <w:sz w:val="18"/>
                <w:szCs w:val="18"/>
                <w:b w:val="1"/>
                <w:bCs w:val="1"/>
                <w:color w:val="auto"/>
              </w:rPr>
              <w:t>/s/ Richard M. Spaulding</w:t>
            </w:r>
          </w:p>
        </w:tc>
        <w:tc>
          <w:tcPr>
            <w:tcW w:w="3740" w:type="dxa"/>
            <w:vAlign w:val="bottom"/>
          </w:tcPr>
          <w:p>
            <w:pPr>
              <w:ind w:left="540"/>
              <w:spacing w:after="0"/>
              <w:rPr>
                <w:sz w:val="20"/>
                <w:szCs w:val="20"/>
                <w:color w:val="auto"/>
              </w:rPr>
            </w:pPr>
            <w:r>
              <w:rPr>
                <w:rFonts w:ascii="Arial" w:cs="Arial" w:eastAsia="Arial" w:hAnsi="Arial"/>
                <w:sz w:val="18"/>
                <w:szCs w:val="18"/>
                <w:color w:val="auto"/>
              </w:rPr>
              <w:t>Director</w:t>
            </w:r>
          </w:p>
        </w:tc>
        <w:tc>
          <w:tcPr>
            <w:tcW w:w="3560" w:type="dxa"/>
            <w:vAlign w:val="bottom"/>
          </w:tcPr>
          <w:p>
            <w:pPr>
              <w:ind w:left="2600"/>
              <w:spacing w:after="0"/>
              <w:rPr>
                <w:sz w:val="20"/>
                <w:szCs w:val="20"/>
                <w:color w:val="auto"/>
              </w:rPr>
            </w:pPr>
            <w:r>
              <w:rPr>
                <w:rFonts w:ascii="Arial" w:cs="Arial" w:eastAsia="Arial" w:hAnsi="Arial"/>
                <w:sz w:val="18"/>
                <w:szCs w:val="18"/>
                <w:color w:val="auto"/>
                <w:w w:val="87"/>
              </w:rPr>
              <w:t>July 26, 2010</w:t>
            </w:r>
          </w:p>
        </w:tc>
      </w:tr>
      <w:tr>
        <w:trPr>
          <w:trHeight w:val="110"/>
        </w:trPr>
        <w:tc>
          <w:tcPr>
            <w:tcW w:w="3460" w:type="dxa"/>
            <w:vAlign w:val="bottom"/>
            <w:tcBorders>
              <w:bottom w:val="single" w:sz="8" w:color="808080"/>
            </w:tcBorders>
          </w:tcPr>
          <w:p>
            <w:pPr>
              <w:spacing w:after="0"/>
              <w:rPr>
                <w:sz w:val="9"/>
                <w:szCs w:val="9"/>
                <w:color w:val="auto"/>
              </w:rPr>
            </w:pPr>
          </w:p>
        </w:tc>
        <w:tc>
          <w:tcPr>
            <w:tcW w:w="3740" w:type="dxa"/>
            <w:vAlign w:val="bottom"/>
          </w:tcPr>
          <w:p>
            <w:pPr>
              <w:spacing w:after="0"/>
              <w:rPr>
                <w:sz w:val="9"/>
                <w:szCs w:val="9"/>
                <w:color w:val="auto"/>
              </w:rPr>
            </w:pPr>
          </w:p>
        </w:tc>
        <w:tc>
          <w:tcPr>
            <w:tcW w:w="3560" w:type="dxa"/>
            <w:vAlign w:val="bottom"/>
          </w:tcPr>
          <w:p>
            <w:pPr>
              <w:spacing w:after="0"/>
              <w:rPr>
                <w:sz w:val="9"/>
                <w:szCs w:val="9"/>
                <w:color w:val="auto"/>
              </w:rPr>
            </w:pPr>
          </w:p>
        </w:tc>
      </w:tr>
      <w:tr>
        <w:trPr>
          <w:trHeight w:val="316"/>
        </w:trPr>
        <w:tc>
          <w:tcPr>
            <w:tcW w:w="3460" w:type="dxa"/>
            <w:vAlign w:val="bottom"/>
          </w:tcPr>
          <w:p>
            <w:pPr>
              <w:spacing w:after="0"/>
              <w:rPr>
                <w:sz w:val="20"/>
                <w:szCs w:val="20"/>
                <w:color w:val="auto"/>
              </w:rPr>
            </w:pPr>
            <w:r>
              <w:rPr>
                <w:rFonts w:ascii="Arial" w:cs="Arial" w:eastAsia="Arial" w:hAnsi="Arial"/>
                <w:sz w:val="18"/>
                <w:szCs w:val="18"/>
                <w:b w:val="1"/>
                <w:bCs w:val="1"/>
                <w:color w:val="auto"/>
              </w:rPr>
              <w:t>Richard M. Spaulding</w:t>
            </w:r>
          </w:p>
        </w:tc>
        <w:tc>
          <w:tcPr>
            <w:tcW w:w="3740" w:type="dxa"/>
            <w:vAlign w:val="bottom"/>
          </w:tcPr>
          <w:p>
            <w:pPr>
              <w:spacing w:after="0"/>
              <w:rPr>
                <w:sz w:val="24"/>
                <w:szCs w:val="24"/>
                <w:color w:val="auto"/>
              </w:rPr>
            </w:pPr>
          </w:p>
        </w:tc>
        <w:tc>
          <w:tcPr>
            <w:tcW w:w="3560" w:type="dxa"/>
            <w:vAlign w:val="bottom"/>
          </w:tcPr>
          <w:p>
            <w:pPr>
              <w:spacing w:after="0"/>
              <w:rPr>
                <w:sz w:val="24"/>
                <w:szCs w:val="24"/>
                <w:color w:val="auto"/>
              </w:rPr>
            </w:pPr>
          </w:p>
        </w:tc>
      </w:tr>
      <w:tr>
        <w:trPr>
          <w:trHeight w:val="365"/>
        </w:trPr>
        <w:tc>
          <w:tcPr>
            <w:tcW w:w="3460" w:type="dxa"/>
            <w:vAlign w:val="bottom"/>
          </w:tcPr>
          <w:p>
            <w:pPr>
              <w:spacing w:after="0"/>
              <w:rPr>
                <w:sz w:val="20"/>
                <w:szCs w:val="20"/>
                <w:color w:val="auto"/>
              </w:rPr>
            </w:pPr>
            <w:r>
              <w:rPr>
                <w:rFonts w:ascii="Arial" w:cs="Arial" w:eastAsia="Arial" w:hAnsi="Arial"/>
                <w:sz w:val="18"/>
                <w:szCs w:val="18"/>
                <w:b w:val="1"/>
                <w:bCs w:val="1"/>
                <w:color w:val="auto"/>
              </w:rPr>
              <w:t>/s/ Margaret A. Williams</w:t>
            </w:r>
          </w:p>
        </w:tc>
        <w:tc>
          <w:tcPr>
            <w:tcW w:w="3740" w:type="dxa"/>
            <w:vAlign w:val="bottom"/>
          </w:tcPr>
          <w:p>
            <w:pPr>
              <w:ind w:left="540"/>
              <w:spacing w:after="0"/>
              <w:rPr>
                <w:sz w:val="20"/>
                <w:szCs w:val="20"/>
                <w:color w:val="auto"/>
              </w:rPr>
            </w:pPr>
            <w:r>
              <w:rPr>
                <w:rFonts w:ascii="Arial" w:cs="Arial" w:eastAsia="Arial" w:hAnsi="Arial"/>
                <w:sz w:val="18"/>
                <w:szCs w:val="18"/>
                <w:color w:val="auto"/>
              </w:rPr>
              <w:t>Director</w:t>
            </w:r>
          </w:p>
        </w:tc>
        <w:tc>
          <w:tcPr>
            <w:tcW w:w="3560" w:type="dxa"/>
            <w:vAlign w:val="bottom"/>
          </w:tcPr>
          <w:p>
            <w:pPr>
              <w:ind w:left="2600"/>
              <w:spacing w:after="0"/>
              <w:rPr>
                <w:sz w:val="20"/>
                <w:szCs w:val="20"/>
                <w:color w:val="auto"/>
              </w:rPr>
            </w:pPr>
            <w:r>
              <w:rPr>
                <w:rFonts w:ascii="Arial" w:cs="Arial" w:eastAsia="Arial" w:hAnsi="Arial"/>
                <w:sz w:val="18"/>
                <w:szCs w:val="18"/>
                <w:color w:val="auto"/>
                <w:w w:val="87"/>
              </w:rPr>
              <w:t>July 26, 2010</w:t>
            </w:r>
          </w:p>
        </w:tc>
      </w:tr>
      <w:tr>
        <w:trPr>
          <w:trHeight w:val="110"/>
        </w:trPr>
        <w:tc>
          <w:tcPr>
            <w:tcW w:w="3460" w:type="dxa"/>
            <w:vAlign w:val="bottom"/>
            <w:tcBorders>
              <w:bottom w:val="single" w:sz="8" w:color="808080"/>
            </w:tcBorders>
          </w:tcPr>
          <w:p>
            <w:pPr>
              <w:spacing w:after="0"/>
              <w:rPr>
                <w:sz w:val="9"/>
                <w:szCs w:val="9"/>
                <w:color w:val="auto"/>
              </w:rPr>
            </w:pPr>
          </w:p>
        </w:tc>
        <w:tc>
          <w:tcPr>
            <w:tcW w:w="3740" w:type="dxa"/>
            <w:vAlign w:val="bottom"/>
          </w:tcPr>
          <w:p>
            <w:pPr>
              <w:spacing w:after="0"/>
              <w:rPr>
                <w:sz w:val="9"/>
                <w:szCs w:val="9"/>
                <w:color w:val="auto"/>
              </w:rPr>
            </w:pPr>
          </w:p>
        </w:tc>
        <w:tc>
          <w:tcPr>
            <w:tcW w:w="3560" w:type="dxa"/>
            <w:vAlign w:val="bottom"/>
          </w:tcPr>
          <w:p>
            <w:pPr>
              <w:spacing w:after="0"/>
              <w:rPr>
                <w:sz w:val="9"/>
                <w:szCs w:val="9"/>
                <w:color w:val="auto"/>
              </w:rPr>
            </w:pPr>
          </w:p>
        </w:tc>
      </w:tr>
      <w:tr>
        <w:trPr>
          <w:trHeight w:val="316"/>
        </w:trPr>
        <w:tc>
          <w:tcPr>
            <w:tcW w:w="3460" w:type="dxa"/>
            <w:vAlign w:val="bottom"/>
          </w:tcPr>
          <w:p>
            <w:pPr>
              <w:spacing w:after="0"/>
              <w:rPr>
                <w:sz w:val="20"/>
                <w:szCs w:val="20"/>
                <w:color w:val="auto"/>
              </w:rPr>
            </w:pPr>
            <w:r>
              <w:rPr>
                <w:rFonts w:ascii="Arial" w:cs="Arial" w:eastAsia="Arial" w:hAnsi="Arial"/>
                <w:sz w:val="18"/>
                <w:szCs w:val="18"/>
                <w:b w:val="1"/>
                <w:bCs w:val="1"/>
                <w:color w:val="auto"/>
              </w:rPr>
              <w:t>Margaret A. Williams</w:t>
            </w:r>
          </w:p>
        </w:tc>
        <w:tc>
          <w:tcPr>
            <w:tcW w:w="3740" w:type="dxa"/>
            <w:vAlign w:val="bottom"/>
          </w:tcPr>
          <w:p>
            <w:pPr>
              <w:spacing w:after="0"/>
              <w:rPr>
                <w:sz w:val="24"/>
                <w:szCs w:val="24"/>
                <w:color w:val="auto"/>
              </w:rPr>
            </w:pPr>
          </w:p>
        </w:tc>
        <w:tc>
          <w:tcPr>
            <w:tcW w:w="35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2663825</wp:posOffset>
            </wp:positionH>
            <wp:positionV relativeFrom="paragraph">
              <wp:posOffset>138430</wp:posOffset>
            </wp:positionV>
            <wp:extent cx="1929765" cy="231775"/>
            <wp:wrapNone/>
            <wp:docPr id="887" name="Picture 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
                    <pic:cNvPicPr>
                      <a:picLocks noChangeAspect="1" noChangeArrowheads="1"/>
                    </pic:cNvPicPr>
                  </pic:nvPicPr>
                  <pic:blipFill>
                    <a:blip r:embed="rId894">
                      <a:extLst>
                        <a:ext uri="{28A0092B-C50C-407E-A947-70E740481C1C}"/>
                      </a:extLst>
                    </a:blip>
                    <a:srcRect/>
                    <a:stretch>
                      <a:fillRect/>
                    </a:stretch>
                  </pic:blipFill>
                  <pic:spPr bwMode="auto">
                    <a:xfrm>
                      <a:off x="0" y="0"/>
                      <a:ext cx="1929765"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38735"/>
            <wp:wrapNone/>
            <wp:docPr id="888" name="Picture 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
                    <pic:cNvPicPr>
                      <a:picLocks noChangeAspect="1" noChangeArrowheads="1"/>
                    </pic:cNvPicPr>
                  </pic:nvPicPr>
                  <pic:blipFill>
                    <a:blip r:embed="rId89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760"/>
          </w:cols>
          <w:pgMar w:left="240" w:top="869" w:right="899" w:bottom="1440" w:gutter="0" w:footer="0" w:header="0"/>
        </w:sectPr>
      </w:pPr>
    </w:p>
    <w:bookmarkStart w:id="90" w:name="page91"/>
    <w:bookmarkEnd w:id="90"/>
    <w:p>
      <w:pPr>
        <w:jc w:val="center"/>
        <w:ind w:right="-20"/>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889" name="Picture 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
                    <pic:cNvPicPr>
                      <a:picLocks noChangeAspect="1" noChangeArrowheads="1"/>
                    </pic:cNvPicPr>
                  </pic:nvPicPr>
                  <pic:blipFill>
                    <a:blip r:embed="rId896">
                      <a:extLst>
                        <a:ext uri="{28A0092B-C50C-407E-A947-70E740481C1C}"/>
                      </a:extLst>
                    </a:blip>
                    <a:srcRect/>
                    <a:stretch>
                      <a:fillRect/>
                    </a:stretch>
                  </pic:blipFill>
                  <pic:spPr bwMode="auto">
                    <a:xfrm>
                      <a:off x="0" y="0"/>
                      <a:ext cx="7263765" cy="8890"/>
                    </a:xfrm>
                    <a:prstGeom prst="rect">
                      <a:avLst/>
                    </a:prstGeom>
                    <a:noFill/>
                  </pic:spPr>
                </pic:pic>
              </a:graphicData>
            </a:graphic>
          </wp:anchor>
        </w:drawing>
        <w:t>Scholastic Corporation</w:t>
      </w:r>
    </w:p>
    <w:p>
      <w:pPr>
        <w:sectPr>
          <w:pgSz w:w="11900" w:h="16838" w:orient="portrait"/>
          <w:cols w:equalWidth="0" w:num="1">
            <w:col w:w="9019"/>
          </w:cols>
          <w:pgMar w:left="1440" w:top="801" w:right="1440" w:bottom="1440" w:gutter="0" w:footer="0" w:header="0"/>
        </w:sect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Statement Schedule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ANNUAL REPORT ON FORM 10-K</w:t>
      </w:r>
    </w:p>
    <w:p>
      <w:pPr>
        <w:spacing w:after="0" w:line="4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YEAR ENDED MAY 31, 2010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15(c)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1901825</wp:posOffset>
            </wp:positionH>
            <wp:positionV relativeFrom="paragraph">
              <wp:posOffset>144145</wp:posOffset>
            </wp:positionV>
            <wp:extent cx="1929765" cy="231775"/>
            <wp:wrapNone/>
            <wp:docPr id="890" name="Picture 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
                    <pic:cNvPicPr>
                      <a:picLocks noChangeAspect="1" noChangeArrowheads="1"/>
                    </pic:cNvPicPr>
                  </pic:nvPicPr>
                  <pic:blipFill>
                    <a:blip r:embed="rId897">
                      <a:extLst>
                        <a:ext uri="{28A0092B-C50C-407E-A947-70E740481C1C}"/>
                      </a:extLst>
                    </a:blip>
                    <a:srcRect/>
                    <a:stretch>
                      <a:fillRect/>
                    </a:stretch>
                  </pic:blipFill>
                  <pic:spPr bwMode="auto">
                    <a:xfrm>
                      <a:off x="0" y="0"/>
                      <a:ext cx="1929765"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149860</wp:posOffset>
            </wp:positionV>
            <wp:extent cx="7267575" cy="38735"/>
            <wp:wrapNone/>
            <wp:docPr id="891" name="Picture 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
                    <pic:cNvPicPr>
                      <a:picLocks noChangeAspect="1" noChangeArrowheads="1"/>
                    </pic:cNvPicPr>
                  </pic:nvPicPr>
                  <pic:blipFill>
                    <a:blip r:embed="rId89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9019"/>
          </w:cols>
          <w:pgMar w:left="1440" w:top="801" w:right="1440" w:bottom="1440" w:gutter="0" w:footer="0" w:header="0"/>
          <w:type w:val="continuous"/>
        </w:sectPr>
      </w:pPr>
    </w:p>
    <w:bookmarkStart w:id="91" w:name="page92"/>
    <w:bookmarkEnd w:id="91"/>
    <w:p>
      <w:pPr>
        <w:jc w:val="center"/>
        <w:ind w:right="2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892" name="Picture 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
                    <pic:cNvPicPr>
                      <a:picLocks noChangeAspect="1" noChangeArrowheads="1"/>
                    </pic:cNvPicPr>
                  </pic:nvPicPr>
                  <pic:blipFill>
                    <a:blip r:embed="rId899">
                      <a:extLst>
                        <a:ext uri="{28A0092B-C50C-407E-A947-70E740481C1C}"/>
                      </a:extLst>
                    </a:blip>
                    <a:srcRect/>
                    <a:stretch>
                      <a:fillRect/>
                    </a:stretch>
                  </pic:blipFill>
                  <pic:spPr bwMode="auto">
                    <a:xfrm>
                      <a:off x="0" y="0"/>
                      <a:ext cx="7263765" cy="8890"/>
                    </a:xfrm>
                    <a:prstGeom prst="rect">
                      <a:avLst/>
                    </a:prstGeom>
                    <a:noFill/>
                  </pic:spPr>
                </pic:pic>
              </a:graphicData>
            </a:graphic>
          </wp:anchor>
        </w:drawing>
        <w:t>Schedule II</w:t>
      </w:r>
    </w:p>
    <w:p>
      <w:pPr>
        <w:spacing w:after="0" w:line="24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Valuation and Qualifying Accounts and Reserves</w:t>
      </w:r>
    </w:p>
    <w:p>
      <w:pPr>
        <w:spacing w:after="0" w:line="252" w:lineRule="exact"/>
        <w:rPr>
          <w:sz w:val="20"/>
          <w:szCs w:val="20"/>
          <w:color w:val="auto"/>
        </w:rPr>
      </w:pPr>
    </w:p>
    <w:p>
      <w:pPr>
        <w:ind w:left="10040"/>
        <w:spacing w:after="0"/>
        <w:rPr>
          <w:sz w:val="20"/>
          <w:szCs w:val="20"/>
          <w:color w:val="auto"/>
        </w:rPr>
      </w:pPr>
      <w:r>
        <w:rPr>
          <w:rFonts w:ascii="Arial" w:cs="Arial" w:eastAsia="Arial" w:hAnsi="Arial"/>
          <w:sz w:val="14"/>
          <w:szCs w:val="14"/>
          <w:color w:val="auto"/>
        </w:rPr>
        <w:t>(Amounts in millions)</w:t>
      </w:r>
    </w:p>
    <w:p>
      <w:pPr>
        <w:spacing w:after="0" w:line="136" w:lineRule="exact"/>
        <w:rPr>
          <w:sz w:val="20"/>
          <w:szCs w:val="20"/>
          <w:color w:val="auto"/>
        </w:rPr>
      </w:pPr>
    </w:p>
    <w:p>
      <w:pPr>
        <w:ind w:left="10020"/>
        <w:spacing w:after="0"/>
        <w:rPr>
          <w:sz w:val="20"/>
          <w:szCs w:val="20"/>
          <w:color w:val="auto"/>
        </w:rPr>
      </w:pPr>
      <w:r>
        <w:rPr>
          <w:rFonts w:ascii="Arial" w:cs="Arial" w:eastAsia="Arial" w:hAnsi="Arial"/>
          <w:sz w:val="14"/>
          <w:szCs w:val="14"/>
          <w:color w:val="auto"/>
        </w:rPr>
        <w:t>Years Ended May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7263765" cy="8890"/>
            <wp:wrapNone/>
            <wp:docPr id="893" name="Picture 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
                    <pic:cNvPicPr>
                      <a:picLocks noChangeAspect="1" noChangeArrowheads="1"/>
                    </pic:cNvPicPr>
                  </pic:nvPicPr>
                  <pic:blipFill>
                    <a:blip r:embed="rId90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820" w:type="dxa"/>
            <w:vAlign w:val="bottom"/>
          </w:tcPr>
          <w:p>
            <w:pPr>
              <w:jc w:val="right"/>
              <w:ind w:right="36"/>
              <w:spacing w:after="0"/>
              <w:rPr>
                <w:sz w:val="20"/>
                <w:szCs w:val="20"/>
                <w:color w:val="auto"/>
              </w:rPr>
            </w:pPr>
            <w:r>
              <w:rPr>
                <w:rFonts w:ascii="Arial" w:cs="Arial" w:eastAsia="Arial" w:hAnsi="Arial"/>
                <w:sz w:val="14"/>
                <w:szCs w:val="14"/>
                <w:b w:val="1"/>
                <w:bCs w:val="1"/>
                <w:color w:val="auto"/>
                <w:w w:val="97"/>
              </w:rPr>
              <w:t>Balance at</w:t>
            </w: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820" w:type="dxa"/>
            <w:vAlign w:val="bottom"/>
          </w:tcPr>
          <w:p>
            <w:pPr>
              <w:jc w:val="right"/>
              <w:ind w:right="36"/>
              <w:spacing w:after="0" w:line="149" w:lineRule="exact"/>
              <w:rPr>
                <w:sz w:val="20"/>
                <w:szCs w:val="20"/>
                <w:color w:val="auto"/>
              </w:rPr>
            </w:pPr>
            <w:r>
              <w:rPr>
                <w:rFonts w:ascii="Arial" w:cs="Arial" w:eastAsia="Arial" w:hAnsi="Arial"/>
                <w:sz w:val="14"/>
                <w:szCs w:val="14"/>
                <w:b w:val="1"/>
                <w:bCs w:val="1"/>
                <w:color w:val="auto"/>
                <w:w w:val="99"/>
              </w:rPr>
              <w:t>Beginning</w:t>
            </w:r>
          </w:p>
        </w:tc>
        <w:tc>
          <w:tcPr>
            <w:tcW w:w="3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80" w:type="dxa"/>
            <w:vAlign w:val="bottom"/>
          </w:tcPr>
          <w:p>
            <w:pPr>
              <w:jc w:val="right"/>
              <w:ind w:right="138"/>
              <w:spacing w:after="0" w:line="149" w:lineRule="exact"/>
              <w:rPr>
                <w:sz w:val="20"/>
                <w:szCs w:val="20"/>
                <w:color w:val="auto"/>
              </w:rPr>
            </w:pPr>
            <w:r>
              <w:rPr>
                <w:rFonts w:ascii="Arial" w:cs="Arial" w:eastAsia="Arial" w:hAnsi="Arial"/>
                <w:sz w:val="14"/>
                <w:szCs w:val="14"/>
                <w:b w:val="1"/>
                <w:bCs w:val="1"/>
                <w:color w:val="auto"/>
              </w:rPr>
              <w:t>Write-Offs</w:t>
            </w:r>
          </w:p>
        </w:tc>
        <w:tc>
          <w:tcPr>
            <w:tcW w:w="200" w:type="dxa"/>
            <w:vAlign w:val="bottom"/>
          </w:tcPr>
          <w:p>
            <w:pPr>
              <w:spacing w:after="0"/>
              <w:rPr>
                <w:sz w:val="12"/>
                <w:szCs w:val="12"/>
                <w:color w:val="auto"/>
              </w:rPr>
            </w:pPr>
          </w:p>
        </w:tc>
        <w:tc>
          <w:tcPr>
            <w:tcW w:w="960" w:type="dxa"/>
            <w:vAlign w:val="bottom"/>
            <w:gridSpan w:val="2"/>
          </w:tcPr>
          <w:p>
            <w:pPr>
              <w:jc w:val="right"/>
              <w:ind w:right="140"/>
              <w:spacing w:after="0" w:line="149" w:lineRule="exact"/>
              <w:rPr>
                <w:sz w:val="20"/>
                <w:szCs w:val="20"/>
                <w:color w:val="auto"/>
              </w:rPr>
            </w:pPr>
            <w:r>
              <w:rPr>
                <w:rFonts w:ascii="Arial" w:cs="Arial" w:eastAsia="Arial" w:hAnsi="Arial"/>
                <w:sz w:val="14"/>
                <w:szCs w:val="14"/>
                <w:b w:val="1"/>
                <w:bCs w:val="1"/>
                <w:color w:val="auto"/>
              </w:rPr>
              <w:t>Balance at</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64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820" w:type="dxa"/>
            <w:vAlign w:val="bottom"/>
          </w:tcPr>
          <w:p>
            <w:pPr>
              <w:jc w:val="right"/>
              <w:ind w:right="36"/>
              <w:spacing w:after="0"/>
              <w:rPr>
                <w:sz w:val="20"/>
                <w:szCs w:val="20"/>
                <w:color w:val="auto"/>
              </w:rPr>
            </w:pPr>
            <w:r>
              <w:rPr>
                <w:rFonts w:ascii="Arial" w:cs="Arial" w:eastAsia="Arial" w:hAnsi="Arial"/>
                <w:sz w:val="14"/>
                <w:szCs w:val="14"/>
                <w:b w:val="1"/>
                <w:bCs w:val="1"/>
                <w:color w:val="auto"/>
              </w:rPr>
              <w:t>of Year</w:t>
            </w:r>
          </w:p>
        </w:tc>
        <w:tc>
          <w:tcPr>
            <w:tcW w:w="340" w:type="dxa"/>
            <w:vAlign w:val="bottom"/>
          </w:tcPr>
          <w:p>
            <w:pPr>
              <w:spacing w:after="0"/>
              <w:rPr>
                <w:sz w:val="15"/>
                <w:szCs w:val="15"/>
                <w:color w:val="auto"/>
              </w:rPr>
            </w:pPr>
          </w:p>
        </w:tc>
        <w:tc>
          <w:tcPr>
            <w:tcW w:w="860" w:type="dxa"/>
            <w:vAlign w:val="bottom"/>
          </w:tcPr>
          <w:p>
            <w:pPr>
              <w:jc w:val="right"/>
              <w:ind w:right="34"/>
              <w:spacing w:after="0"/>
              <w:rPr>
                <w:sz w:val="20"/>
                <w:szCs w:val="20"/>
                <w:color w:val="auto"/>
              </w:rPr>
            </w:pPr>
            <w:r>
              <w:rPr>
                <w:rFonts w:ascii="Arial" w:cs="Arial" w:eastAsia="Arial" w:hAnsi="Arial"/>
                <w:sz w:val="14"/>
                <w:szCs w:val="14"/>
                <w:b w:val="1"/>
                <w:bCs w:val="1"/>
                <w:color w:val="auto"/>
              </w:rPr>
              <w:t>Expensed</w:t>
            </w:r>
          </w:p>
        </w:tc>
        <w:tc>
          <w:tcPr>
            <w:tcW w:w="320" w:type="dxa"/>
            <w:vAlign w:val="bottom"/>
          </w:tcPr>
          <w:p>
            <w:pPr>
              <w:spacing w:after="0"/>
              <w:rPr>
                <w:sz w:val="15"/>
                <w:szCs w:val="15"/>
                <w:color w:val="auto"/>
              </w:rPr>
            </w:pPr>
          </w:p>
        </w:tc>
        <w:tc>
          <w:tcPr>
            <w:tcW w:w="980" w:type="dxa"/>
            <w:vAlign w:val="bottom"/>
          </w:tcPr>
          <w:p>
            <w:pPr>
              <w:jc w:val="right"/>
              <w:ind w:right="138"/>
              <w:spacing w:after="0"/>
              <w:rPr>
                <w:sz w:val="20"/>
                <w:szCs w:val="20"/>
                <w:color w:val="auto"/>
              </w:rPr>
            </w:pPr>
            <w:r>
              <w:rPr>
                <w:rFonts w:ascii="Arial" w:cs="Arial" w:eastAsia="Arial" w:hAnsi="Arial"/>
                <w:sz w:val="14"/>
                <w:szCs w:val="14"/>
                <w:b w:val="1"/>
                <w:bCs w:val="1"/>
                <w:color w:val="auto"/>
              </w:rPr>
              <w:t>and Other</w:t>
            </w:r>
          </w:p>
        </w:tc>
        <w:tc>
          <w:tcPr>
            <w:tcW w:w="200" w:type="dxa"/>
            <w:vAlign w:val="bottom"/>
          </w:tcPr>
          <w:p>
            <w:pPr>
              <w:spacing w:after="0"/>
              <w:rPr>
                <w:sz w:val="15"/>
                <w:szCs w:val="15"/>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End of Year</w:t>
            </w:r>
          </w:p>
        </w:tc>
        <w:tc>
          <w:tcPr>
            <w:tcW w:w="0" w:type="dxa"/>
            <w:vAlign w:val="bottom"/>
          </w:tcPr>
          <w:p>
            <w:pPr>
              <w:spacing w:after="0"/>
              <w:rPr>
                <w:sz w:val="1"/>
                <w:szCs w:val="1"/>
                <w:color w:val="auto"/>
              </w:rPr>
            </w:pPr>
          </w:p>
        </w:tc>
      </w:tr>
      <w:tr>
        <w:trPr>
          <w:trHeight w:val="95"/>
        </w:trPr>
        <w:tc>
          <w:tcPr>
            <w:tcW w:w="4660" w:type="dxa"/>
            <w:vAlign w:val="bottom"/>
            <w:gridSpan w:val="2"/>
          </w:tcPr>
          <w:p>
            <w:pPr>
              <w:spacing w:after="0"/>
              <w:rPr>
                <w:sz w:val="8"/>
                <w:szCs w:val="8"/>
                <w:color w:val="auto"/>
              </w:rPr>
            </w:pPr>
          </w:p>
        </w:tc>
        <w:tc>
          <w:tcPr>
            <w:tcW w:w="2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340" w:type="dxa"/>
            <w:vAlign w:val="bottom"/>
          </w:tcPr>
          <w:p>
            <w:pPr>
              <w:spacing w:after="0"/>
              <w:rPr>
                <w:sz w:val="8"/>
                <w:szCs w:val="8"/>
                <w:color w:val="auto"/>
              </w:rPr>
            </w:pPr>
          </w:p>
        </w:tc>
        <w:tc>
          <w:tcPr>
            <w:tcW w:w="860" w:type="dxa"/>
            <w:vAlign w:val="bottom"/>
          </w:tcPr>
          <w:p>
            <w:pPr>
              <w:spacing w:after="0"/>
              <w:rPr>
                <w:sz w:val="8"/>
                <w:szCs w:val="8"/>
                <w:color w:val="auto"/>
              </w:rPr>
            </w:pPr>
          </w:p>
        </w:tc>
        <w:tc>
          <w:tcPr>
            <w:tcW w:w="32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40" w:type="dxa"/>
            <w:vAlign w:val="bottom"/>
            <w:tcBorders>
              <w:top w:val="single" w:sz="8" w:color="auto"/>
            </w:tcBorders>
          </w:tcPr>
          <w:p>
            <w:pPr>
              <w:spacing w:after="0"/>
              <w:rPr>
                <w:sz w:val="8"/>
                <w:szCs w:val="8"/>
                <w:color w:val="auto"/>
              </w:rPr>
            </w:pPr>
          </w:p>
        </w:tc>
        <w:tc>
          <w:tcPr>
            <w:tcW w:w="2300" w:type="dxa"/>
            <w:vAlign w:val="bottom"/>
            <w:tcBorders>
              <w:top w:val="single" w:sz="8" w:color="auto"/>
            </w:tcBorders>
          </w:tcPr>
          <w:p>
            <w:pPr>
              <w:spacing w:after="0"/>
              <w:rPr>
                <w:sz w:val="8"/>
                <w:szCs w:val="8"/>
                <w:color w:val="auto"/>
              </w:rPr>
            </w:pPr>
          </w:p>
        </w:tc>
        <w:tc>
          <w:tcPr>
            <w:tcW w:w="820" w:type="dxa"/>
            <w:vAlign w:val="bottom"/>
            <w:tcBorders>
              <w:top w:val="single" w:sz="8" w:color="auto"/>
            </w:tcBorders>
          </w:tcPr>
          <w:p>
            <w:pPr>
              <w:spacing w:after="0"/>
              <w:rPr>
                <w:sz w:val="8"/>
                <w:szCs w:val="8"/>
                <w:color w:val="auto"/>
              </w:rPr>
            </w:pPr>
          </w:p>
        </w:tc>
        <w:tc>
          <w:tcPr>
            <w:tcW w:w="340" w:type="dxa"/>
            <w:vAlign w:val="bottom"/>
            <w:tcBorders>
              <w:top w:val="single" w:sz="8" w:color="auto"/>
            </w:tcBorders>
          </w:tcPr>
          <w:p>
            <w:pPr>
              <w:spacing w:after="0"/>
              <w:rPr>
                <w:sz w:val="8"/>
                <w:szCs w:val="8"/>
                <w:color w:val="auto"/>
              </w:rPr>
            </w:pPr>
          </w:p>
        </w:tc>
        <w:tc>
          <w:tcPr>
            <w:tcW w:w="860" w:type="dxa"/>
            <w:vAlign w:val="bottom"/>
            <w:tcBorders>
              <w:top w:val="single" w:sz="8" w:color="auto"/>
            </w:tcBorders>
          </w:tcPr>
          <w:p>
            <w:pPr>
              <w:spacing w:after="0"/>
              <w:rPr>
                <w:sz w:val="8"/>
                <w:szCs w:val="8"/>
                <w:color w:val="auto"/>
              </w:rPr>
            </w:pPr>
          </w:p>
        </w:tc>
        <w:tc>
          <w:tcPr>
            <w:tcW w:w="320" w:type="dxa"/>
            <w:vAlign w:val="bottom"/>
            <w:tcBorders>
              <w:top w:val="single" w:sz="8" w:color="auto"/>
            </w:tcBorders>
          </w:tcPr>
          <w:p>
            <w:pPr>
              <w:spacing w:after="0"/>
              <w:rPr>
                <w:sz w:val="8"/>
                <w:szCs w:val="8"/>
                <w:color w:val="auto"/>
              </w:rPr>
            </w:pPr>
          </w:p>
        </w:tc>
        <w:tc>
          <w:tcPr>
            <w:tcW w:w="980" w:type="dxa"/>
            <w:vAlign w:val="bottom"/>
            <w:tcBorders>
              <w:top w:val="single" w:sz="8" w:color="auto"/>
            </w:tcBorders>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94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shd w:val="clear" w:color="auto" w:fill="E6E6E6"/>
          </w:tcPr>
          <w:p>
            <w:pPr>
              <w:spacing w:after="0"/>
              <w:rPr>
                <w:sz w:val="20"/>
                <w:szCs w:val="20"/>
                <w:color w:val="auto"/>
              </w:rPr>
            </w:pPr>
            <w:r>
              <w:rPr>
                <w:rFonts w:ascii="Arial" w:cs="Arial" w:eastAsia="Arial" w:hAnsi="Arial"/>
                <w:sz w:val="18"/>
                <w:szCs w:val="18"/>
                <w:b w:val="1"/>
                <w:bCs w:val="1"/>
                <w:color w:val="auto"/>
              </w:rPr>
              <w:t>2010</w:t>
            </w:r>
          </w:p>
        </w:tc>
        <w:tc>
          <w:tcPr>
            <w:tcW w:w="2300" w:type="dxa"/>
            <w:vAlign w:val="bottom"/>
            <w:shd w:val="clear" w:color="auto" w:fill="E6E6E6"/>
          </w:tcPr>
          <w:p>
            <w:pPr>
              <w:spacing w:after="0"/>
              <w:rPr>
                <w:sz w:val="18"/>
                <w:szCs w:val="18"/>
                <w:color w:val="auto"/>
              </w:rPr>
            </w:pPr>
          </w:p>
        </w:tc>
        <w:tc>
          <w:tcPr>
            <w:tcW w:w="820" w:type="dxa"/>
            <w:vAlign w:val="bottom"/>
            <w:shd w:val="clear" w:color="auto" w:fill="E6E6E6"/>
          </w:tcPr>
          <w:p>
            <w:pPr>
              <w:spacing w:after="0"/>
              <w:rPr>
                <w:sz w:val="18"/>
                <w:szCs w:val="18"/>
                <w:color w:val="auto"/>
              </w:rPr>
            </w:pPr>
          </w:p>
        </w:tc>
        <w:tc>
          <w:tcPr>
            <w:tcW w:w="340" w:type="dxa"/>
            <w:vAlign w:val="bottom"/>
            <w:shd w:val="clear" w:color="auto" w:fill="E6E6E6"/>
          </w:tcPr>
          <w:p>
            <w:pPr>
              <w:spacing w:after="0"/>
              <w:rPr>
                <w:sz w:val="18"/>
                <w:szCs w:val="18"/>
                <w:color w:val="auto"/>
              </w:rPr>
            </w:pPr>
          </w:p>
        </w:tc>
        <w:tc>
          <w:tcPr>
            <w:tcW w:w="860" w:type="dxa"/>
            <w:vAlign w:val="bottom"/>
            <w:shd w:val="clear" w:color="auto" w:fill="E6E6E6"/>
          </w:tcPr>
          <w:p>
            <w:pPr>
              <w:spacing w:after="0"/>
              <w:rPr>
                <w:sz w:val="18"/>
                <w:szCs w:val="18"/>
                <w:color w:val="auto"/>
              </w:rPr>
            </w:pPr>
          </w:p>
        </w:tc>
        <w:tc>
          <w:tcPr>
            <w:tcW w:w="320" w:type="dxa"/>
            <w:vAlign w:val="bottom"/>
            <w:shd w:val="clear" w:color="auto" w:fill="E6E6E6"/>
          </w:tcPr>
          <w:p>
            <w:pPr>
              <w:spacing w:after="0"/>
              <w:rPr>
                <w:sz w:val="18"/>
                <w:szCs w:val="18"/>
                <w:color w:val="auto"/>
              </w:rPr>
            </w:pPr>
          </w:p>
        </w:tc>
        <w:tc>
          <w:tcPr>
            <w:tcW w:w="980" w:type="dxa"/>
            <w:vAlign w:val="bottom"/>
            <w:shd w:val="clear" w:color="auto" w:fill="E6E6E6"/>
          </w:tcPr>
          <w:p>
            <w:pPr>
              <w:spacing w:after="0"/>
              <w:rPr>
                <w:sz w:val="18"/>
                <w:szCs w:val="18"/>
                <w:color w:val="auto"/>
              </w:rPr>
            </w:pPr>
          </w:p>
        </w:tc>
        <w:tc>
          <w:tcPr>
            <w:tcW w:w="200" w:type="dxa"/>
            <w:vAlign w:val="bottom"/>
            <w:shd w:val="clear" w:color="auto" w:fill="E6E6E6"/>
          </w:tcPr>
          <w:p>
            <w:pPr>
              <w:spacing w:after="0"/>
              <w:rPr>
                <w:sz w:val="18"/>
                <w:szCs w:val="18"/>
                <w:color w:val="auto"/>
              </w:rPr>
            </w:pPr>
          </w:p>
        </w:tc>
        <w:tc>
          <w:tcPr>
            <w:tcW w:w="940" w:type="dxa"/>
            <w:vAlign w:val="bottom"/>
            <w:shd w:val="clear" w:color="auto" w:fill="E6E6E6"/>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640" w:type="dxa"/>
            <w:vAlign w:val="bottom"/>
            <w:tcBorders>
              <w:bottom w:val="single" w:sz="8" w:color="808080"/>
            </w:tcBorders>
          </w:tcPr>
          <w:p>
            <w:pPr>
              <w:spacing w:after="0"/>
              <w:rPr>
                <w:sz w:val="9"/>
                <w:szCs w:val="9"/>
                <w:color w:val="auto"/>
              </w:rPr>
            </w:pPr>
          </w:p>
        </w:tc>
        <w:tc>
          <w:tcPr>
            <w:tcW w:w="230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04"/>
        </w:trPr>
        <w:tc>
          <w:tcPr>
            <w:tcW w:w="4660" w:type="dxa"/>
            <w:vAlign w:val="bottom"/>
            <w:gridSpan w:val="2"/>
          </w:tcPr>
          <w:p>
            <w:pPr>
              <w:spacing w:after="0"/>
              <w:rPr>
                <w:sz w:val="20"/>
                <w:szCs w:val="20"/>
                <w:color w:val="auto"/>
              </w:rPr>
            </w:pPr>
            <w:r>
              <w:rPr>
                <w:rFonts w:ascii="Arial" w:cs="Arial" w:eastAsia="Arial" w:hAnsi="Arial"/>
                <w:sz w:val="18"/>
                <w:szCs w:val="18"/>
                <w:color w:val="auto"/>
              </w:rPr>
              <w:t>Allowance for doubtful accounts</w:t>
            </w:r>
          </w:p>
        </w:tc>
        <w:tc>
          <w:tcPr>
            <w:tcW w:w="230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6"/>
              <w:spacing w:after="0"/>
              <w:rPr>
                <w:sz w:val="20"/>
                <w:szCs w:val="20"/>
                <w:color w:val="auto"/>
              </w:rPr>
            </w:pPr>
            <w:r>
              <w:rPr>
                <w:rFonts w:ascii="Arial" w:cs="Arial" w:eastAsia="Arial" w:hAnsi="Arial"/>
                <w:sz w:val="18"/>
                <w:szCs w:val="18"/>
                <w:color w:val="auto"/>
              </w:rPr>
              <w:t>15.2</w:t>
            </w:r>
          </w:p>
        </w:tc>
        <w:tc>
          <w:tcPr>
            <w:tcW w:w="3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9.5</w:t>
            </w:r>
          </w:p>
        </w:tc>
        <w:tc>
          <w:tcPr>
            <w:tcW w:w="3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38"/>
              <w:spacing w:after="0"/>
              <w:rPr>
                <w:sz w:val="20"/>
                <w:szCs w:val="20"/>
                <w:color w:val="auto"/>
              </w:rPr>
            </w:pPr>
            <w:r>
              <w:rPr>
                <w:rFonts w:ascii="Arial" w:cs="Arial" w:eastAsia="Arial" w:hAnsi="Arial"/>
                <w:sz w:val="18"/>
                <w:szCs w:val="18"/>
                <w:color w:val="auto"/>
              </w:rPr>
              <w:t>6.2</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5"/>
              <w:spacing w:after="0"/>
              <w:rPr>
                <w:sz w:val="20"/>
                <w:szCs w:val="20"/>
                <w:color w:val="auto"/>
              </w:rPr>
            </w:pPr>
            <w:r>
              <w:rPr>
                <w:rFonts w:ascii="Arial" w:cs="Arial" w:eastAsia="Arial" w:hAnsi="Arial"/>
                <w:sz w:val="18"/>
                <w:szCs w:val="18"/>
                <w:color w:val="auto"/>
              </w:rPr>
              <w:t>18.5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4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Reserve for returns</w:t>
            </w:r>
          </w:p>
        </w:tc>
        <w:tc>
          <w:tcPr>
            <w:tcW w:w="2300" w:type="dxa"/>
            <w:vAlign w:val="bottom"/>
            <w:shd w:val="clear" w:color="auto" w:fill="E6E6E6"/>
          </w:tcPr>
          <w:p>
            <w:pPr>
              <w:spacing w:after="0"/>
              <w:rPr>
                <w:sz w:val="17"/>
                <w:szCs w:val="17"/>
                <w:color w:val="auto"/>
              </w:rPr>
            </w:pPr>
          </w:p>
        </w:tc>
        <w:tc>
          <w:tcPr>
            <w:tcW w:w="820" w:type="dxa"/>
            <w:vAlign w:val="bottom"/>
            <w:shd w:val="clear" w:color="auto" w:fill="E6E6E6"/>
          </w:tcPr>
          <w:p>
            <w:pPr>
              <w:jc w:val="right"/>
              <w:ind w:right="36"/>
              <w:spacing w:after="0" w:line="202" w:lineRule="exact"/>
              <w:rPr>
                <w:sz w:val="20"/>
                <w:szCs w:val="20"/>
                <w:color w:val="auto"/>
              </w:rPr>
            </w:pPr>
            <w:r>
              <w:rPr>
                <w:rFonts w:ascii="Arial" w:cs="Arial" w:eastAsia="Arial" w:hAnsi="Arial"/>
                <w:sz w:val="18"/>
                <w:szCs w:val="18"/>
                <w:color w:val="auto"/>
              </w:rPr>
              <w:t>34.5</w:t>
            </w:r>
          </w:p>
        </w:tc>
        <w:tc>
          <w:tcPr>
            <w:tcW w:w="340" w:type="dxa"/>
            <w:vAlign w:val="bottom"/>
            <w:shd w:val="clear" w:color="auto" w:fill="E6E6E6"/>
          </w:tcPr>
          <w:p>
            <w:pPr>
              <w:spacing w:after="0"/>
              <w:rPr>
                <w:sz w:val="17"/>
                <w:szCs w:val="17"/>
                <w:color w:val="auto"/>
              </w:rPr>
            </w:pPr>
          </w:p>
        </w:tc>
        <w:tc>
          <w:tcPr>
            <w:tcW w:w="860" w:type="dxa"/>
            <w:vAlign w:val="bottom"/>
            <w:shd w:val="clear" w:color="auto" w:fill="E6E6E6"/>
          </w:tcPr>
          <w:p>
            <w:pPr>
              <w:jc w:val="right"/>
              <w:ind w:right="34"/>
              <w:spacing w:after="0" w:line="202" w:lineRule="exact"/>
              <w:rPr>
                <w:sz w:val="20"/>
                <w:szCs w:val="20"/>
                <w:color w:val="auto"/>
              </w:rPr>
            </w:pPr>
            <w:r>
              <w:rPr>
                <w:rFonts w:ascii="Arial" w:cs="Arial" w:eastAsia="Arial" w:hAnsi="Arial"/>
                <w:sz w:val="18"/>
                <w:szCs w:val="18"/>
                <w:color w:val="auto"/>
              </w:rPr>
              <w:t>62.8</w:t>
            </w:r>
          </w:p>
        </w:tc>
        <w:tc>
          <w:tcPr>
            <w:tcW w:w="320" w:type="dxa"/>
            <w:vAlign w:val="bottom"/>
            <w:shd w:val="clear" w:color="auto" w:fill="E6E6E6"/>
          </w:tcPr>
          <w:p>
            <w:pPr>
              <w:spacing w:after="0"/>
              <w:rPr>
                <w:sz w:val="17"/>
                <w:szCs w:val="17"/>
                <w:color w:val="auto"/>
              </w:rPr>
            </w:pPr>
          </w:p>
        </w:tc>
        <w:tc>
          <w:tcPr>
            <w:tcW w:w="980" w:type="dxa"/>
            <w:vAlign w:val="bottom"/>
            <w:shd w:val="clear" w:color="auto" w:fill="E6E6E6"/>
          </w:tcPr>
          <w:p>
            <w:pPr>
              <w:jc w:val="right"/>
              <w:spacing w:after="0" w:line="202" w:lineRule="exact"/>
              <w:rPr>
                <w:sz w:val="20"/>
                <w:szCs w:val="20"/>
                <w:color w:val="auto"/>
              </w:rPr>
            </w:pPr>
            <w:r>
              <w:rPr>
                <w:rFonts w:ascii="Arial" w:cs="Arial" w:eastAsia="Arial" w:hAnsi="Arial"/>
                <w:sz w:val="15"/>
                <w:szCs w:val="15"/>
                <w:color w:val="auto"/>
              </w:rPr>
              <w:t>66.4</w:t>
            </w:r>
            <w:r>
              <w:rPr>
                <w:rFonts w:ascii="Arial" w:cs="Arial" w:eastAsia="Arial" w:hAnsi="Arial"/>
                <w:sz w:val="23"/>
                <w:szCs w:val="23"/>
                <w:color w:val="auto"/>
                <w:vertAlign w:val="superscript"/>
              </w:rPr>
              <w:t>(1)</w:t>
            </w:r>
          </w:p>
        </w:tc>
        <w:tc>
          <w:tcPr>
            <w:tcW w:w="200" w:type="dxa"/>
            <w:vAlign w:val="bottom"/>
            <w:shd w:val="clear" w:color="auto" w:fill="E6E6E6"/>
          </w:tcPr>
          <w:p>
            <w:pPr>
              <w:spacing w:after="0"/>
              <w:rPr>
                <w:sz w:val="17"/>
                <w:szCs w:val="17"/>
                <w:color w:val="auto"/>
              </w:rPr>
            </w:pPr>
          </w:p>
        </w:tc>
        <w:tc>
          <w:tcPr>
            <w:tcW w:w="940" w:type="dxa"/>
            <w:vAlign w:val="bottom"/>
            <w:shd w:val="clear" w:color="auto" w:fill="E6E6E6"/>
          </w:tcPr>
          <w:p>
            <w:pPr>
              <w:jc w:val="right"/>
              <w:ind w:right="35"/>
              <w:spacing w:after="0" w:line="202" w:lineRule="exact"/>
              <w:rPr>
                <w:sz w:val="20"/>
                <w:szCs w:val="20"/>
                <w:color w:val="auto"/>
              </w:rPr>
            </w:pPr>
            <w:r>
              <w:rPr>
                <w:rFonts w:ascii="Arial" w:cs="Arial" w:eastAsia="Arial" w:hAnsi="Arial"/>
                <w:sz w:val="18"/>
                <w:szCs w:val="18"/>
                <w:color w:val="auto"/>
              </w:rPr>
              <w:t>30.9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60" w:type="dxa"/>
            <w:vAlign w:val="bottom"/>
            <w:gridSpan w:val="2"/>
          </w:tcPr>
          <w:p>
            <w:pPr>
              <w:spacing w:after="0" w:line="202" w:lineRule="exact"/>
              <w:rPr>
                <w:sz w:val="20"/>
                <w:szCs w:val="20"/>
                <w:color w:val="auto"/>
              </w:rPr>
            </w:pPr>
            <w:r>
              <w:rPr>
                <w:rFonts w:ascii="Arial" w:cs="Arial" w:eastAsia="Arial" w:hAnsi="Arial"/>
                <w:sz w:val="18"/>
                <w:szCs w:val="18"/>
                <w:color w:val="auto"/>
              </w:rPr>
              <w:t>Reserves for obsolescence</w:t>
            </w:r>
          </w:p>
        </w:tc>
        <w:tc>
          <w:tcPr>
            <w:tcW w:w="2300" w:type="dxa"/>
            <w:vAlign w:val="bottom"/>
          </w:tcPr>
          <w:p>
            <w:pPr>
              <w:spacing w:after="0"/>
              <w:rPr>
                <w:sz w:val="17"/>
                <w:szCs w:val="17"/>
                <w:color w:val="auto"/>
              </w:rPr>
            </w:pPr>
          </w:p>
        </w:tc>
        <w:tc>
          <w:tcPr>
            <w:tcW w:w="820" w:type="dxa"/>
            <w:vAlign w:val="bottom"/>
          </w:tcPr>
          <w:p>
            <w:pPr>
              <w:jc w:val="right"/>
              <w:ind w:right="36"/>
              <w:spacing w:after="0" w:line="202" w:lineRule="exact"/>
              <w:rPr>
                <w:sz w:val="20"/>
                <w:szCs w:val="20"/>
                <w:color w:val="auto"/>
              </w:rPr>
            </w:pPr>
            <w:r>
              <w:rPr>
                <w:rFonts w:ascii="Arial" w:cs="Arial" w:eastAsia="Arial" w:hAnsi="Arial"/>
                <w:sz w:val="18"/>
                <w:szCs w:val="18"/>
                <w:color w:val="auto"/>
              </w:rPr>
              <w:t>74.4</w:t>
            </w:r>
          </w:p>
        </w:tc>
        <w:tc>
          <w:tcPr>
            <w:tcW w:w="340" w:type="dxa"/>
            <w:vAlign w:val="bottom"/>
          </w:tcPr>
          <w:p>
            <w:pPr>
              <w:spacing w:after="0"/>
              <w:rPr>
                <w:sz w:val="17"/>
                <w:szCs w:val="17"/>
                <w:color w:val="auto"/>
              </w:rPr>
            </w:pPr>
          </w:p>
        </w:tc>
        <w:tc>
          <w:tcPr>
            <w:tcW w:w="8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27.2</w:t>
            </w:r>
          </w:p>
        </w:tc>
        <w:tc>
          <w:tcPr>
            <w:tcW w:w="320" w:type="dxa"/>
            <w:vAlign w:val="bottom"/>
          </w:tcPr>
          <w:p>
            <w:pPr>
              <w:spacing w:after="0"/>
              <w:rPr>
                <w:sz w:val="17"/>
                <w:szCs w:val="17"/>
                <w:color w:val="auto"/>
              </w:rPr>
            </w:pPr>
          </w:p>
        </w:tc>
        <w:tc>
          <w:tcPr>
            <w:tcW w:w="980" w:type="dxa"/>
            <w:vAlign w:val="bottom"/>
          </w:tcPr>
          <w:p>
            <w:pPr>
              <w:jc w:val="right"/>
              <w:ind w:right="138"/>
              <w:spacing w:after="0" w:line="202" w:lineRule="exact"/>
              <w:rPr>
                <w:sz w:val="20"/>
                <w:szCs w:val="20"/>
                <w:color w:val="auto"/>
              </w:rPr>
            </w:pPr>
            <w:r>
              <w:rPr>
                <w:rFonts w:ascii="Arial" w:cs="Arial" w:eastAsia="Arial" w:hAnsi="Arial"/>
                <w:sz w:val="18"/>
                <w:szCs w:val="18"/>
                <w:color w:val="auto"/>
              </w:rPr>
              <w:t>23.5</w:t>
            </w:r>
          </w:p>
        </w:tc>
        <w:tc>
          <w:tcPr>
            <w:tcW w:w="200" w:type="dxa"/>
            <w:vAlign w:val="bottom"/>
          </w:tcPr>
          <w:p>
            <w:pPr>
              <w:spacing w:after="0"/>
              <w:rPr>
                <w:sz w:val="17"/>
                <w:szCs w:val="17"/>
                <w:color w:val="auto"/>
              </w:rPr>
            </w:pPr>
          </w:p>
        </w:tc>
        <w:tc>
          <w:tcPr>
            <w:tcW w:w="940" w:type="dxa"/>
            <w:vAlign w:val="bottom"/>
          </w:tcPr>
          <w:p>
            <w:pPr>
              <w:jc w:val="right"/>
              <w:ind w:right="35"/>
              <w:spacing w:after="0" w:line="202" w:lineRule="exact"/>
              <w:rPr>
                <w:sz w:val="20"/>
                <w:szCs w:val="20"/>
                <w:color w:val="auto"/>
              </w:rPr>
            </w:pPr>
            <w:r>
              <w:rPr>
                <w:rFonts w:ascii="Arial" w:cs="Arial" w:eastAsia="Arial" w:hAnsi="Arial"/>
                <w:sz w:val="18"/>
                <w:szCs w:val="18"/>
                <w:color w:val="auto"/>
              </w:rPr>
              <w:t>78.1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4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Reserve for royalty advances</w:t>
            </w:r>
          </w:p>
        </w:tc>
        <w:tc>
          <w:tcPr>
            <w:tcW w:w="2300" w:type="dxa"/>
            <w:vAlign w:val="bottom"/>
            <w:shd w:val="clear" w:color="auto" w:fill="E6E6E6"/>
          </w:tcPr>
          <w:p>
            <w:pPr>
              <w:spacing w:after="0"/>
              <w:rPr>
                <w:sz w:val="17"/>
                <w:szCs w:val="17"/>
                <w:color w:val="auto"/>
              </w:rPr>
            </w:pPr>
          </w:p>
        </w:tc>
        <w:tc>
          <w:tcPr>
            <w:tcW w:w="820" w:type="dxa"/>
            <w:vAlign w:val="bottom"/>
            <w:shd w:val="clear" w:color="auto" w:fill="E6E6E6"/>
          </w:tcPr>
          <w:p>
            <w:pPr>
              <w:jc w:val="right"/>
              <w:ind w:right="36"/>
              <w:spacing w:after="0" w:line="202" w:lineRule="exact"/>
              <w:rPr>
                <w:sz w:val="20"/>
                <w:szCs w:val="20"/>
                <w:color w:val="auto"/>
              </w:rPr>
            </w:pPr>
            <w:r>
              <w:rPr>
                <w:rFonts w:ascii="Arial" w:cs="Arial" w:eastAsia="Arial" w:hAnsi="Arial"/>
                <w:sz w:val="18"/>
                <w:szCs w:val="18"/>
                <w:color w:val="auto"/>
              </w:rPr>
              <w:t>72.6</w:t>
            </w:r>
          </w:p>
        </w:tc>
        <w:tc>
          <w:tcPr>
            <w:tcW w:w="340" w:type="dxa"/>
            <w:vAlign w:val="bottom"/>
            <w:shd w:val="clear" w:color="auto" w:fill="E6E6E6"/>
          </w:tcPr>
          <w:p>
            <w:pPr>
              <w:spacing w:after="0"/>
              <w:rPr>
                <w:sz w:val="17"/>
                <w:szCs w:val="17"/>
                <w:color w:val="auto"/>
              </w:rPr>
            </w:pPr>
          </w:p>
        </w:tc>
        <w:tc>
          <w:tcPr>
            <w:tcW w:w="860" w:type="dxa"/>
            <w:vAlign w:val="bottom"/>
            <w:shd w:val="clear" w:color="auto" w:fill="E6E6E6"/>
          </w:tcPr>
          <w:p>
            <w:pPr>
              <w:jc w:val="right"/>
              <w:ind w:right="34"/>
              <w:spacing w:after="0" w:line="202" w:lineRule="exact"/>
              <w:rPr>
                <w:sz w:val="20"/>
                <w:szCs w:val="20"/>
                <w:color w:val="auto"/>
              </w:rPr>
            </w:pPr>
            <w:r>
              <w:rPr>
                <w:rFonts w:ascii="Arial" w:cs="Arial" w:eastAsia="Arial" w:hAnsi="Arial"/>
                <w:sz w:val="18"/>
                <w:szCs w:val="18"/>
                <w:color w:val="auto"/>
              </w:rPr>
              <w:t>6.8</w:t>
            </w:r>
          </w:p>
        </w:tc>
        <w:tc>
          <w:tcPr>
            <w:tcW w:w="320" w:type="dxa"/>
            <w:vAlign w:val="bottom"/>
            <w:shd w:val="clear" w:color="auto" w:fill="E6E6E6"/>
          </w:tcPr>
          <w:p>
            <w:pPr>
              <w:spacing w:after="0"/>
              <w:rPr>
                <w:sz w:val="17"/>
                <w:szCs w:val="17"/>
                <w:color w:val="auto"/>
              </w:rPr>
            </w:pPr>
          </w:p>
        </w:tc>
        <w:tc>
          <w:tcPr>
            <w:tcW w:w="980" w:type="dxa"/>
            <w:vAlign w:val="bottom"/>
            <w:shd w:val="clear" w:color="auto" w:fill="E6E6E6"/>
          </w:tcPr>
          <w:p>
            <w:pPr>
              <w:jc w:val="right"/>
              <w:ind w:right="138"/>
              <w:spacing w:after="0" w:line="202" w:lineRule="exact"/>
              <w:rPr>
                <w:sz w:val="20"/>
                <w:szCs w:val="20"/>
                <w:color w:val="auto"/>
              </w:rPr>
            </w:pPr>
            <w:r>
              <w:rPr>
                <w:rFonts w:ascii="Arial" w:cs="Arial" w:eastAsia="Arial" w:hAnsi="Arial"/>
                <w:sz w:val="18"/>
                <w:szCs w:val="18"/>
                <w:color w:val="auto"/>
              </w:rPr>
              <w:t>10.5</w:t>
            </w:r>
          </w:p>
        </w:tc>
        <w:tc>
          <w:tcPr>
            <w:tcW w:w="200" w:type="dxa"/>
            <w:vAlign w:val="bottom"/>
            <w:shd w:val="clear" w:color="auto" w:fill="E6E6E6"/>
          </w:tcPr>
          <w:p>
            <w:pPr>
              <w:spacing w:after="0"/>
              <w:rPr>
                <w:sz w:val="17"/>
                <w:szCs w:val="17"/>
                <w:color w:val="auto"/>
              </w:rPr>
            </w:pPr>
          </w:p>
        </w:tc>
        <w:tc>
          <w:tcPr>
            <w:tcW w:w="940" w:type="dxa"/>
            <w:vAlign w:val="bottom"/>
            <w:shd w:val="clear" w:color="auto" w:fill="E6E6E6"/>
          </w:tcPr>
          <w:p>
            <w:pPr>
              <w:jc w:val="right"/>
              <w:ind w:right="35"/>
              <w:spacing w:after="0" w:line="202" w:lineRule="exact"/>
              <w:rPr>
                <w:sz w:val="20"/>
                <w:szCs w:val="20"/>
                <w:color w:val="auto"/>
              </w:rPr>
            </w:pPr>
            <w:r>
              <w:rPr>
                <w:rFonts w:ascii="Arial" w:cs="Arial" w:eastAsia="Arial" w:hAnsi="Arial"/>
                <w:sz w:val="18"/>
                <w:szCs w:val="18"/>
                <w:color w:val="auto"/>
              </w:rPr>
              <w:t>68.9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640" w:type="dxa"/>
            <w:vAlign w:val="bottom"/>
            <w:tcBorders>
              <w:bottom w:val="single" w:sz="8" w:color="808080"/>
            </w:tcBorders>
          </w:tcPr>
          <w:p>
            <w:pPr>
              <w:spacing w:after="0"/>
              <w:rPr>
                <w:sz w:val="9"/>
                <w:szCs w:val="9"/>
                <w:color w:val="auto"/>
              </w:rPr>
            </w:pPr>
          </w:p>
        </w:tc>
        <w:tc>
          <w:tcPr>
            <w:tcW w:w="230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660" w:type="dxa"/>
            <w:vAlign w:val="bottom"/>
            <w:gridSpan w:val="2"/>
          </w:tcPr>
          <w:p>
            <w:pPr>
              <w:spacing w:after="0"/>
              <w:rPr>
                <w:sz w:val="20"/>
                <w:szCs w:val="20"/>
                <w:color w:val="auto"/>
              </w:rPr>
            </w:pPr>
            <w:r>
              <w:rPr>
                <w:rFonts w:ascii="Arial" w:cs="Arial" w:eastAsia="Arial" w:hAnsi="Arial"/>
                <w:sz w:val="18"/>
                <w:szCs w:val="18"/>
                <w:b w:val="1"/>
                <w:bCs w:val="1"/>
                <w:color w:val="auto"/>
              </w:rPr>
              <w:t>2009</w:t>
            </w:r>
          </w:p>
        </w:tc>
        <w:tc>
          <w:tcPr>
            <w:tcW w:w="2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4660" w:type="dxa"/>
            <w:vAlign w:val="bottom"/>
            <w:tcBorders>
              <w:bottom w:val="single" w:sz="8" w:color="808080"/>
            </w:tcBorders>
            <w:gridSpan w:val="2"/>
          </w:tcPr>
          <w:p>
            <w:pPr>
              <w:spacing w:after="0"/>
              <w:rPr>
                <w:sz w:val="9"/>
                <w:szCs w:val="9"/>
                <w:color w:val="auto"/>
              </w:rPr>
            </w:pPr>
          </w:p>
        </w:tc>
        <w:tc>
          <w:tcPr>
            <w:tcW w:w="230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4660" w:type="dxa"/>
            <w:vAlign w:val="bottom"/>
            <w:gridSpan w:val="2"/>
          </w:tcPr>
          <w:p>
            <w:pPr>
              <w:spacing w:after="0"/>
              <w:rPr>
                <w:sz w:val="8"/>
                <w:szCs w:val="8"/>
                <w:color w:val="auto"/>
              </w:rPr>
            </w:pPr>
          </w:p>
        </w:tc>
        <w:tc>
          <w:tcPr>
            <w:tcW w:w="2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340" w:type="dxa"/>
            <w:vAlign w:val="bottom"/>
          </w:tcPr>
          <w:p>
            <w:pPr>
              <w:spacing w:after="0"/>
              <w:rPr>
                <w:sz w:val="8"/>
                <w:szCs w:val="8"/>
                <w:color w:val="auto"/>
              </w:rPr>
            </w:pPr>
          </w:p>
        </w:tc>
        <w:tc>
          <w:tcPr>
            <w:tcW w:w="860" w:type="dxa"/>
            <w:vAlign w:val="bottom"/>
          </w:tcPr>
          <w:p>
            <w:pPr>
              <w:spacing w:after="0"/>
              <w:rPr>
                <w:sz w:val="8"/>
                <w:szCs w:val="8"/>
                <w:color w:val="auto"/>
              </w:rPr>
            </w:pPr>
          </w:p>
        </w:tc>
        <w:tc>
          <w:tcPr>
            <w:tcW w:w="32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4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Allowance for doubtful accounts</w:t>
            </w:r>
          </w:p>
        </w:tc>
        <w:tc>
          <w:tcPr>
            <w:tcW w:w="230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w:t>
            </w:r>
          </w:p>
        </w:tc>
        <w:tc>
          <w:tcPr>
            <w:tcW w:w="820" w:type="dxa"/>
            <w:vAlign w:val="bottom"/>
            <w:shd w:val="clear" w:color="auto" w:fill="E6E6E6"/>
          </w:tcPr>
          <w:p>
            <w:pPr>
              <w:jc w:val="right"/>
              <w:ind w:right="36"/>
              <w:spacing w:after="0" w:line="202" w:lineRule="exact"/>
              <w:rPr>
                <w:sz w:val="20"/>
                <w:szCs w:val="20"/>
                <w:color w:val="auto"/>
              </w:rPr>
            </w:pPr>
            <w:r>
              <w:rPr>
                <w:rFonts w:ascii="Arial" w:cs="Arial" w:eastAsia="Arial" w:hAnsi="Arial"/>
                <w:sz w:val="18"/>
                <w:szCs w:val="18"/>
                <w:color w:val="auto"/>
              </w:rPr>
              <w:t>14.2</w:t>
            </w:r>
          </w:p>
        </w:tc>
        <w:tc>
          <w:tcPr>
            <w:tcW w:w="340" w:type="dxa"/>
            <w:vAlign w:val="bottom"/>
            <w:shd w:val="clear" w:color="auto" w:fill="E6E6E6"/>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E6E6E6"/>
          </w:tcPr>
          <w:p>
            <w:pPr>
              <w:jc w:val="right"/>
              <w:ind w:right="34"/>
              <w:spacing w:after="0" w:line="202" w:lineRule="exact"/>
              <w:rPr>
                <w:sz w:val="20"/>
                <w:szCs w:val="20"/>
                <w:color w:val="auto"/>
              </w:rPr>
            </w:pPr>
            <w:r>
              <w:rPr>
                <w:rFonts w:ascii="Arial" w:cs="Arial" w:eastAsia="Arial" w:hAnsi="Arial"/>
                <w:sz w:val="18"/>
                <w:szCs w:val="18"/>
                <w:color w:val="auto"/>
              </w:rPr>
              <w:t>15.8</w:t>
            </w:r>
          </w:p>
        </w:tc>
        <w:tc>
          <w:tcPr>
            <w:tcW w:w="320" w:type="dxa"/>
            <w:vAlign w:val="bottom"/>
            <w:shd w:val="clear" w:color="auto" w:fill="E6E6E6"/>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E6E6E6"/>
          </w:tcPr>
          <w:p>
            <w:pPr>
              <w:jc w:val="right"/>
              <w:ind w:right="138"/>
              <w:spacing w:after="0" w:line="202" w:lineRule="exact"/>
              <w:rPr>
                <w:sz w:val="20"/>
                <w:szCs w:val="20"/>
                <w:color w:val="auto"/>
              </w:rPr>
            </w:pPr>
            <w:r>
              <w:rPr>
                <w:rFonts w:ascii="Arial" w:cs="Arial" w:eastAsia="Arial" w:hAnsi="Arial"/>
                <w:sz w:val="18"/>
                <w:szCs w:val="18"/>
                <w:color w:val="auto"/>
              </w:rPr>
              <w:t>14.8</w:t>
            </w:r>
          </w:p>
        </w:tc>
        <w:tc>
          <w:tcPr>
            <w:tcW w:w="20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w w:val="99"/>
              </w:rPr>
              <w:t>$</w:t>
            </w:r>
          </w:p>
        </w:tc>
        <w:tc>
          <w:tcPr>
            <w:tcW w:w="940" w:type="dxa"/>
            <w:vAlign w:val="bottom"/>
            <w:shd w:val="clear" w:color="auto" w:fill="E6E6E6"/>
          </w:tcPr>
          <w:p>
            <w:pPr>
              <w:jc w:val="right"/>
              <w:ind w:right="35"/>
              <w:spacing w:after="0" w:line="202" w:lineRule="exact"/>
              <w:rPr>
                <w:sz w:val="20"/>
                <w:szCs w:val="20"/>
                <w:color w:val="auto"/>
              </w:rPr>
            </w:pPr>
            <w:r>
              <w:rPr>
                <w:rFonts w:ascii="Arial" w:cs="Arial" w:eastAsia="Arial" w:hAnsi="Arial"/>
                <w:sz w:val="18"/>
                <w:szCs w:val="18"/>
                <w:color w:val="auto"/>
              </w:rPr>
              <w:t>15.2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60" w:type="dxa"/>
            <w:vAlign w:val="bottom"/>
            <w:gridSpan w:val="2"/>
          </w:tcPr>
          <w:p>
            <w:pPr>
              <w:spacing w:after="0" w:line="202" w:lineRule="exact"/>
              <w:rPr>
                <w:sz w:val="20"/>
                <w:szCs w:val="20"/>
                <w:color w:val="auto"/>
              </w:rPr>
            </w:pPr>
            <w:r>
              <w:rPr>
                <w:rFonts w:ascii="Arial" w:cs="Arial" w:eastAsia="Arial" w:hAnsi="Arial"/>
                <w:sz w:val="18"/>
                <w:szCs w:val="18"/>
                <w:color w:val="auto"/>
              </w:rPr>
              <w:t>Reserve for returns</w:t>
            </w:r>
          </w:p>
        </w:tc>
        <w:tc>
          <w:tcPr>
            <w:tcW w:w="2300" w:type="dxa"/>
            <w:vAlign w:val="bottom"/>
          </w:tcPr>
          <w:p>
            <w:pPr>
              <w:spacing w:after="0"/>
              <w:rPr>
                <w:sz w:val="17"/>
                <w:szCs w:val="17"/>
                <w:color w:val="auto"/>
              </w:rPr>
            </w:pPr>
          </w:p>
        </w:tc>
        <w:tc>
          <w:tcPr>
            <w:tcW w:w="820" w:type="dxa"/>
            <w:vAlign w:val="bottom"/>
          </w:tcPr>
          <w:p>
            <w:pPr>
              <w:jc w:val="right"/>
              <w:ind w:right="36"/>
              <w:spacing w:after="0" w:line="202" w:lineRule="exact"/>
              <w:rPr>
                <w:sz w:val="20"/>
                <w:szCs w:val="20"/>
                <w:color w:val="auto"/>
              </w:rPr>
            </w:pPr>
            <w:r>
              <w:rPr>
                <w:rFonts w:ascii="Arial" w:cs="Arial" w:eastAsia="Arial" w:hAnsi="Arial"/>
                <w:sz w:val="18"/>
                <w:szCs w:val="18"/>
                <w:color w:val="auto"/>
              </w:rPr>
              <w:t>40.3</w:t>
            </w:r>
          </w:p>
        </w:tc>
        <w:tc>
          <w:tcPr>
            <w:tcW w:w="340" w:type="dxa"/>
            <w:vAlign w:val="bottom"/>
          </w:tcPr>
          <w:p>
            <w:pPr>
              <w:spacing w:after="0"/>
              <w:rPr>
                <w:sz w:val="17"/>
                <w:szCs w:val="17"/>
                <w:color w:val="auto"/>
              </w:rPr>
            </w:pPr>
          </w:p>
        </w:tc>
        <w:tc>
          <w:tcPr>
            <w:tcW w:w="8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66.2</w:t>
            </w:r>
          </w:p>
        </w:tc>
        <w:tc>
          <w:tcPr>
            <w:tcW w:w="32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5"/>
                <w:szCs w:val="15"/>
                <w:color w:val="auto"/>
              </w:rPr>
              <w:t>72.0</w:t>
            </w:r>
            <w:r>
              <w:rPr>
                <w:rFonts w:ascii="Arial" w:cs="Arial" w:eastAsia="Arial" w:hAnsi="Arial"/>
                <w:sz w:val="23"/>
                <w:szCs w:val="23"/>
                <w:color w:val="auto"/>
                <w:vertAlign w:val="superscript"/>
              </w:rPr>
              <w:t>(1)</w:t>
            </w:r>
          </w:p>
        </w:tc>
        <w:tc>
          <w:tcPr>
            <w:tcW w:w="200" w:type="dxa"/>
            <w:vAlign w:val="bottom"/>
          </w:tcPr>
          <w:p>
            <w:pPr>
              <w:spacing w:after="0"/>
              <w:rPr>
                <w:sz w:val="17"/>
                <w:szCs w:val="17"/>
                <w:color w:val="auto"/>
              </w:rPr>
            </w:pPr>
          </w:p>
        </w:tc>
        <w:tc>
          <w:tcPr>
            <w:tcW w:w="940" w:type="dxa"/>
            <w:vAlign w:val="bottom"/>
          </w:tcPr>
          <w:p>
            <w:pPr>
              <w:jc w:val="right"/>
              <w:ind w:right="35"/>
              <w:spacing w:after="0" w:line="202" w:lineRule="exact"/>
              <w:rPr>
                <w:sz w:val="20"/>
                <w:szCs w:val="20"/>
                <w:color w:val="auto"/>
              </w:rPr>
            </w:pPr>
            <w:r>
              <w:rPr>
                <w:rFonts w:ascii="Arial" w:cs="Arial" w:eastAsia="Arial" w:hAnsi="Arial"/>
                <w:sz w:val="18"/>
                <w:szCs w:val="18"/>
                <w:color w:val="auto"/>
              </w:rPr>
              <w:t>34.5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4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Reserves for obsolescence</w:t>
            </w:r>
          </w:p>
        </w:tc>
        <w:tc>
          <w:tcPr>
            <w:tcW w:w="2300" w:type="dxa"/>
            <w:vAlign w:val="bottom"/>
            <w:shd w:val="clear" w:color="auto" w:fill="E6E6E6"/>
          </w:tcPr>
          <w:p>
            <w:pPr>
              <w:spacing w:after="0"/>
              <w:rPr>
                <w:sz w:val="17"/>
                <w:szCs w:val="17"/>
                <w:color w:val="auto"/>
              </w:rPr>
            </w:pPr>
          </w:p>
        </w:tc>
        <w:tc>
          <w:tcPr>
            <w:tcW w:w="820" w:type="dxa"/>
            <w:vAlign w:val="bottom"/>
            <w:shd w:val="clear" w:color="auto" w:fill="E6E6E6"/>
          </w:tcPr>
          <w:p>
            <w:pPr>
              <w:jc w:val="right"/>
              <w:ind w:right="36"/>
              <w:spacing w:after="0" w:line="202" w:lineRule="exact"/>
              <w:rPr>
                <w:sz w:val="20"/>
                <w:szCs w:val="20"/>
                <w:color w:val="auto"/>
              </w:rPr>
            </w:pPr>
            <w:r>
              <w:rPr>
                <w:rFonts w:ascii="Arial" w:cs="Arial" w:eastAsia="Arial" w:hAnsi="Arial"/>
                <w:sz w:val="18"/>
                <w:szCs w:val="18"/>
                <w:color w:val="auto"/>
              </w:rPr>
              <w:t>69.2</w:t>
            </w:r>
          </w:p>
        </w:tc>
        <w:tc>
          <w:tcPr>
            <w:tcW w:w="340" w:type="dxa"/>
            <w:vAlign w:val="bottom"/>
            <w:shd w:val="clear" w:color="auto" w:fill="E6E6E6"/>
          </w:tcPr>
          <w:p>
            <w:pPr>
              <w:spacing w:after="0"/>
              <w:rPr>
                <w:sz w:val="17"/>
                <w:szCs w:val="17"/>
                <w:color w:val="auto"/>
              </w:rPr>
            </w:pPr>
          </w:p>
        </w:tc>
        <w:tc>
          <w:tcPr>
            <w:tcW w:w="860" w:type="dxa"/>
            <w:vAlign w:val="bottom"/>
            <w:shd w:val="clear" w:color="auto" w:fill="E6E6E6"/>
          </w:tcPr>
          <w:p>
            <w:pPr>
              <w:jc w:val="right"/>
              <w:ind w:right="34"/>
              <w:spacing w:after="0" w:line="202" w:lineRule="exact"/>
              <w:rPr>
                <w:sz w:val="20"/>
                <w:szCs w:val="20"/>
                <w:color w:val="auto"/>
              </w:rPr>
            </w:pPr>
            <w:r>
              <w:rPr>
                <w:rFonts w:ascii="Arial" w:cs="Arial" w:eastAsia="Arial" w:hAnsi="Arial"/>
                <w:sz w:val="18"/>
                <w:szCs w:val="18"/>
                <w:color w:val="auto"/>
              </w:rPr>
              <w:t>28.4</w:t>
            </w:r>
          </w:p>
        </w:tc>
        <w:tc>
          <w:tcPr>
            <w:tcW w:w="320" w:type="dxa"/>
            <w:vAlign w:val="bottom"/>
            <w:shd w:val="clear" w:color="auto" w:fill="E6E6E6"/>
          </w:tcPr>
          <w:p>
            <w:pPr>
              <w:spacing w:after="0"/>
              <w:rPr>
                <w:sz w:val="17"/>
                <w:szCs w:val="17"/>
                <w:color w:val="auto"/>
              </w:rPr>
            </w:pPr>
          </w:p>
        </w:tc>
        <w:tc>
          <w:tcPr>
            <w:tcW w:w="980" w:type="dxa"/>
            <w:vAlign w:val="bottom"/>
            <w:shd w:val="clear" w:color="auto" w:fill="E6E6E6"/>
          </w:tcPr>
          <w:p>
            <w:pPr>
              <w:jc w:val="right"/>
              <w:ind w:right="138"/>
              <w:spacing w:after="0" w:line="202" w:lineRule="exact"/>
              <w:rPr>
                <w:sz w:val="20"/>
                <w:szCs w:val="20"/>
                <w:color w:val="auto"/>
              </w:rPr>
            </w:pPr>
            <w:r>
              <w:rPr>
                <w:rFonts w:ascii="Arial" w:cs="Arial" w:eastAsia="Arial" w:hAnsi="Arial"/>
                <w:sz w:val="18"/>
                <w:szCs w:val="18"/>
                <w:color w:val="auto"/>
              </w:rPr>
              <w:t>23.2</w:t>
            </w:r>
          </w:p>
        </w:tc>
        <w:tc>
          <w:tcPr>
            <w:tcW w:w="200" w:type="dxa"/>
            <w:vAlign w:val="bottom"/>
            <w:shd w:val="clear" w:color="auto" w:fill="E6E6E6"/>
          </w:tcPr>
          <w:p>
            <w:pPr>
              <w:spacing w:after="0"/>
              <w:rPr>
                <w:sz w:val="17"/>
                <w:szCs w:val="17"/>
                <w:color w:val="auto"/>
              </w:rPr>
            </w:pPr>
          </w:p>
        </w:tc>
        <w:tc>
          <w:tcPr>
            <w:tcW w:w="940" w:type="dxa"/>
            <w:vAlign w:val="bottom"/>
            <w:shd w:val="clear" w:color="auto" w:fill="E6E6E6"/>
          </w:tcPr>
          <w:p>
            <w:pPr>
              <w:jc w:val="right"/>
              <w:ind w:right="35"/>
              <w:spacing w:after="0" w:line="202" w:lineRule="exact"/>
              <w:rPr>
                <w:sz w:val="20"/>
                <w:szCs w:val="20"/>
                <w:color w:val="auto"/>
              </w:rPr>
            </w:pPr>
            <w:r>
              <w:rPr>
                <w:rFonts w:ascii="Arial" w:cs="Arial" w:eastAsia="Arial" w:hAnsi="Arial"/>
                <w:sz w:val="18"/>
                <w:szCs w:val="18"/>
                <w:color w:val="auto"/>
              </w:rPr>
              <w:t>74.4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4660" w:type="dxa"/>
            <w:vAlign w:val="bottom"/>
            <w:gridSpan w:val="2"/>
          </w:tcPr>
          <w:p>
            <w:pPr>
              <w:spacing w:after="0"/>
              <w:rPr>
                <w:sz w:val="20"/>
                <w:szCs w:val="20"/>
                <w:color w:val="auto"/>
              </w:rPr>
            </w:pPr>
            <w:r>
              <w:rPr>
                <w:rFonts w:ascii="Arial" w:cs="Arial" w:eastAsia="Arial" w:hAnsi="Arial"/>
                <w:sz w:val="18"/>
                <w:szCs w:val="18"/>
                <w:color w:val="auto"/>
              </w:rPr>
              <w:t>Reserve for royalty advances</w:t>
            </w:r>
          </w:p>
        </w:tc>
        <w:tc>
          <w:tcPr>
            <w:tcW w:w="2300" w:type="dxa"/>
            <w:vAlign w:val="bottom"/>
          </w:tcPr>
          <w:p>
            <w:pPr>
              <w:spacing w:after="0"/>
              <w:rPr>
                <w:sz w:val="18"/>
                <w:szCs w:val="18"/>
                <w:color w:val="auto"/>
              </w:rPr>
            </w:pPr>
          </w:p>
        </w:tc>
        <w:tc>
          <w:tcPr>
            <w:tcW w:w="820" w:type="dxa"/>
            <w:vAlign w:val="bottom"/>
          </w:tcPr>
          <w:p>
            <w:pPr>
              <w:jc w:val="right"/>
              <w:ind w:right="36"/>
              <w:spacing w:after="0"/>
              <w:rPr>
                <w:sz w:val="20"/>
                <w:szCs w:val="20"/>
                <w:color w:val="auto"/>
              </w:rPr>
            </w:pPr>
            <w:r>
              <w:rPr>
                <w:rFonts w:ascii="Arial" w:cs="Arial" w:eastAsia="Arial" w:hAnsi="Arial"/>
                <w:sz w:val="18"/>
                <w:szCs w:val="18"/>
                <w:color w:val="auto"/>
              </w:rPr>
              <w:t>64.0</w:t>
            </w:r>
          </w:p>
        </w:tc>
        <w:tc>
          <w:tcPr>
            <w:tcW w:w="340" w:type="dxa"/>
            <w:vAlign w:val="bottom"/>
          </w:tcPr>
          <w:p>
            <w:pPr>
              <w:spacing w:after="0"/>
              <w:rPr>
                <w:sz w:val="18"/>
                <w:szCs w:val="18"/>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12.6</w:t>
            </w:r>
          </w:p>
        </w:tc>
        <w:tc>
          <w:tcPr>
            <w:tcW w:w="320" w:type="dxa"/>
            <w:vAlign w:val="bottom"/>
          </w:tcPr>
          <w:p>
            <w:pPr>
              <w:spacing w:after="0"/>
              <w:rPr>
                <w:sz w:val="18"/>
                <w:szCs w:val="18"/>
                <w:color w:val="auto"/>
              </w:rPr>
            </w:pPr>
          </w:p>
        </w:tc>
        <w:tc>
          <w:tcPr>
            <w:tcW w:w="980" w:type="dxa"/>
            <w:vAlign w:val="bottom"/>
          </w:tcPr>
          <w:p>
            <w:pPr>
              <w:jc w:val="right"/>
              <w:ind w:right="138"/>
              <w:spacing w:after="0"/>
              <w:rPr>
                <w:sz w:val="20"/>
                <w:szCs w:val="20"/>
                <w:color w:val="auto"/>
              </w:rPr>
            </w:pPr>
            <w:r>
              <w:rPr>
                <w:rFonts w:ascii="Arial" w:cs="Arial" w:eastAsia="Arial" w:hAnsi="Arial"/>
                <w:sz w:val="18"/>
                <w:szCs w:val="18"/>
                <w:color w:val="auto"/>
              </w:rPr>
              <w:t>4.0</w:t>
            </w:r>
          </w:p>
        </w:tc>
        <w:tc>
          <w:tcPr>
            <w:tcW w:w="200" w:type="dxa"/>
            <w:vAlign w:val="bottom"/>
          </w:tcPr>
          <w:p>
            <w:pPr>
              <w:spacing w:after="0"/>
              <w:rPr>
                <w:sz w:val="18"/>
                <w:szCs w:val="18"/>
                <w:color w:val="auto"/>
              </w:rPr>
            </w:pPr>
          </w:p>
        </w:tc>
        <w:tc>
          <w:tcPr>
            <w:tcW w:w="940" w:type="dxa"/>
            <w:vAlign w:val="bottom"/>
          </w:tcPr>
          <w:p>
            <w:pPr>
              <w:jc w:val="right"/>
              <w:ind w:right="35"/>
              <w:spacing w:after="0"/>
              <w:rPr>
                <w:sz w:val="20"/>
                <w:szCs w:val="20"/>
                <w:color w:val="auto"/>
              </w:rPr>
            </w:pPr>
            <w:r>
              <w:rPr>
                <w:rFonts w:ascii="Arial" w:cs="Arial" w:eastAsia="Arial" w:hAnsi="Arial"/>
                <w:sz w:val="18"/>
                <w:szCs w:val="18"/>
                <w:color w:val="auto"/>
              </w:rPr>
              <w:t>72.6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7"/>
        </w:trPr>
        <w:tc>
          <w:tcPr>
            <w:tcW w:w="4660" w:type="dxa"/>
            <w:vAlign w:val="bottom"/>
            <w:tcBorders>
              <w:bottom w:val="single" w:sz="8" w:color="808080"/>
            </w:tcBorders>
            <w:gridSpan w:val="2"/>
          </w:tcPr>
          <w:p>
            <w:pPr>
              <w:spacing w:after="0"/>
              <w:rPr>
                <w:sz w:val="8"/>
                <w:szCs w:val="8"/>
                <w:color w:val="auto"/>
              </w:rPr>
            </w:pPr>
          </w:p>
        </w:tc>
        <w:tc>
          <w:tcPr>
            <w:tcW w:w="230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40" w:type="dxa"/>
            <w:vAlign w:val="bottom"/>
          </w:tcPr>
          <w:p>
            <w:pPr>
              <w:spacing w:after="0"/>
              <w:rPr>
                <w:sz w:val="8"/>
                <w:szCs w:val="8"/>
                <w:color w:val="auto"/>
              </w:rPr>
            </w:pPr>
          </w:p>
        </w:tc>
        <w:tc>
          <w:tcPr>
            <w:tcW w:w="2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340" w:type="dxa"/>
            <w:vAlign w:val="bottom"/>
          </w:tcPr>
          <w:p>
            <w:pPr>
              <w:spacing w:after="0"/>
              <w:rPr>
                <w:sz w:val="8"/>
                <w:szCs w:val="8"/>
                <w:color w:val="auto"/>
              </w:rPr>
            </w:pPr>
          </w:p>
        </w:tc>
        <w:tc>
          <w:tcPr>
            <w:tcW w:w="860" w:type="dxa"/>
            <w:vAlign w:val="bottom"/>
          </w:tcPr>
          <w:p>
            <w:pPr>
              <w:spacing w:after="0"/>
              <w:rPr>
                <w:sz w:val="8"/>
                <w:szCs w:val="8"/>
                <w:color w:val="auto"/>
              </w:rPr>
            </w:pPr>
          </w:p>
        </w:tc>
        <w:tc>
          <w:tcPr>
            <w:tcW w:w="32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shd w:val="clear" w:color="auto" w:fill="E6E6E6"/>
          </w:tcPr>
          <w:p>
            <w:pPr>
              <w:spacing w:after="0"/>
              <w:rPr>
                <w:sz w:val="20"/>
                <w:szCs w:val="20"/>
                <w:color w:val="auto"/>
              </w:rPr>
            </w:pPr>
            <w:r>
              <w:rPr>
                <w:rFonts w:ascii="Arial" w:cs="Arial" w:eastAsia="Arial" w:hAnsi="Arial"/>
                <w:sz w:val="18"/>
                <w:szCs w:val="18"/>
                <w:b w:val="1"/>
                <w:bCs w:val="1"/>
                <w:color w:val="auto"/>
              </w:rPr>
              <w:t>2008</w:t>
            </w:r>
          </w:p>
        </w:tc>
        <w:tc>
          <w:tcPr>
            <w:tcW w:w="2300" w:type="dxa"/>
            <w:vAlign w:val="bottom"/>
            <w:shd w:val="clear" w:color="auto" w:fill="E6E6E6"/>
          </w:tcPr>
          <w:p>
            <w:pPr>
              <w:spacing w:after="0"/>
              <w:rPr>
                <w:sz w:val="18"/>
                <w:szCs w:val="18"/>
                <w:color w:val="auto"/>
              </w:rPr>
            </w:pPr>
          </w:p>
        </w:tc>
        <w:tc>
          <w:tcPr>
            <w:tcW w:w="820" w:type="dxa"/>
            <w:vAlign w:val="bottom"/>
            <w:shd w:val="clear" w:color="auto" w:fill="E6E6E6"/>
          </w:tcPr>
          <w:p>
            <w:pPr>
              <w:spacing w:after="0"/>
              <w:rPr>
                <w:sz w:val="18"/>
                <w:szCs w:val="18"/>
                <w:color w:val="auto"/>
              </w:rPr>
            </w:pPr>
          </w:p>
        </w:tc>
        <w:tc>
          <w:tcPr>
            <w:tcW w:w="340" w:type="dxa"/>
            <w:vAlign w:val="bottom"/>
            <w:shd w:val="clear" w:color="auto" w:fill="E6E6E6"/>
          </w:tcPr>
          <w:p>
            <w:pPr>
              <w:spacing w:after="0"/>
              <w:rPr>
                <w:sz w:val="18"/>
                <w:szCs w:val="18"/>
                <w:color w:val="auto"/>
              </w:rPr>
            </w:pPr>
          </w:p>
        </w:tc>
        <w:tc>
          <w:tcPr>
            <w:tcW w:w="860" w:type="dxa"/>
            <w:vAlign w:val="bottom"/>
            <w:shd w:val="clear" w:color="auto" w:fill="E6E6E6"/>
          </w:tcPr>
          <w:p>
            <w:pPr>
              <w:spacing w:after="0"/>
              <w:rPr>
                <w:sz w:val="18"/>
                <w:szCs w:val="18"/>
                <w:color w:val="auto"/>
              </w:rPr>
            </w:pPr>
          </w:p>
        </w:tc>
        <w:tc>
          <w:tcPr>
            <w:tcW w:w="320" w:type="dxa"/>
            <w:vAlign w:val="bottom"/>
            <w:shd w:val="clear" w:color="auto" w:fill="E6E6E6"/>
          </w:tcPr>
          <w:p>
            <w:pPr>
              <w:spacing w:after="0"/>
              <w:rPr>
                <w:sz w:val="18"/>
                <w:szCs w:val="18"/>
                <w:color w:val="auto"/>
              </w:rPr>
            </w:pPr>
          </w:p>
        </w:tc>
        <w:tc>
          <w:tcPr>
            <w:tcW w:w="980" w:type="dxa"/>
            <w:vAlign w:val="bottom"/>
            <w:shd w:val="clear" w:color="auto" w:fill="E6E6E6"/>
          </w:tcPr>
          <w:p>
            <w:pPr>
              <w:spacing w:after="0"/>
              <w:rPr>
                <w:sz w:val="18"/>
                <w:szCs w:val="18"/>
                <w:color w:val="auto"/>
              </w:rPr>
            </w:pPr>
          </w:p>
        </w:tc>
        <w:tc>
          <w:tcPr>
            <w:tcW w:w="200" w:type="dxa"/>
            <w:vAlign w:val="bottom"/>
            <w:shd w:val="clear" w:color="auto" w:fill="E6E6E6"/>
          </w:tcPr>
          <w:p>
            <w:pPr>
              <w:spacing w:after="0"/>
              <w:rPr>
                <w:sz w:val="18"/>
                <w:szCs w:val="18"/>
                <w:color w:val="auto"/>
              </w:rPr>
            </w:pPr>
          </w:p>
        </w:tc>
        <w:tc>
          <w:tcPr>
            <w:tcW w:w="940" w:type="dxa"/>
            <w:vAlign w:val="bottom"/>
            <w:shd w:val="clear" w:color="auto" w:fill="E6E6E6"/>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640" w:type="dxa"/>
            <w:vAlign w:val="bottom"/>
            <w:tcBorders>
              <w:bottom w:val="single" w:sz="8" w:color="808080"/>
            </w:tcBorders>
          </w:tcPr>
          <w:p>
            <w:pPr>
              <w:spacing w:after="0"/>
              <w:rPr>
                <w:sz w:val="9"/>
                <w:szCs w:val="9"/>
                <w:color w:val="auto"/>
              </w:rPr>
            </w:pPr>
          </w:p>
        </w:tc>
        <w:tc>
          <w:tcPr>
            <w:tcW w:w="230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04"/>
        </w:trPr>
        <w:tc>
          <w:tcPr>
            <w:tcW w:w="4660" w:type="dxa"/>
            <w:vAlign w:val="bottom"/>
            <w:gridSpan w:val="2"/>
          </w:tcPr>
          <w:p>
            <w:pPr>
              <w:spacing w:after="0"/>
              <w:rPr>
                <w:sz w:val="20"/>
                <w:szCs w:val="20"/>
                <w:color w:val="auto"/>
              </w:rPr>
            </w:pPr>
            <w:r>
              <w:rPr>
                <w:rFonts w:ascii="Arial" w:cs="Arial" w:eastAsia="Arial" w:hAnsi="Arial"/>
                <w:sz w:val="18"/>
                <w:szCs w:val="18"/>
                <w:color w:val="auto"/>
              </w:rPr>
              <w:t>Allowance for doubtful accounts</w:t>
            </w:r>
          </w:p>
        </w:tc>
        <w:tc>
          <w:tcPr>
            <w:tcW w:w="230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6"/>
              <w:spacing w:after="0"/>
              <w:rPr>
                <w:sz w:val="20"/>
                <w:szCs w:val="20"/>
                <w:color w:val="auto"/>
              </w:rPr>
            </w:pPr>
            <w:r>
              <w:rPr>
                <w:rFonts w:ascii="Arial" w:cs="Arial" w:eastAsia="Arial" w:hAnsi="Arial"/>
                <w:sz w:val="18"/>
                <w:szCs w:val="18"/>
                <w:color w:val="auto"/>
              </w:rPr>
              <w:t>13.8</w:t>
            </w:r>
          </w:p>
        </w:tc>
        <w:tc>
          <w:tcPr>
            <w:tcW w:w="3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8.6</w:t>
            </w:r>
          </w:p>
        </w:tc>
        <w:tc>
          <w:tcPr>
            <w:tcW w:w="3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38"/>
              <w:spacing w:after="0"/>
              <w:rPr>
                <w:sz w:val="20"/>
                <w:szCs w:val="20"/>
                <w:color w:val="auto"/>
              </w:rPr>
            </w:pPr>
            <w:r>
              <w:rPr>
                <w:rFonts w:ascii="Arial" w:cs="Arial" w:eastAsia="Arial" w:hAnsi="Arial"/>
                <w:sz w:val="18"/>
                <w:szCs w:val="18"/>
                <w:color w:val="auto"/>
              </w:rPr>
              <w:t>8.2</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5"/>
              <w:spacing w:after="0"/>
              <w:rPr>
                <w:sz w:val="20"/>
                <w:szCs w:val="20"/>
                <w:color w:val="auto"/>
              </w:rPr>
            </w:pPr>
            <w:r>
              <w:rPr>
                <w:rFonts w:ascii="Arial" w:cs="Arial" w:eastAsia="Arial" w:hAnsi="Arial"/>
                <w:sz w:val="18"/>
                <w:szCs w:val="18"/>
                <w:color w:val="auto"/>
              </w:rPr>
              <w:t>14.2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4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Reserve for returns</w:t>
            </w:r>
          </w:p>
        </w:tc>
        <w:tc>
          <w:tcPr>
            <w:tcW w:w="2300" w:type="dxa"/>
            <w:vAlign w:val="bottom"/>
            <w:shd w:val="clear" w:color="auto" w:fill="E6E6E6"/>
          </w:tcPr>
          <w:p>
            <w:pPr>
              <w:spacing w:after="0"/>
              <w:rPr>
                <w:sz w:val="17"/>
                <w:szCs w:val="17"/>
                <w:color w:val="auto"/>
              </w:rPr>
            </w:pPr>
          </w:p>
        </w:tc>
        <w:tc>
          <w:tcPr>
            <w:tcW w:w="820" w:type="dxa"/>
            <w:vAlign w:val="bottom"/>
            <w:shd w:val="clear" w:color="auto" w:fill="E6E6E6"/>
          </w:tcPr>
          <w:p>
            <w:pPr>
              <w:jc w:val="right"/>
              <w:ind w:right="36"/>
              <w:spacing w:after="0" w:line="202" w:lineRule="exact"/>
              <w:rPr>
                <w:sz w:val="20"/>
                <w:szCs w:val="20"/>
                <w:color w:val="auto"/>
              </w:rPr>
            </w:pPr>
            <w:r>
              <w:rPr>
                <w:rFonts w:ascii="Arial" w:cs="Arial" w:eastAsia="Arial" w:hAnsi="Arial"/>
                <w:sz w:val="18"/>
                <w:szCs w:val="18"/>
                <w:color w:val="auto"/>
              </w:rPr>
              <w:t>38.5</w:t>
            </w:r>
          </w:p>
        </w:tc>
        <w:tc>
          <w:tcPr>
            <w:tcW w:w="340" w:type="dxa"/>
            <w:vAlign w:val="bottom"/>
            <w:shd w:val="clear" w:color="auto" w:fill="E6E6E6"/>
          </w:tcPr>
          <w:p>
            <w:pPr>
              <w:spacing w:after="0"/>
              <w:rPr>
                <w:sz w:val="17"/>
                <w:szCs w:val="17"/>
                <w:color w:val="auto"/>
              </w:rPr>
            </w:pPr>
          </w:p>
        </w:tc>
        <w:tc>
          <w:tcPr>
            <w:tcW w:w="860" w:type="dxa"/>
            <w:vAlign w:val="bottom"/>
            <w:shd w:val="clear" w:color="auto" w:fill="E6E6E6"/>
          </w:tcPr>
          <w:p>
            <w:pPr>
              <w:jc w:val="right"/>
              <w:ind w:right="34"/>
              <w:spacing w:after="0" w:line="202" w:lineRule="exact"/>
              <w:rPr>
                <w:sz w:val="20"/>
                <w:szCs w:val="20"/>
                <w:color w:val="auto"/>
              </w:rPr>
            </w:pPr>
            <w:r>
              <w:rPr>
                <w:rFonts w:ascii="Arial" w:cs="Arial" w:eastAsia="Arial" w:hAnsi="Arial"/>
                <w:sz w:val="18"/>
                <w:szCs w:val="18"/>
                <w:color w:val="auto"/>
              </w:rPr>
              <w:t>94.5</w:t>
            </w:r>
          </w:p>
        </w:tc>
        <w:tc>
          <w:tcPr>
            <w:tcW w:w="320" w:type="dxa"/>
            <w:vAlign w:val="bottom"/>
            <w:shd w:val="clear" w:color="auto" w:fill="E6E6E6"/>
          </w:tcPr>
          <w:p>
            <w:pPr>
              <w:spacing w:after="0"/>
              <w:rPr>
                <w:sz w:val="17"/>
                <w:szCs w:val="17"/>
                <w:color w:val="auto"/>
              </w:rPr>
            </w:pPr>
          </w:p>
        </w:tc>
        <w:tc>
          <w:tcPr>
            <w:tcW w:w="980" w:type="dxa"/>
            <w:vAlign w:val="bottom"/>
            <w:shd w:val="clear" w:color="auto" w:fill="E6E6E6"/>
          </w:tcPr>
          <w:p>
            <w:pPr>
              <w:jc w:val="right"/>
              <w:spacing w:after="0" w:line="202" w:lineRule="exact"/>
              <w:rPr>
                <w:sz w:val="20"/>
                <w:szCs w:val="20"/>
                <w:color w:val="auto"/>
              </w:rPr>
            </w:pPr>
            <w:r>
              <w:rPr>
                <w:rFonts w:ascii="Arial" w:cs="Arial" w:eastAsia="Arial" w:hAnsi="Arial"/>
                <w:sz w:val="15"/>
                <w:szCs w:val="15"/>
                <w:color w:val="auto"/>
              </w:rPr>
              <w:t>92.7</w:t>
            </w:r>
            <w:r>
              <w:rPr>
                <w:rFonts w:ascii="Arial" w:cs="Arial" w:eastAsia="Arial" w:hAnsi="Arial"/>
                <w:sz w:val="23"/>
                <w:szCs w:val="23"/>
                <w:color w:val="auto"/>
                <w:vertAlign w:val="superscript"/>
              </w:rPr>
              <w:t>(1)</w:t>
            </w:r>
          </w:p>
        </w:tc>
        <w:tc>
          <w:tcPr>
            <w:tcW w:w="200" w:type="dxa"/>
            <w:vAlign w:val="bottom"/>
            <w:shd w:val="clear" w:color="auto" w:fill="E6E6E6"/>
          </w:tcPr>
          <w:p>
            <w:pPr>
              <w:spacing w:after="0"/>
              <w:rPr>
                <w:sz w:val="17"/>
                <w:szCs w:val="17"/>
                <w:color w:val="auto"/>
              </w:rPr>
            </w:pPr>
          </w:p>
        </w:tc>
        <w:tc>
          <w:tcPr>
            <w:tcW w:w="940" w:type="dxa"/>
            <w:vAlign w:val="bottom"/>
            <w:shd w:val="clear" w:color="auto" w:fill="E6E6E6"/>
          </w:tcPr>
          <w:p>
            <w:pPr>
              <w:jc w:val="right"/>
              <w:ind w:right="35"/>
              <w:spacing w:after="0" w:line="202" w:lineRule="exact"/>
              <w:rPr>
                <w:sz w:val="20"/>
                <w:szCs w:val="20"/>
                <w:color w:val="auto"/>
              </w:rPr>
            </w:pPr>
            <w:r>
              <w:rPr>
                <w:rFonts w:ascii="Arial" w:cs="Arial" w:eastAsia="Arial" w:hAnsi="Arial"/>
                <w:sz w:val="18"/>
                <w:szCs w:val="18"/>
                <w:color w:val="auto"/>
              </w:rPr>
              <w:t>40.3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60" w:type="dxa"/>
            <w:vAlign w:val="bottom"/>
            <w:gridSpan w:val="2"/>
          </w:tcPr>
          <w:p>
            <w:pPr>
              <w:spacing w:after="0" w:line="202" w:lineRule="exact"/>
              <w:rPr>
                <w:sz w:val="20"/>
                <w:szCs w:val="20"/>
                <w:color w:val="auto"/>
              </w:rPr>
            </w:pPr>
            <w:r>
              <w:rPr>
                <w:rFonts w:ascii="Arial" w:cs="Arial" w:eastAsia="Arial" w:hAnsi="Arial"/>
                <w:sz w:val="18"/>
                <w:szCs w:val="18"/>
                <w:color w:val="auto"/>
              </w:rPr>
              <w:t>Reserves for obsolescence</w:t>
            </w:r>
          </w:p>
        </w:tc>
        <w:tc>
          <w:tcPr>
            <w:tcW w:w="2300" w:type="dxa"/>
            <w:vAlign w:val="bottom"/>
          </w:tcPr>
          <w:p>
            <w:pPr>
              <w:spacing w:after="0"/>
              <w:rPr>
                <w:sz w:val="17"/>
                <w:szCs w:val="17"/>
                <w:color w:val="auto"/>
              </w:rPr>
            </w:pPr>
          </w:p>
        </w:tc>
        <w:tc>
          <w:tcPr>
            <w:tcW w:w="820" w:type="dxa"/>
            <w:vAlign w:val="bottom"/>
          </w:tcPr>
          <w:p>
            <w:pPr>
              <w:jc w:val="right"/>
              <w:ind w:right="36"/>
              <w:spacing w:after="0" w:line="202" w:lineRule="exact"/>
              <w:rPr>
                <w:sz w:val="20"/>
                <w:szCs w:val="20"/>
                <w:color w:val="auto"/>
              </w:rPr>
            </w:pPr>
            <w:r>
              <w:rPr>
                <w:rFonts w:ascii="Arial" w:cs="Arial" w:eastAsia="Arial" w:hAnsi="Arial"/>
                <w:sz w:val="18"/>
                <w:szCs w:val="18"/>
                <w:color w:val="auto"/>
              </w:rPr>
              <w:t>57.4</w:t>
            </w:r>
          </w:p>
        </w:tc>
        <w:tc>
          <w:tcPr>
            <w:tcW w:w="340" w:type="dxa"/>
            <w:vAlign w:val="bottom"/>
          </w:tcPr>
          <w:p>
            <w:pPr>
              <w:spacing w:after="0"/>
              <w:rPr>
                <w:sz w:val="17"/>
                <w:szCs w:val="17"/>
                <w:color w:val="auto"/>
              </w:rPr>
            </w:pPr>
          </w:p>
        </w:tc>
        <w:tc>
          <w:tcPr>
            <w:tcW w:w="8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29.4</w:t>
            </w:r>
          </w:p>
        </w:tc>
        <w:tc>
          <w:tcPr>
            <w:tcW w:w="320" w:type="dxa"/>
            <w:vAlign w:val="bottom"/>
          </w:tcPr>
          <w:p>
            <w:pPr>
              <w:spacing w:after="0"/>
              <w:rPr>
                <w:sz w:val="17"/>
                <w:szCs w:val="17"/>
                <w:color w:val="auto"/>
              </w:rPr>
            </w:pPr>
          </w:p>
        </w:tc>
        <w:tc>
          <w:tcPr>
            <w:tcW w:w="980" w:type="dxa"/>
            <w:vAlign w:val="bottom"/>
          </w:tcPr>
          <w:p>
            <w:pPr>
              <w:jc w:val="right"/>
              <w:ind w:right="138"/>
              <w:spacing w:after="0" w:line="202" w:lineRule="exact"/>
              <w:rPr>
                <w:sz w:val="20"/>
                <w:szCs w:val="20"/>
                <w:color w:val="auto"/>
              </w:rPr>
            </w:pPr>
            <w:r>
              <w:rPr>
                <w:rFonts w:ascii="Arial" w:cs="Arial" w:eastAsia="Arial" w:hAnsi="Arial"/>
                <w:sz w:val="18"/>
                <w:szCs w:val="18"/>
                <w:color w:val="auto"/>
              </w:rPr>
              <w:t>17.6</w:t>
            </w:r>
          </w:p>
        </w:tc>
        <w:tc>
          <w:tcPr>
            <w:tcW w:w="200" w:type="dxa"/>
            <w:vAlign w:val="bottom"/>
          </w:tcPr>
          <w:p>
            <w:pPr>
              <w:spacing w:after="0"/>
              <w:rPr>
                <w:sz w:val="17"/>
                <w:szCs w:val="17"/>
                <w:color w:val="auto"/>
              </w:rPr>
            </w:pPr>
          </w:p>
        </w:tc>
        <w:tc>
          <w:tcPr>
            <w:tcW w:w="940" w:type="dxa"/>
            <w:vAlign w:val="bottom"/>
          </w:tcPr>
          <w:p>
            <w:pPr>
              <w:jc w:val="right"/>
              <w:ind w:right="35"/>
              <w:spacing w:after="0" w:line="202" w:lineRule="exact"/>
              <w:rPr>
                <w:sz w:val="20"/>
                <w:szCs w:val="20"/>
                <w:color w:val="auto"/>
              </w:rPr>
            </w:pPr>
            <w:r>
              <w:rPr>
                <w:rFonts w:ascii="Arial" w:cs="Arial" w:eastAsia="Arial" w:hAnsi="Arial"/>
                <w:sz w:val="18"/>
                <w:szCs w:val="18"/>
                <w:color w:val="auto"/>
              </w:rPr>
              <w:t>69.2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4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Reserve for royalty advances</w:t>
            </w:r>
          </w:p>
        </w:tc>
        <w:tc>
          <w:tcPr>
            <w:tcW w:w="2300" w:type="dxa"/>
            <w:vAlign w:val="bottom"/>
            <w:shd w:val="clear" w:color="auto" w:fill="E6E6E6"/>
          </w:tcPr>
          <w:p>
            <w:pPr>
              <w:spacing w:after="0"/>
              <w:rPr>
                <w:sz w:val="17"/>
                <w:szCs w:val="17"/>
                <w:color w:val="auto"/>
              </w:rPr>
            </w:pPr>
          </w:p>
        </w:tc>
        <w:tc>
          <w:tcPr>
            <w:tcW w:w="820" w:type="dxa"/>
            <w:vAlign w:val="bottom"/>
            <w:shd w:val="clear" w:color="auto" w:fill="E6E6E6"/>
          </w:tcPr>
          <w:p>
            <w:pPr>
              <w:jc w:val="right"/>
              <w:ind w:right="36"/>
              <w:spacing w:after="0" w:line="202" w:lineRule="exact"/>
              <w:rPr>
                <w:sz w:val="20"/>
                <w:szCs w:val="20"/>
                <w:color w:val="auto"/>
              </w:rPr>
            </w:pPr>
            <w:r>
              <w:rPr>
                <w:rFonts w:ascii="Arial" w:cs="Arial" w:eastAsia="Arial" w:hAnsi="Arial"/>
                <w:sz w:val="18"/>
                <w:szCs w:val="18"/>
                <w:color w:val="auto"/>
              </w:rPr>
              <w:t>58.4</w:t>
            </w:r>
          </w:p>
        </w:tc>
        <w:tc>
          <w:tcPr>
            <w:tcW w:w="340" w:type="dxa"/>
            <w:vAlign w:val="bottom"/>
            <w:shd w:val="clear" w:color="auto" w:fill="E6E6E6"/>
          </w:tcPr>
          <w:p>
            <w:pPr>
              <w:spacing w:after="0"/>
              <w:rPr>
                <w:sz w:val="17"/>
                <w:szCs w:val="17"/>
                <w:color w:val="auto"/>
              </w:rPr>
            </w:pPr>
          </w:p>
        </w:tc>
        <w:tc>
          <w:tcPr>
            <w:tcW w:w="860" w:type="dxa"/>
            <w:vAlign w:val="bottom"/>
            <w:shd w:val="clear" w:color="auto" w:fill="E6E6E6"/>
          </w:tcPr>
          <w:p>
            <w:pPr>
              <w:jc w:val="right"/>
              <w:ind w:right="34"/>
              <w:spacing w:after="0" w:line="202" w:lineRule="exact"/>
              <w:rPr>
                <w:sz w:val="20"/>
                <w:szCs w:val="20"/>
                <w:color w:val="auto"/>
              </w:rPr>
            </w:pPr>
            <w:r>
              <w:rPr>
                <w:rFonts w:ascii="Arial" w:cs="Arial" w:eastAsia="Arial" w:hAnsi="Arial"/>
                <w:sz w:val="18"/>
                <w:szCs w:val="18"/>
                <w:color w:val="auto"/>
              </w:rPr>
              <w:t>6.8</w:t>
            </w:r>
          </w:p>
        </w:tc>
        <w:tc>
          <w:tcPr>
            <w:tcW w:w="320" w:type="dxa"/>
            <w:vAlign w:val="bottom"/>
            <w:shd w:val="clear" w:color="auto" w:fill="E6E6E6"/>
          </w:tcPr>
          <w:p>
            <w:pPr>
              <w:spacing w:after="0"/>
              <w:rPr>
                <w:sz w:val="17"/>
                <w:szCs w:val="17"/>
                <w:color w:val="auto"/>
              </w:rPr>
            </w:pPr>
          </w:p>
        </w:tc>
        <w:tc>
          <w:tcPr>
            <w:tcW w:w="980" w:type="dxa"/>
            <w:vAlign w:val="bottom"/>
            <w:shd w:val="clear" w:color="auto" w:fill="E6E6E6"/>
          </w:tcPr>
          <w:p>
            <w:pPr>
              <w:jc w:val="right"/>
              <w:ind w:right="138"/>
              <w:spacing w:after="0" w:line="202" w:lineRule="exact"/>
              <w:rPr>
                <w:sz w:val="20"/>
                <w:szCs w:val="20"/>
                <w:color w:val="auto"/>
              </w:rPr>
            </w:pPr>
            <w:r>
              <w:rPr>
                <w:rFonts w:ascii="Arial" w:cs="Arial" w:eastAsia="Arial" w:hAnsi="Arial"/>
                <w:sz w:val="18"/>
                <w:szCs w:val="18"/>
                <w:color w:val="auto"/>
              </w:rPr>
              <w:t>1.2</w:t>
            </w:r>
          </w:p>
        </w:tc>
        <w:tc>
          <w:tcPr>
            <w:tcW w:w="200" w:type="dxa"/>
            <w:vAlign w:val="bottom"/>
            <w:shd w:val="clear" w:color="auto" w:fill="E6E6E6"/>
          </w:tcPr>
          <w:p>
            <w:pPr>
              <w:spacing w:after="0"/>
              <w:rPr>
                <w:sz w:val="17"/>
                <w:szCs w:val="17"/>
                <w:color w:val="auto"/>
              </w:rPr>
            </w:pPr>
          </w:p>
        </w:tc>
        <w:tc>
          <w:tcPr>
            <w:tcW w:w="940" w:type="dxa"/>
            <w:vAlign w:val="bottom"/>
            <w:shd w:val="clear" w:color="auto" w:fill="E6E6E6"/>
          </w:tcPr>
          <w:p>
            <w:pPr>
              <w:jc w:val="right"/>
              <w:ind w:right="35"/>
              <w:spacing w:after="0" w:line="202" w:lineRule="exact"/>
              <w:rPr>
                <w:sz w:val="20"/>
                <w:szCs w:val="20"/>
                <w:color w:val="auto"/>
              </w:rPr>
            </w:pPr>
            <w:r>
              <w:rPr>
                <w:rFonts w:ascii="Arial" w:cs="Arial" w:eastAsia="Arial" w:hAnsi="Arial"/>
                <w:sz w:val="18"/>
                <w:szCs w:val="18"/>
                <w:color w:val="auto"/>
              </w:rPr>
              <w:t>64.0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640" w:type="dxa"/>
            <w:vAlign w:val="bottom"/>
            <w:tcBorders>
              <w:bottom w:val="single" w:sz="8" w:color="808080"/>
            </w:tcBorders>
          </w:tcPr>
          <w:p>
            <w:pPr>
              <w:spacing w:after="0"/>
              <w:rPr>
                <w:sz w:val="9"/>
                <w:szCs w:val="9"/>
                <w:color w:val="auto"/>
              </w:rPr>
            </w:pPr>
          </w:p>
        </w:tc>
        <w:tc>
          <w:tcPr>
            <w:tcW w:w="230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ind w:left="540" w:hanging="532"/>
        <w:spacing w:after="0"/>
        <w:tabs>
          <w:tab w:leader="none" w:pos="5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Represents actual returns charged to the reserve.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2663825</wp:posOffset>
            </wp:positionH>
            <wp:positionV relativeFrom="paragraph">
              <wp:posOffset>129540</wp:posOffset>
            </wp:positionV>
            <wp:extent cx="1929765" cy="231775"/>
            <wp:wrapNone/>
            <wp:docPr id="894" name="Picture 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4"/>
                    <pic:cNvPicPr>
                      <a:picLocks noChangeAspect="1" noChangeArrowheads="1"/>
                    </pic:cNvPicPr>
                  </pic:nvPicPr>
                  <pic:blipFill>
                    <a:blip r:embed="rId901">
                      <a:extLst>
                        <a:ext uri="{28A0092B-C50C-407E-A947-70E740481C1C}"/>
                      </a:extLst>
                    </a:blip>
                    <a:srcRect/>
                    <a:stretch>
                      <a:fillRect/>
                    </a:stretch>
                  </pic:blipFill>
                  <pic:spPr bwMode="auto">
                    <a:xfrm>
                      <a:off x="0" y="0"/>
                      <a:ext cx="1929765"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38735"/>
            <wp:wrapNone/>
            <wp:docPr id="895" name="Picture 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5"/>
                    <pic:cNvPicPr>
                      <a:picLocks noChangeAspect="1" noChangeArrowheads="1"/>
                    </pic:cNvPicPr>
                  </pic:nvPicPr>
                  <pic:blipFill>
                    <a:blip r:embed="rId90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40"/>
          </w:cols>
          <w:pgMar w:left="240" w:top="801" w:right="219" w:bottom="1440" w:gutter="0" w:footer="0" w:header="0"/>
        </w:sectPr>
      </w:pPr>
    </w:p>
    <w:bookmarkStart w:id="92" w:name="page93"/>
    <w:bookmarkEnd w:id="92"/>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6240" w:type="dxa"/>
            <w:vAlign w:val="bottom"/>
          </w:tcPr>
          <w:p>
            <w:pPr>
              <w:spacing w:after="0"/>
              <w:rPr>
                <w:sz w:val="19"/>
                <w:szCs w:val="19"/>
                <w:color w:val="auto"/>
              </w:rPr>
            </w:pPr>
          </w:p>
        </w:tc>
        <w:tc>
          <w:tcPr>
            <w:tcW w:w="2480" w:type="dxa"/>
            <w:vAlign w:val="bottom"/>
          </w:tcPr>
          <w:p>
            <w:pPr>
              <w:ind w:left="1660"/>
              <w:spacing w:after="0"/>
              <w:rPr>
                <w:sz w:val="20"/>
                <w:szCs w:val="20"/>
                <w:color w:val="auto"/>
              </w:rPr>
            </w:pPr>
            <w:r>
              <w:rPr>
                <w:rFonts w:ascii="Arial" w:cs="Arial" w:eastAsia="Arial" w:hAnsi="Arial"/>
                <w:sz w:val="18"/>
                <w:szCs w:val="18"/>
                <w:b w:val="1"/>
                <w:bCs w:val="1"/>
                <w:color w:val="auto"/>
                <w:w w:val="94"/>
              </w:rPr>
              <w:t>Exhibit 21</w:t>
            </w:r>
          </w:p>
        </w:tc>
      </w:tr>
      <w:tr>
        <w:trPr>
          <w:trHeight w:val="420"/>
        </w:trPr>
        <w:tc>
          <w:tcPr>
            <w:tcW w:w="2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6240" w:type="dxa"/>
            <w:vAlign w:val="bottom"/>
          </w:tcPr>
          <w:p>
            <w:pPr>
              <w:jc w:val="center"/>
              <w:ind w:right="192"/>
              <w:spacing w:after="0"/>
              <w:rPr>
                <w:sz w:val="20"/>
                <w:szCs w:val="20"/>
                <w:color w:val="auto"/>
              </w:rPr>
            </w:pPr>
            <w:r>
              <w:rPr>
                <w:rFonts w:ascii="Arial" w:cs="Arial" w:eastAsia="Arial" w:hAnsi="Arial"/>
                <w:sz w:val="18"/>
                <w:szCs w:val="18"/>
                <w:b w:val="1"/>
                <w:bCs w:val="1"/>
                <w:color w:val="auto"/>
                <w:w w:val="98"/>
              </w:rPr>
              <w:t>SCHOLASTIC CORPORATION</w:t>
            </w:r>
          </w:p>
        </w:tc>
        <w:tc>
          <w:tcPr>
            <w:tcW w:w="2480" w:type="dxa"/>
            <w:vAlign w:val="bottom"/>
          </w:tcPr>
          <w:p>
            <w:pPr>
              <w:spacing w:after="0"/>
              <w:rPr>
                <w:sz w:val="24"/>
                <w:szCs w:val="24"/>
                <w:color w:val="auto"/>
              </w:rPr>
            </w:pPr>
          </w:p>
        </w:tc>
      </w:tr>
      <w:tr>
        <w:trPr>
          <w:trHeight w:val="228"/>
        </w:trPr>
        <w:tc>
          <w:tcPr>
            <w:tcW w:w="2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6240" w:type="dxa"/>
            <w:vAlign w:val="bottom"/>
          </w:tcPr>
          <w:p>
            <w:pPr>
              <w:jc w:val="center"/>
              <w:ind w:right="192"/>
              <w:spacing w:after="0"/>
              <w:rPr>
                <w:sz w:val="20"/>
                <w:szCs w:val="20"/>
                <w:color w:val="auto"/>
              </w:rPr>
            </w:pPr>
            <w:r>
              <w:rPr>
                <w:rFonts w:ascii="Arial" w:cs="Arial" w:eastAsia="Arial" w:hAnsi="Arial"/>
                <w:sz w:val="18"/>
                <w:szCs w:val="18"/>
                <w:b w:val="1"/>
                <w:bCs w:val="1"/>
                <w:color w:val="auto"/>
                <w:w w:val="98"/>
              </w:rPr>
              <w:t>SUBSIDIARY LIST</w:t>
            </w:r>
          </w:p>
        </w:tc>
        <w:tc>
          <w:tcPr>
            <w:tcW w:w="2480" w:type="dxa"/>
            <w:vAlign w:val="bottom"/>
          </w:tcPr>
          <w:p>
            <w:pPr>
              <w:spacing w:after="0"/>
              <w:rPr>
                <w:sz w:val="19"/>
                <w:szCs w:val="19"/>
                <w:color w:val="auto"/>
              </w:rPr>
            </w:pPr>
          </w:p>
        </w:tc>
      </w:tr>
      <w:tr>
        <w:trPr>
          <w:trHeight w:val="257"/>
        </w:trPr>
        <w:tc>
          <w:tcPr>
            <w:tcW w:w="20" w:type="dxa"/>
            <w:vAlign w:val="bottom"/>
          </w:tcPr>
          <w:p>
            <w:pPr>
              <w:spacing w:after="0"/>
              <w:rPr>
                <w:sz w:val="22"/>
                <w:szCs w:val="22"/>
                <w:color w:val="auto"/>
              </w:rPr>
            </w:pPr>
          </w:p>
        </w:tc>
        <w:tc>
          <w:tcPr>
            <w:tcW w:w="2720" w:type="dxa"/>
            <w:vAlign w:val="bottom"/>
          </w:tcPr>
          <w:p>
            <w:pPr>
              <w:spacing w:after="0"/>
              <w:rPr>
                <w:sz w:val="22"/>
                <w:szCs w:val="22"/>
                <w:color w:val="auto"/>
              </w:rPr>
            </w:pPr>
          </w:p>
        </w:tc>
        <w:tc>
          <w:tcPr>
            <w:tcW w:w="6240" w:type="dxa"/>
            <w:vAlign w:val="bottom"/>
          </w:tcPr>
          <w:p>
            <w:pPr>
              <w:jc w:val="center"/>
              <w:ind w:right="192"/>
              <w:spacing w:after="0"/>
              <w:rPr>
                <w:sz w:val="20"/>
                <w:szCs w:val="20"/>
                <w:color w:val="auto"/>
              </w:rPr>
            </w:pPr>
            <w:r>
              <w:rPr>
                <w:rFonts w:ascii="Arial" w:cs="Arial" w:eastAsia="Arial" w:hAnsi="Arial"/>
                <w:sz w:val="18"/>
                <w:szCs w:val="18"/>
                <w:b w:val="1"/>
                <w:bCs w:val="1"/>
                <w:color w:val="auto"/>
                <w:w w:val="87"/>
              </w:rPr>
              <w:t>(subsidiaries are indented under its direct parent)</w:t>
            </w:r>
          </w:p>
        </w:tc>
        <w:tc>
          <w:tcPr>
            <w:tcW w:w="2480" w:type="dxa"/>
            <w:vAlign w:val="bottom"/>
          </w:tcPr>
          <w:p>
            <w:pPr>
              <w:spacing w:after="0"/>
              <w:rPr>
                <w:sz w:val="22"/>
                <w:szCs w:val="22"/>
                <w:color w:val="auto"/>
              </w:rPr>
            </w:pPr>
          </w:p>
        </w:tc>
      </w:tr>
      <w:tr>
        <w:trPr>
          <w:trHeight w:val="264"/>
        </w:trPr>
        <w:tc>
          <w:tcPr>
            <w:tcW w:w="8980" w:type="dxa"/>
            <w:vAlign w:val="bottom"/>
            <w:gridSpan w:val="3"/>
          </w:tcPr>
          <w:p>
            <w:pPr>
              <w:spacing w:after="0"/>
              <w:rPr>
                <w:sz w:val="20"/>
                <w:szCs w:val="20"/>
                <w:color w:val="auto"/>
              </w:rPr>
            </w:pPr>
            <w:r>
              <w:rPr>
                <w:rFonts w:ascii="Arial" w:cs="Arial" w:eastAsia="Arial" w:hAnsi="Arial"/>
                <w:sz w:val="18"/>
                <w:szCs w:val="18"/>
                <w:color w:val="auto"/>
              </w:rPr>
              <w:t>Scholastic Inc.</w:t>
            </w:r>
          </w:p>
        </w:tc>
        <w:tc>
          <w:tcPr>
            <w:tcW w:w="2480" w:type="dxa"/>
            <w:vAlign w:val="bottom"/>
          </w:tcPr>
          <w:p>
            <w:pPr>
              <w:ind w:left="1420"/>
              <w:spacing w:after="0"/>
              <w:rPr>
                <w:sz w:val="20"/>
                <w:szCs w:val="20"/>
                <w:color w:val="auto"/>
              </w:rPr>
            </w:pPr>
            <w:r>
              <w:rPr>
                <w:rFonts w:ascii="Arial" w:cs="Arial" w:eastAsia="Arial" w:hAnsi="Arial"/>
                <w:sz w:val="18"/>
                <w:szCs w:val="18"/>
                <w:color w:val="auto"/>
              </w:rPr>
              <w:t>New York</w:t>
            </w:r>
          </w:p>
        </w:tc>
      </w:tr>
      <w:tr>
        <w:trPr>
          <w:trHeight w:val="216"/>
        </w:trPr>
        <w:tc>
          <w:tcPr>
            <w:tcW w:w="20" w:type="dxa"/>
            <w:vAlign w:val="bottom"/>
          </w:tcPr>
          <w:p>
            <w:pPr>
              <w:spacing w:after="0"/>
              <w:rPr>
                <w:sz w:val="18"/>
                <w:szCs w:val="18"/>
                <w:color w:val="auto"/>
              </w:rPr>
            </w:pPr>
          </w:p>
        </w:tc>
        <w:tc>
          <w:tcPr>
            <w:tcW w:w="8960" w:type="dxa"/>
            <w:vAlign w:val="bottom"/>
            <w:gridSpan w:val="2"/>
          </w:tcPr>
          <w:p>
            <w:pPr>
              <w:ind w:left="440"/>
              <w:spacing w:after="0"/>
              <w:rPr>
                <w:sz w:val="20"/>
                <w:szCs w:val="20"/>
                <w:color w:val="auto"/>
              </w:rPr>
            </w:pPr>
            <w:r>
              <w:rPr>
                <w:rFonts w:ascii="Arial" w:cs="Arial" w:eastAsia="Arial" w:hAnsi="Arial"/>
                <w:sz w:val="18"/>
                <w:szCs w:val="18"/>
                <w:color w:val="auto"/>
              </w:rPr>
              <w:t>Scholastic Book Clubs, Inc.</w:t>
            </w:r>
          </w:p>
        </w:tc>
        <w:tc>
          <w:tcPr>
            <w:tcW w:w="2480" w:type="dxa"/>
            <w:vAlign w:val="bottom"/>
          </w:tcPr>
          <w:p>
            <w:pPr>
              <w:ind w:left="1420"/>
              <w:spacing w:after="0"/>
              <w:rPr>
                <w:sz w:val="20"/>
                <w:szCs w:val="20"/>
                <w:color w:val="auto"/>
              </w:rPr>
            </w:pPr>
            <w:r>
              <w:rPr>
                <w:rFonts w:ascii="Arial" w:cs="Arial" w:eastAsia="Arial" w:hAnsi="Arial"/>
                <w:sz w:val="18"/>
                <w:szCs w:val="18"/>
                <w:color w:val="auto"/>
              </w:rPr>
              <w:t>Missouri</w:t>
            </w:r>
          </w:p>
        </w:tc>
      </w:tr>
      <w:tr>
        <w:trPr>
          <w:trHeight w:val="216"/>
        </w:trPr>
        <w:tc>
          <w:tcPr>
            <w:tcW w:w="20" w:type="dxa"/>
            <w:vAlign w:val="bottom"/>
          </w:tcPr>
          <w:p>
            <w:pPr>
              <w:spacing w:after="0"/>
              <w:rPr>
                <w:sz w:val="18"/>
                <w:szCs w:val="18"/>
                <w:color w:val="auto"/>
              </w:rPr>
            </w:pPr>
          </w:p>
        </w:tc>
        <w:tc>
          <w:tcPr>
            <w:tcW w:w="8960" w:type="dxa"/>
            <w:vAlign w:val="bottom"/>
            <w:gridSpan w:val="2"/>
          </w:tcPr>
          <w:p>
            <w:pPr>
              <w:ind w:left="760"/>
              <w:spacing w:after="0"/>
              <w:rPr>
                <w:sz w:val="20"/>
                <w:szCs w:val="20"/>
                <w:color w:val="auto"/>
              </w:rPr>
            </w:pPr>
            <w:r>
              <w:rPr>
                <w:rFonts w:ascii="Arial" w:cs="Arial" w:eastAsia="Arial" w:hAnsi="Arial"/>
                <w:sz w:val="18"/>
                <w:szCs w:val="18"/>
                <w:color w:val="auto"/>
              </w:rPr>
              <w:t>Scholastic Operations Group L.L.C.</w:t>
            </w:r>
          </w:p>
        </w:tc>
        <w:tc>
          <w:tcPr>
            <w:tcW w:w="2480" w:type="dxa"/>
            <w:vAlign w:val="bottom"/>
          </w:tcPr>
          <w:p>
            <w:pPr>
              <w:ind w:left="1420"/>
              <w:spacing w:after="0"/>
              <w:rPr>
                <w:sz w:val="20"/>
                <w:szCs w:val="20"/>
                <w:color w:val="auto"/>
              </w:rPr>
            </w:pPr>
            <w:r>
              <w:rPr>
                <w:rFonts w:ascii="Arial" w:cs="Arial" w:eastAsia="Arial" w:hAnsi="Arial"/>
                <w:sz w:val="18"/>
                <w:szCs w:val="18"/>
                <w:color w:val="auto"/>
              </w:rPr>
              <w:t>Delaware</w:t>
            </w:r>
          </w:p>
        </w:tc>
      </w:tr>
      <w:tr>
        <w:trPr>
          <w:trHeight w:val="216"/>
        </w:trPr>
        <w:tc>
          <w:tcPr>
            <w:tcW w:w="20" w:type="dxa"/>
            <w:vAlign w:val="bottom"/>
          </w:tcPr>
          <w:p>
            <w:pPr>
              <w:spacing w:after="0"/>
              <w:rPr>
                <w:sz w:val="18"/>
                <w:szCs w:val="18"/>
                <w:color w:val="auto"/>
              </w:rPr>
            </w:pPr>
          </w:p>
        </w:tc>
        <w:tc>
          <w:tcPr>
            <w:tcW w:w="8960" w:type="dxa"/>
            <w:vAlign w:val="bottom"/>
            <w:gridSpan w:val="2"/>
          </w:tcPr>
          <w:p>
            <w:pPr>
              <w:ind w:left="440"/>
              <w:spacing w:after="0"/>
              <w:rPr>
                <w:sz w:val="20"/>
                <w:szCs w:val="20"/>
                <w:color w:val="auto"/>
              </w:rPr>
            </w:pPr>
            <w:r>
              <w:rPr>
                <w:rFonts w:ascii="Arial" w:cs="Arial" w:eastAsia="Arial" w:hAnsi="Arial"/>
                <w:sz w:val="18"/>
                <w:szCs w:val="18"/>
                <w:color w:val="auto"/>
              </w:rPr>
              <w:t>Scholastic Entertainment Inc.</w:t>
            </w:r>
          </w:p>
        </w:tc>
        <w:tc>
          <w:tcPr>
            <w:tcW w:w="2480" w:type="dxa"/>
            <w:vAlign w:val="bottom"/>
          </w:tcPr>
          <w:p>
            <w:pPr>
              <w:ind w:left="1420"/>
              <w:spacing w:after="0"/>
              <w:rPr>
                <w:sz w:val="20"/>
                <w:szCs w:val="20"/>
                <w:color w:val="auto"/>
              </w:rPr>
            </w:pPr>
            <w:r>
              <w:rPr>
                <w:rFonts w:ascii="Arial" w:cs="Arial" w:eastAsia="Arial" w:hAnsi="Arial"/>
                <w:sz w:val="18"/>
                <w:szCs w:val="18"/>
                <w:color w:val="auto"/>
              </w:rPr>
              <w:t>New York</w:t>
            </w:r>
          </w:p>
        </w:tc>
      </w:tr>
      <w:tr>
        <w:trPr>
          <w:trHeight w:val="216"/>
        </w:trPr>
        <w:tc>
          <w:tcPr>
            <w:tcW w:w="20" w:type="dxa"/>
            <w:vAlign w:val="bottom"/>
          </w:tcPr>
          <w:p>
            <w:pPr>
              <w:spacing w:after="0"/>
              <w:rPr>
                <w:sz w:val="18"/>
                <w:szCs w:val="18"/>
                <w:color w:val="auto"/>
              </w:rPr>
            </w:pPr>
          </w:p>
        </w:tc>
        <w:tc>
          <w:tcPr>
            <w:tcW w:w="8960" w:type="dxa"/>
            <w:vAlign w:val="bottom"/>
            <w:gridSpan w:val="2"/>
          </w:tcPr>
          <w:p>
            <w:pPr>
              <w:ind w:left="760"/>
              <w:spacing w:after="0"/>
              <w:rPr>
                <w:sz w:val="20"/>
                <w:szCs w:val="20"/>
                <w:color w:val="auto"/>
              </w:rPr>
            </w:pPr>
            <w:r>
              <w:rPr>
                <w:rFonts w:ascii="Arial" w:cs="Arial" w:eastAsia="Arial" w:hAnsi="Arial"/>
                <w:sz w:val="18"/>
                <w:szCs w:val="18"/>
                <w:color w:val="auto"/>
              </w:rPr>
              <w:t>SE Distribution Inc.</w:t>
            </w:r>
          </w:p>
        </w:tc>
        <w:tc>
          <w:tcPr>
            <w:tcW w:w="2480" w:type="dxa"/>
            <w:vAlign w:val="bottom"/>
          </w:tcPr>
          <w:p>
            <w:pPr>
              <w:ind w:left="1420"/>
              <w:spacing w:after="0"/>
              <w:rPr>
                <w:sz w:val="20"/>
                <w:szCs w:val="20"/>
                <w:color w:val="auto"/>
              </w:rPr>
            </w:pPr>
            <w:r>
              <w:rPr>
                <w:rFonts w:ascii="Arial" w:cs="Arial" w:eastAsia="Arial" w:hAnsi="Arial"/>
                <w:sz w:val="18"/>
                <w:szCs w:val="18"/>
                <w:color w:val="auto"/>
              </w:rPr>
              <w:t>Delaware</w:t>
            </w:r>
          </w:p>
        </w:tc>
      </w:tr>
      <w:tr>
        <w:trPr>
          <w:trHeight w:val="216"/>
        </w:trPr>
        <w:tc>
          <w:tcPr>
            <w:tcW w:w="20" w:type="dxa"/>
            <w:vAlign w:val="bottom"/>
          </w:tcPr>
          <w:p>
            <w:pPr>
              <w:spacing w:after="0"/>
              <w:rPr>
                <w:sz w:val="18"/>
                <w:szCs w:val="18"/>
                <w:color w:val="auto"/>
              </w:rPr>
            </w:pPr>
          </w:p>
        </w:tc>
        <w:tc>
          <w:tcPr>
            <w:tcW w:w="8960" w:type="dxa"/>
            <w:vAlign w:val="bottom"/>
            <w:gridSpan w:val="2"/>
          </w:tcPr>
          <w:p>
            <w:pPr>
              <w:ind w:left="760"/>
              <w:spacing w:after="0"/>
              <w:rPr>
                <w:sz w:val="20"/>
                <w:szCs w:val="20"/>
                <w:color w:val="auto"/>
              </w:rPr>
            </w:pPr>
            <w:r>
              <w:rPr>
                <w:rFonts w:ascii="Arial" w:cs="Arial" w:eastAsia="Arial" w:hAnsi="Arial"/>
                <w:sz w:val="18"/>
                <w:szCs w:val="18"/>
                <w:color w:val="auto"/>
              </w:rPr>
              <w:t>524 Films L.L.C.</w:t>
            </w:r>
          </w:p>
        </w:tc>
        <w:tc>
          <w:tcPr>
            <w:tcW w:w="2480" w:type="dxa"/>
            <w:vAlign w:val="bottom"/>
          </w:tcPr>
          <w:p>
            <w:pPr>
              <w:ind w:left="1420"/>
              <w:spacing w:after="0"/>
              <w:rPr>
                <w:sz w:val="20"/>
                <w:szCs w:val="20"/>
                <w:color w:val="auto"/>
              </w:rPr>
            </w:pPr>
            <w:r>
              <w:rPr>
                <w:rFonts w:ascii="Arial" w:cs="Arial" w:eastAsia="Arial" w:hAnsi="Arial"/>
                <w:sz w:val="18"/>
                <w:szCs w:val="18"/>
                <w:color w:val="auto"/>
              </w:rPr>
              <w:t>Delaware</w:t>
            </w:r>
          </w:p>
        </w:tc>
      </w:tr>
      <w:tr>
        <w:trPr>
          <w:trHeight w:val="216"/>
        </w:trPr>
        <w:tc>
          <w:tcPr>
            <w:tcW w:w="20" w:type="dxa"/>
            <w:vAlign w:val="bottom"/>
          </w:tcPr>
          <w:p>
            <w:pPr>
              <w:spacing w:after="0"/>
              <w:rPr>
                <w:sz w:val="18"/>
                <w:szCs w:val="18"/>
                <w:color w:val="auto"/>
              </w:rPr>
            </w:pPr>
          </w:p>
        </w:tc>
        <w:tc>
          <w:tcPr>
            <w:tcW w:w="8960" w:type="dxa"/>
            <w:vAlign w:val="bottom"/>
            <w:gridSpan w:val="2"/>
          </w:tcPr>
          <w:p>
            <w:pPr>
              <w:ind w:left="760"/>
              <w:spacing w:after="0"/>
              <w:rPr>
                <w:sz w:val="20"/>
                <w:szCs w:val="20"/>
                <w:color w:val="auto"/>
              </w:rPr>
            </w:pPr>
            <w:r>
              <w:rPr>
                <w:rFonts w:ascii="Arial" w:cs="Arial" w:eastAsia="Arial" w:hAnsi="Arial"/>
                <w:sz w:val="18"/>
                <w:szCs w:val="18"/>
                <w:color w:val="auto"/>
              </w:rPr>
              <w:t>Retroranch LLC</w:t>
            </w:r>
          </w:p>
        </w:tc>
        <w:tc>
          <w:tcPr>
            <w:tcW w:w="2480" w:type="dxa"/>
            <w:vAlign w:val="bottom"/>
          </w:tcPr>
          <w:p>
            <w:pPr>
              <w:ind w:left="1420"/>
              <w:spacing w:after="0"/>
              <w:rPr>
                <w:sz w:val="20"/>
                <w:szCs w:val="20"/>
                <w:color w:val="auto"/>
              </w:rPr>
            </w:pPr>
            <w:r>
              <w:rPr>
                <w:rFonts w:ascii="Arial" w:cs="Arial" w:eastAsia="Arial" w:hAnsi="Arial"/>
                <w:sz w:val="18"/>
                <w:szCs w:val="18"/>
                <w:color w:val="auto"/>
              </w:rPr>
              <w:t>Delaware</w:t>
            </w:r>
          </w:p>
        </w:tc>
      </w:tr>
      <w:tr>
        <w:trPr>
          <w:trHeight w:val="216"/>
        </w:trPr>
        <w:tc>
          <w:tcPr>
            <w:tcW w:w="20" w:type="dxa"/>
            <w:vAlign w:val="bottom"/>
          </w:tcPr>
          <w:p>
            <w:pPr>
              <w:spacing w:after="0"/>
              <w:rPr>
                <w:sz w:val="18"/>
                <w:szCs w:val="18"/>
                <w:color w:val="auto"/>
              </w:rPr>
            </w:pPr>
          </w:p>
        </w:tc>
        <w:tc>
          <w:tcPr>
            <w:tcW w:w="8960" w:type="dxa"/>
            <w:vAlign w:val="bottom"/>
            <w:gridSpan w:val="2"/>
          </w:tcPr>
          <w:p>
            <w:pPr>
              <w:ind w:left="760"/>
              <w:spacing w:after="0"/>
              <w:rPr>
                <w:sz w:val="20"/>
                <w:szCs w:val="20"/>
                <w:color w:val="auto"/>
              </w:rPr>
            </w:pPr>
            <w:r>
              <w:rPr>
                <w:rFonts w:ascii="Arial" w:cs="Arial" w:eastAsia="Arial" w:hAnsi="Arial"/>
                <w:sz w:val="18"/>
                <w:szCs w:val="18"/>
                <w:color w:val="auto"/>
              </w:rPr>
              <w:t>Scholastic Interactive LLC</w:t>
            </w:r>
          </w:p>
        </w:tc>
        <w:tc>
          <w:tcPr>
            <w:tcW w:w="2480" w:type="dxa"/>
            <w:vAlign w:val="bottom"/>
          </w:tcPr>
          <w:p>
            <w:pPr>
              <w:ind w:left="1420"/>
              <w:spacing w:after="0"/>
              <w:rPr>
                <w:sz w:val="20"/>
                <w:szCs w:val="20"/>
                <w:color w:val="auto"/>
              </w:rPr>
            </w:pPr>
            <w:r>
              <w:rPr>
                <w:rFonts w:ascii="Arial" w:cs="Arial" w:eastAsia="Arial" w:hAnsi="Arial"/>
                <w:sz w:val="18"/>
                <w:szCs w:val="18"/>
                <w:color w:val="auto"/>
              </w:rPr>
              <w:t>New York</w:t>
            </w:r>
          </w:p>
        </w:tc>
      </w:tr>
      <w:tr>
        <w:trPr>
          <w:trHeight w:val="216"/>
        </w:trPr>
        <w:tc>
          <w:tcPr>
            <w:tcW w:w="20" w:type="dxa"/>
            <w:vAlign w:val="bottom"/>
          </w:tcPr>
          <w:p>
            <w:pPr>
              <w:spacing w:after="0"/>
              <w:rPr>
                <w:sz w:val="18"/>
                <w:szCs w:val="18"/>
                <w:color w:val="auto"/>
              </w:rPr>
            </w:pPr>
          </w:p>
        </w:tc>
        <w:tc>
          <w:tcPr>
            <w:tcW w:w="8960" w:type="dxa"/>
            <w:vAlign w:val="bottom"/>
            <w:gridSpan w:val="2"/>
          </w:tcPr>
          <w:p>
            <w:pPr>
              <w:ind w:left="440"/>
              <w:spacing w:after="0"/>
              <w:rPr>
                <w:sz w:val="20"/>
                <w:szCs w:val="20"/>
                <w:color w:val="auto"/>
              </w:rPr>
            </w:pPr>
            <w:r>
              <w:rPr>
                <w:rFonts w:ascii="Arial" w:cs="Arial" w:eastAsia="Arial" w:hAnsi="Arial"/>
                <w:sz w:val="18"/>
                <w:szCs w:val="18"/>
                <w:color w:val="auto"/>
              </w:rPr>
              <w:t>Scholastic Book Services, Inc.</w:t>
            </w:r>
          </w:p>
        </w:tc>
        <w:tc>
          <w:tcPr>
            <w:tcW w:w="2480" w:type="dxa"/>
            <w:vAlign w:val="bottom"/>
          </w:tcPr>
          <w:p>
            <w:pPr>
              <w:ind w:left="1420"/>
              <w:spacing w:after="0"/>
              <w:rPr>
                <w:sz w:val="20"/>
                <w:szCs w:val="20"/>
                <w:color w:val="auto"/>
              </w:rPr>
            </w:pPr>
            <w:r>
              <w:rPr>
                <w:rFonts w:ascii="Arial" w:cs="Arial" w:eastAsia="Arial" w:hAnsi="Arial"/>
                <w:sz w:val="18"/>
                <w:szCs w:val="18"/>
                <w:color w:val="auto"/>
              </w:rPr>
              <w:t>Delaware</w:t>
            </w:r>
          </w:p>
        </w:tc>
      </w:tr>
      <w:tr>
        <w:trPr>
          <w:trHeight w:val="216"/>
        </w:trPr>
        <w:tc>
          <w:tcPr>
            <w:tcW w:w="20" w:type="dxa"/>
            <w:vAlign w:val="bottom"/>
          </w:tcPr>
          <w:p>
            <w:pPr>
              <w:spacing w:after="0"/>
              <w:rPr>
                <w:sz w:val="18"/>
                <w:szCs w:val="18"/>
                <w:color w:val="auto"/>
              </w:rPr>
            </w:pPr>
          </w:p>
        </w:tc>
        <w:tc>
          <w:tcPr>
            <w:tcW w:w="8960" w:type="dxa"/>
            <w:vAlign w:val="bottom"/>
            <w:gridSpan w:val="2"/>
          </w:tcPr>
          <w:p>
            <w:pPr>
              <w:ind w:left="440"/>
              <w:spacing w:after="0"/>
              <w:rPr>
                <w:sz w:val="20"/>
                <w:szCs w:val="20"/>
                <w:color w:val="auto"/>
              </w:rPr>
            </w:pPr>
            <w:r>
              <w:rPr>
                <w:rFonts w:ascii="Arial" w:cs="Arial" w:eastAsia="Arial" w:hAnsi="Arial"/>
                <w:sz w:val="18"/>
                <w:szCs w:val="18"/>
                <w:color w:val="auto"/>
              </w:rPr>
              <w:t>Scholastic UK Group L.L.C.</w:t>
            </w:r>
          </w:p>
        </w:tc>
        <w:tc>
          <w:tcPr>
            <w:tcW w:w="2480" w:type="dxa"/>
            <w:vAlign w:val="bottom"/>
          </w:tcPr>
          <w:p>
            <w:pPr>
              <w:ind w:left="1420"/>
              <w:spacing w:after="0"/>
              <w:rPr>
                <w:sz w:val="20"/>
                <w:szCs w:val="20"/>
                <w:color w:val="auto"/>
              </w:rPr>
            </w:pPr>
            <w:r>
              <w:rPr>
                <w:rFonts w:ascii="Arial" w:cs="Arial" w:eastAsia="Arial" w:hAnsi="Arial"/>
                <w:sz w:val="18"/>
                <w:szCs w:val="18"/>
                <w:color w:val="auto"/>
              </w:rPr>
              <w:t>Delaware</w:t>
            </w:r>
          </w:p>
        </w:tc>
      </w:tr>
      <w:tr>
        <w:trPr>
          <w:trHeight w:val="216"/>
        </w:trPr>
        <w:tc>
          <w:tcPr>
            <w:tcW w:w="20" w:type="dxa"/>
            <w:vAlign w:val="bottom"/>
          </w:tcPr>
          <w:p>
            <w:pPr>
              <w:spacing w:after="0"/>
              <w:rPr>
                <w:sz w:val="18"/>
                <w:szCs w:val="18"/>
                <w:color w:val="auto"/>
              </w:rPr>
            </w:pPr>
          </w:p>
        </w:tc>
        <w:tc>
          <w:tcPr>
            <w:tcW w:w="8960" w:type="dxa"/>
            <w:vAlign w:val="bottom"/>
            <w:gridSpan w:val="2"/>
          </w:tcPr>
          <w:p>
            <w:pPr>
              <w:ind w:left="440"/>
              <w:spacing w:after="0"/>
              <w:rPr>
                <w:sz w:val="20"/>
                <w:szCs w:val="20"/>
                <w:color w:val="auto"/>
              </w:rPr>
            </w:pPr>
            <w:r>
              <w:rPr>
                <w:rFonts w:ascii="Arial" w:cs="Arial" w:eastAsia="Arial" w:hAnsi="Arial"/>
                <w:sz w:val="18"/>
                <w:szCs w:val="18"/>
                <w:color w:val="auto"/>
              </w:rPr>
              <w:t>Scholastic UK Limited</w:t>
            </w:r>
          </w:p>
        </w:tc>
        <w:tc>
          <w:tcPr>
            <w:tcW w:w="2480" w:type="dxa"/>
            <w:vAlign w:val="bottom"/>
          </w:tcPr>
          <w:p>
            <w:pPr>
              <w:ind w:left="1420"/>
              <w:spacing w:after="0"/>
              <w:rPr>
                <w:sz w:val="20"/>
                <w:szCs w:val="20"/>
                <w:color w:val="auto"/>
              </w:rPr>
            </w:pPr>
            <w:r>
              <w:rPr>
                <w:rFonts w:ascii="Arial" w:cs="Arial" w:eastAsia="Arial" w:hAnsi="Arial"/>
                <w:sz w:val="18"/>
                <w:szCs w:val="18"/>
                <w:color w:val="auto"/>
              </w:rPr>
              <w:t>England</w:t>
            </w:r>
          </w:p>
        </w:tc>
      </w:tr>
      <w:tr>
        <w:trPr>
          <w:trHeight w:val="216"/>
        </w:trPr>
        <w:tc>
          <w:tcPr>
            <w:tcW w:w="20" w:type="dxa"/>
            <w:vAlign w:val="bottom"/>
          </w:tcPr>
          <w:p>
            <w:pPr>
              <w:spacing w:after="0"/>
              <w:rPr>
                <w:sz w:val="18"/>
                <w:szCs w:val="18"/>
                <w:color w:val="auto"/>
              </w:rPr>
            </w:pPr>
          </w:p>
        </w:tc>
        <w:tc>
          <w:tcPr>
            <w:tcW w:w="8960" w:type="dxa"/>
            <w:vAlign w:val="bottom"/>
            <w:gridSpan w:val="2"/>
          </w:tcPr>
          <w:p>
            <w:pPr>
              <w:ind w:left="760"/>
              <w:spacing w:after="0"/>
              <w:rPr>
                <w:sz w:val="20"/>
                <w:szCs w:val="20"/>
                <w:color w:val="auto"/>
              </w:rPr>
            </w:pPr>
            <w:r>
              <w:rPr>
                <w:rFonts w:ascii="Arial" w:cs="Arial" w:eastAsia="Arial" w:hAnsi="Arial"/>
                <w:sz w:val="18"/>
                <w:szCs w:val="18"/>
                <w:color w:val="auto"/>
              </w:rPr>
              <w:t>Chicken House Publishing Ltd.</w:t>
            </w:r>
          </w:p>
        </w:tc>
        <w:tc>
          <w:tcPr>
            <w:tcW w:w="2480" w:type="dxa"/>
            <w:vAlign w:val="bottom"/>
          </w:tcPr>
          <w:p>
            <w:pPr>
              <w:ind w:left="1420"/>
              <w:spacing w:after="0"/>
              <w:rPr>
                <w:sz w:val="20"/>
                <w:szCs w:val="20"/>
                <w:color w:val="auto"/>
              </w:rPr>
            </w:pPr>
            <w:r>
              <w:rPr>
                <w:rFonts w:ascii="Arial" w:cs="Arial" w:eastAsia="Arial" w:hAnsi="Arial"/>
                <w:sz w:val="18"/>
                <w:szCs w:val="18"/>
                <w:color w:val="auto"/>
              </w:rPr>
              <w:t>England</w:t>
            </w:r>
          </w:p>
        </w:tc>
      </w:tr>
      <w:tr>
        <w:trPr>
          <w:trHeight w:val="216"/>
        </w:trPr>
        <w:tc>
          <w:tcPr>
            <w:tcW w:w="20" w:type="dxa"/>
            <w:vAlign w:val="bottom"/>
          </w:tcPr>
          <w:p>
            <w:pPr>
              <w:spacing w:after="0"/>
              <w:rPr>
                <w:sz w:val="18"/>
                <w:szCs w:val="18"/>
                <w:color w:val="auto"/>
              </w:rPr>
            </w:pPr>
          </w:p>
        </w:tc>
        <w:tc>
          <w:tcPr>
            <w:tcW w:w="8960" w:type="dxa"/>
            <w:vAlign w:val="bottom"/>
            <w:gridSpan w:val="2"/>
          </w:tcPr>
          <w:p>
            <w:pPr>
              <w:ind w:left="440"/>
              <w:spacing w:after="0"/>
              <w:rPr>
                <w:sz w:val="20"/>
                <w:szCs w:val="20"/>
                <w:color w:val="auto"/>
              </w:rPr>
            </w:pPr>
            <w:r>
              <w:rPr>
                <w:rFonts w:ascii="Arial" w:cs="Arial" w:eastAsia="Arial" w:hAnsi="Arial"/>
                <w:sz w:val="18"/>
                <w:szCs w:val="18"/>
                <w:color w:val="auto"/>
              </w:rPr>
              <w:t>Scholastic Book Clubs Ltd. (formerly Red House</w:t>
            </w:r>
          </w:p>
        </w:tc>
        <w:tc>
          <w:tcPr>
            <w:tcW w:w="2480" w:type="dxa"/>
            <w:vAlign w:val="bottom"/>
          </w:tcPr>
          <w:p>
            <w:pPr>
              <w:ind w:left="1420"/>
              <w:spacing w:after="0"/>
              <w:rPr>
                <w:sz w:val="20"/>
                <w:szCs w:val="20"/>
                <w:color w:val="auto"/>
              </w:rPr>
            </w:pPr>
            <w:r>
              <w:rPr>
                <w:rFonts w:ascii="Arial" w:cs="Arial" w:eastAsia="Arial" w:hAnsi="Arial"/>
                <w:sz w:val="18"/>
                <w:szCs w:val="18"/>
                <w:color w:val="auto"/>
              </w:rPr>
              <w:t>England</w:t>
            </w:r>
          </w:p>
        </w:tc>
      </w:tr>
      <w:tr>
        <w:trPr>
          <w:trHeight w:val="216"/>
        </w:trPr>
        <w:tc>
          <w:tcPr>
            <w:tcW w:w="20" w:type="dxa"/>
            <w:vAlign w:val="bottom"/>
          </w:tcPr>
          <w:p>
            <w:pPr>
              <w:spacing w:after="0"/>
              <w:rPr>
                <w:sz w:val="18"/>
                <w:szCs w:val="18"/>
                <w:color w:val="auto"/>
              </w:rPr>
            </w:pPr>
          </w:p>
        </w:tc>
        <w:tc>
          <w:tcPr>
            <w:tcW w:w="8960" w:type="dxa"/>
            <w:vAlign w:val="bottom"/>
            <w:gridSpan w:val="2"/>
          </w:tcPr>
          <w:p>
            <w:pPr>
              <w:ind w:left="760"/>
              <w:spacing w:after="0"/>
              <w:rPr>
                <w:sz w:val="20"/>
                <w:szCs w:val="20"/>
                <w:color w:val="auto"/>
              </w:rPr>
            </w:pPr>
            <w:r>
              <w:rPr>
                <w:rFonts w:ascii="Arial" w:cs="Arial" w:eastAsia="Arial" w:hAnsi="Arial"/>
                <w:sz w:val="18"/>
                <w:szCs w:val="18"/>
                <w:color w:val="auto"/>
              </w:rPr>
              <w:t>Books Ltd.)</w:t>
            </w:r>
          </w:p>
        </w:tc>
        <w:tc>
          <w:tcPr>
            <w:tcW w:w="2480" w:type="dxa"/>
            <w:vAlign w:val="bottom"/>
          </w:tcPr>
          <w:p>
            <w:pPr>
              <w:spacing w:after="0"/>
              <w:rPr>
                <w:sz w:val="18"/>
                <w:szCs w:val="18"/>
                <w:color w:val="auto"/>
              </w:rPr>
            </w:pPr>
          </w:p>
        </w:tc>
      </w:tr>
      <w:tr>
        <w:trPr>
          <w:trHeight w:val="217"/>
        </w:trPr>
        <w:tc>
          <w:tcPr>
            <w:tcW w:w="20" w:type="dxa"/>
            <w:vAlign w:val="bottom"/>
          </w:tcPr>
          <w:p>
            <w:pPr>
              <w:spacing w:after="0"/>
              <w:rPr>
                <w:sz w:val="18"/>
                <w:szCs w:val="18"/>
                <w:color w:val="auto"/>
              </w:rPr>
            </w:pPr>
          </w:p>
        </w:tc>
        <w:tc>
          <w:tcPr>
            <w:tcW w:w="8960" w:type="dxa"/>
            <w:vAlign w:val="bottom"/>
            <w:gridSpan w:val="2"/>
          </w:tcPr>
          <w:p>
            <w:pPr>
              <w:ind w:left="760"/>
              <w:spacing w:after="0"/>
              <w:rPr>
                <w:sz w:val="20"/>
                <w:szCs w:val="20"/>
                <w:color w:val="auto"/>
              </w:rPr>
            </w:pPr>
            <w:r>
              <w:rPr>
                <w:rFonts w:ascii="Arial" w:cs="Arial" w:eastAsia="Arial" w:hAnsi="Arial"/>
                <w:sz w:val="18"/>
                <w:szCs w:val="18"/>
                <w:color w:val="auto"/>
              </w:rPr>
              <w:t>Scholastic Ltd.</w:t>
            </w:r>
          </w:p>
        </w:tc>
        <w:tc>
          <w:tcPr>
            <w:tcW w:w="2480" w:type="dxa"/>
            <w:vAlign w:val="bottom"/>
          </w:tcPr>
          <w:p>
            <w:pPr>
              <w:ind w:left="1420"/>
              <w:spacing w:after="0"/>
              <w:rPr>
                <w:sz w:val="20"/>
                <w:szCs w:val="20"/>
                <w:color w:val="auto"/>
              </w:rPr>
            </w:pPr>
            <w:r>
              <w:rPr>
                <w:rFonts w:ascii="Arial" w:cs="Arial" w:eastAsia="Arial" w:hAnsi="Arial"/>
                <w:sz w:val="18"/>
                <w:szCs w:val="18"/>
                <w:color w:val="auto"/>
              </w:rPr>
              <w:t>England</w:t>
            </w:r>
          </w:p>
        </w:tc>
      </w:tr>
      <w:tr>
        <w:trPr>
          <w:trHeight w:val="255"/>
        </w:trPr>
        <w:tc>
          <w:tcPr>
            <w:tcW w:w="20" w:type="dxa"/>
            <w:vAlign w:val="bottom"/>
          </w:tcPr>
          <w:p>
            <w:pPr>
              <w:spacing w:after="0"/>
              <w:rPr>
                <w:sz w:val="22"/>
                <w:szCs w:val="22"/>
                <w:color w:val="auto"/>
              </w:rPr>
            </w:pPr>
          </w:p>
        </w:tc>
        <w:tc>
          <w:tcPr>
            <w:tcW w:w="8960" w:type="dxa"/>
            <w:vAlign w:val="bottom"/>
            <w:gridSpan w:val="2"/>
          </w:tcPr>
          <w:p>
            <w:pPr>
              <w:ind w:left="920"/>
              <w:spacing w:after="0" w:line="255" w:lineRule="exact"/>
              <w:rPr>
                <w:sz w:val="20"/>
                <w:szCs w:val="20"/>
                <w:color w:val="auto"/>
              </w:rPr>
            </w:pPr>
            <w:r>
              <w:rPr>
                <w:rFonts w:ascii="Arial" w:cs="Arial" w:eastAsia="Arial" w:hAnsi="Arial"/>
                <w:sz w:val="18"/>
                <w:szCs w:val="18"/>
                <w:color w:val="auto"/>
              </w:rPr>
              <w:t xml:space="preserve">Catteshall Ltd. </w:t>
            </w:r>
            <w:r>
              <w:rPr>
                <w:rFonts w:ascii="Arial" w:cs="Arial" w:eastAsia="Arial" w:hAnsi="Arial"/>
                <w:sz w:val="29"/>
                <w:szCs w:val="29"/>
                <w:color w:val="auto"/>
                <w:vertAlign w:val="superscript"/>
              </w:rPr>
              <w:t>1</w:t>
            </w:r>
          </w:p>
        </w:tc>
        <w:tc>
          <w:tcPr>
            <w:tcW w:w="2480" w:type="dxa"/>
            <w:vAlign w:val="bottom"/>
          </w:tcPr>
          <w:p>
            <w:pPr>
              <w:ind w:left="1420"/>
              <w:spacing w:after="0"/>
              <w:rPr>
                <w:sz w:val="20"/>
                <w:szCs w:val="20"/>
                <w:color w:val="auto"/>
              </w:rPr>
            </w:pPr>
            <w:r>
              <w:rPr>
                <w:rFonts w:ascii="Arial" w:cs="Arial" w:eastAsia="Arial" w:hAnsi="Arial"/>
                <w:sz w:val="18"/>
                <w:szCs w:val="18"/>
                <w:color w:val="auto"/>
              </w:rPr>
              <w:t>England</w:t>
            </w:r>
          </w:p>
        </w:tc>
      </w:tr>
      <w:tr>
        <w:trPr>
          <w:trHeight w:val="216"/>
        </w:trPr>
        <w:tc>
          <w:tcPr>
            <w:tcW w:w="20" w:type="dxa"/>
            <w:vAlign w:val="bottom"/>
          </w:tcPr>
          <w:p>
            <w:pPr>
              <w:spacing w:after="0"/>
              <w:rPr>
                <w:sz w:val="18"/>
                <w:szCs w:val="18"/>
                <w:color w:val="auto"/>
              </w:rPr>
            </w:pPr>
          </w:p>
        </w:tc>
        <w:tc>
          <w:tcPr>
            <w:tcW w:w="8960" w:type="dxa"/>
            <w:vAlign w:val="bottom"/>
            <w:gridSpan w:val="2"/>
          </w:tcPr>
          <w:p>
            <w:pPr>
              <w:ind w:left="920"/>
              <w:spacing w:after="0"/>
              <w:rPr>
                <w:sz w:val="20"/>
                <w:szCs w:val="20"/>
                <w:color w:val="auto"/>
              </w:rPr>
            </w:pPr>
            <w:r>
              <w:rPr>
                <w:rFonts w:ascii="Arial" w:cs="Arial" w:eastAsia="Arial" w:hAnsi="Arial"/>
                <w:sz w:val="18"/>
                <w:szCs w:val="18"/>
                <w:color w:val="auto"/>
              </w:rPr>
              <w:t>Scholastic Ireland Ltd.</w:t>
            </w:r>
          </w:p>
        </w:tc>
        <w:tc>
          <w:tcPr>
            <w:tcW w:w="2480" w:type="dxa"/>
            <w:vAlign w:val="bottom"/>
          </w:tcPr>
          <w:p>
            <w:pPr>
              <w:ind w:left="1420"/>
              <w:spacing w:after="0"/>
              <w:rPr>
                <w:sz w:val="20"/>
                <w:szCs w:val="20"/>
                <w:color w:val="auto"/>
              </w:rPr>
            </w:pPr>
            <w:r>
              <w:rPr>
                <w:rFonts w:ascii="Arial" w:cs="Arial" w:eastAsia="Arial" w:hAnsi="Arial"/>
                <w:sz w:val="18"/>
                <w:szCs w:val="18"/>
                <w:color w:val="auto"/>
              </w:rPr>
              <w:t>Ireland</w:t>
            </w:r>
          </w:p>
        </w:tc>
      </w:tr>
      <w:tr>
        <w:trPr>
          <w:trHeight w:val="216"/>
        </w:trPr>
        <w:tc>
          <w:tcPr>
            <w:tcW w:w="20" w:type="dxa"/>
            <w:vAlign w:val="bottom"/>
          </w:tcPr>
          <w:p>
            <w:pPr>
              <w:spacing w:after="0"/>
              <w:rPr>
                <w:sz w:val="18"/>
                <w:szCs w:val="18"/>
                <w:color w:val="auto"/>
              </w:rPr>
            </w:pPr>
          </w:p>
        </w:tc>
        <w:tc>
          <w:tcPr>
            <w:tcW w:w="8960" w:type="dxa"/>
            <w:vAlign w:val="bottom"/>
            <w:gridSpan w:val="2"/>
          </w:tcPr>
          <w:p>
            <w:pPr>
              <w:ind w:left="440"/>
              <w:spacing w:after="0"/>
              <w:rPr>
                <w:sz w:val="20"/>
                <w:szCs w:val="20"/>
                <w:color w:val="auto"/>
              </w:rPr>
            </w:pPr>
            <w:r>
              <w:rPr>
                <w:rFonts w:ascii="Arial" w:cs="Arial" w:eastAsia="Arial" w:hAnsi="Arial"/>
                <w:sz w:val="18"/>
                <w:szCs w:val="18"/>
                <w:color w:val="auto"/>
              </w:rPr>
              <w:t>Weston Woods Studios, Inc.</w:t>
            </w:r>
          </w:p>
        </w:tc>
        <w:tc>
          <w:tcPr>
            <w:tcW w:w="2480" w:type="dxa"/>
            <w:vAlign w:val="bottom"/>
          </w:tcPr>
          <w:p>
            <w:pPr>
              <w:ind w:left="1420"/>
              <w:spacing w:after="0"/>
              <w:rPr>
                <w:sz w:val="20"/>
                <w:szCs w:val="20"/>
                <w:color w:val="auto"/>
              </w:rPr>
            </w:pPr>
            <w:r>
              <w:rPr>
                <w:rFonts w:ascii="Arial" w:cs="Arial" w:eastAsia="Arial" w:hAnsi="Arial"/>
                <w:sz w:val="18"/>
                <w:szCs w:val="18"/>
                <w:color w:val="auto"/>
              </w:rPr>
              <w:t>Delaware</w:t>
            </w:r>
          </w:p>
        </w:tc>
      </w:tr>
      <w:tr>
        <w:trPr>
          <w:trHeight w:val="216"/>
        </w:trPr>
        <w:tc>
          <w:tcPr>
            <w:tcW w:w="20" w:type="dxa"/>
            <w:vAlign w:val="bottom"/>
          </w:tcPr>
          <w:p>
            <w:pPr>
              <w:spacing w:after="0"/>
              <w:rPr>
                <w:sz w:val="18"/>
                <w:szCs w:val="18"/>
                <w:color w:val="auto"/>
              </w:rPr>
            </w:pPr>
          </w:p>
        </w:tc>
        <w:tc>
          <w:tcPr>
            <w:tcW w:w="8960" w:type="dxa"/>
            <w:vAlign w:val="bottom"/>
            <w:gridSpan w:val="2"/>
          </w:tcPr>
          <w:p>
            <w:pPr>
              <w:ind w:left="760"/>
              <w:spacing w:after="0"/>
              <w:rPr>
                <w:sz w:val="20"/>
                <w:szCs w:val="20"/>
                <w:color w:val="auto"/>
              </w:rPr>
            </w:pPr>
            <w:r>
              <w:rPr>
                <w:rFonts w:ascii="Arial" w:cs="Arial" w:eastAsia="Arial" w:hAnsi="Arial"/>
                <w:sz w:val="18"/>
                <w:szCs w:val="18"/>
                <w:color w:val="auto"/>
              </w:rPr>
              <w:t>Georgetown Studios, Inc.</w:t>
            </w:r>
          </w:p>
        </w:tc>
        <w:tc>
          <w:tcPr>
            <w:tcW w:w="2480" w:type="dxa"/>
            <w:vAlign w:val="bottom"/>
          </w:tcPr>
          <w:p>
            <w:pPr>
              <w:ind w:left="1420"/>
              <w:spacing w:after="0"/>
              <w:rPr>
                <w:sz w:val="20"/>
                <w:szCs w:val="20"/>
                <w:color w:val="auto"/>
              </w:rPr>
            </w:pPr>
            <w:r>
              <w:rPr>
                <w:rFonts w:ascii="Arial" w:cs="Arial" w:eastAsia="Arial" w:hAnsi="Arial"/>
                <w:sz w:val="18"/>
                <w:szCs w:val="18"/>
                <w:color w:val="auto"/>
              </w:rPr>
              <w:t>Connecticut</w:t>
            </w:r>
          </w:p>
        </w:tc>
      </w:tr>
      <w:tr>
        <w:trPr>
          <w:trHeight w:val="216"/>
        </w:trPr>
        <w:tc>
          <w:tcPr>
            <w:tcW w:w="20" w:type="dxa"/>
            <w:vAlign w:val="bottom"/>
          </w:tcPr>
          <w:p>
            <w:pPr>
              <w:spacing w:after="0"/>
              <w:rPr>
                <w:sz w:val="18"/>
                <w:szCs w:val="18"/>
                <w:color w:val="auto"/>
              </w:rPr>
            </w:pPr>
          </w:p>
        </w:tc>
        <w:tc>
          <w:tcPr>
            <w:tcW w:w="8960" w:type="dxa"/>
            <w:vAlign w:val="bottom"/>
            <w:gridSpan w:val="2"/>
          </w:tcPr>
          <w:p>
            <w:pPr>
              <w:ind w:left="760"/>
              <w:spacing w:after="0"/>
              <w:rPr>
                <w:sz w:val="20"/>
                <w:szCs w:val="20"/>
                <w:color w:val="auto"/>
              </w:rPr>
            </w:pPr>
            <w:r>
              <w:rPr>
                <w:rFonts w:ascii="Arial" w:cs="Arial" w:eastAsia="Arial" w:hAnsi="Arial"/>
                <w:sz w:val="18"/>
                <w:szCs w:val="18"/>
                <w:color w:val="auto"/>
              </w:rPr>
              <w:t>Children’s Music Library, Inc.</w:t>
            </w:r>
          </w:p>
        </w:tc>
        <w:tc>
          <w:tcPr>
            <w:tcW w:w="2480" w:type="dxa"/>
            <w:vAlign w:val="bottom"/>
          </w:tcPr>
          <w:p>
            <w:pPr>
              <w:ind w:left="1420"/>
              <w:spacing w:after="0"/>
              <w:rPr>
                <w:sz w:val="20"/>
                <w:szCs w:val="20"/>
                <w:color w:val="auto"/>
              </w:rPr>
            </w:pPr>
            <w:r>
              <w:rPr>
                <w:rFonts w:ascii="Arial" w:cs="Arial" w:eastAsia="Arial" w:hAnsi="Arial"/>
                <w:sz w:val="18"/>
                <w:szCs w:val="18"/>
                <w:color w:val="auto"/>
              </w:rPr>
              <w:t>New York</w:t>
            </w:r>
          </w:p>
        </w:tc>
      </w:tr>
      <w:tr>
        <w:trPr>
          <w:trHeight w:val="216"/>
        </w:trPr>
        <w:tc>
          <w:tcPr>
            <w:tcW w:w="20" w:type="dxa"/>
            <w:vAlign w:val="bottom"/>
          </w:tcPr>
          <w:p>
            <w:pPr>
              <w:spacing w:after="0"/>
              <w:rPr>
                <w:sz w:val="18"/>
                <w:szCs w:val="18"/>
                <w:color w:val="auto"/>
              </w:rPr>
            </w:pPr>
          </w:p>
        </w:tc>
        <w:tc>
          <w:tcPr>
            <w:tcW w:w="8960" w:type="dxa"/>
            <w:vAlign w:val="bottom"/>
            <w:gridSpan w:val="2"/>
          </w:tcPr>
          <w:p>
            <w:pPr>
              <w:ind w:left="440"/>
              <w:spacing w:after="0"/>
              <w:rPr>
                <w:sz w:val="20"/>
                <w:szCs w:val="20"/>
                <w:color w:val="auto"/>
              </w:rPr>
            </w:pPr>
            <w:r>
              <w:rPr>
                <w:rFonts w:ascii="Arial" w:cs="Arial" w:eastAsia="Arial" w:hAnsi="Arial"/>
                <w:sz w:val="18"/>
                <w:szCs w:val="18"/>
                <w:color w:val="auto"/>
              </w:rPr>
              <w:t>Lectorum Publications, Inc.</w:t>
            </w:r>
          </w:p>
        </w:tc>
        <w:tc>
          <w:tcPr>
            <w:tcW w:w="2480" w:type="dxa"/>
            <w:vAlign w:val="bottom"/>
          </w:tcPr>
          <w:p>
            <w:pPr>
              <w:ind w:left="1420"/>
              <w:spacing w:after="0"/>
              <w:rPr>
                <w:sz w:val="20"/>
                <w:szCs w:val="20"/>
                <w:color w:val="auto"/>
              </w:rPr>
            </w:pPr>
            <w:r>
              <w:rPr>
                <w:rFonts w:ascii="Arial" w:cs="Arial" w:eastAsia="Arial" w:hAnsi="Arial"/>
                <w:sz w:val="18"/>
                <w:szCs w:val="18"/>
                <w:color w:val="auto"/>
              </w:rPr>
              <w:t>New York</w:t>
            </w:r>
          </w:p>
        </w:tc>
      </w:tr>
      <w:tr>
        <w:trPr>
          <w:trHeight w:val="216"/>
        </w:trPr>
        <w:tc>
          <w:tcPr>
            <w:tcW w:w="20" w:type="dxa"/>
            <w:vAlign w:val="bottom"/>
          </w:tcPr>
          <w:p>
            <w:pPr>
              <w:spacing w:after="0"/>
              <w:rPr>
                <w:sz w:val="18"/>
                <w:szCs w:val="18"/>
                <w:color w:val="auto"/>
              </w:rPr>
            </w:pPr>
          </w:p>
        </w:tc>
        <w:tc>
          <w:tcPr>
            <w:tcW w:w="8960" w:type="dxa"/>
            <w:vAlign w:val="bottom"/>
            <w:gridSpan w:val="2"/>
          </w:tcPr>
          <w:p>
            <w:pPr>
              <w:ind w:left="440"/>
              <w:spacing w:after="0"/>
              <w:rPr>
                <w:sz w:val="20"/>
                <w:szCs w:val="20"/>
                <w:color w:val="auto"/>
              </w:rPr>
            </w:pPr>
            <w:r>
              <w:rPr>
                <w:rFonts w:ascii="Arial" w:cs="Arial" w:eastAsia="Arial" w:hAnsi="Arial"/>
                <w:sz w:val="18"/>
                <w:szCs w:val="18"/>
                <w:color w:val="auto"/>
              </w:rPr>
              <w:t>The Scholastic Store, Inc.</w:t>
            </w:r>
          </w:p>
        </w:tc>
        <w:tc>
          <w:tcPr>
            <w:tcW w:w="2480" w:type="dxa"/>
            <w:vAlign w:val="bottom"/>
          </w:tcPr>
          <w:p>
            <w:pPr>
              <w:ind w:left="1420"/>
              <w:spacing w:after="0"/>
              <w:rPr>
                <w:sz w:val="20"/>
                <w:szCs w:val="20"/>
                <w:color w:val="auto"/>
              </w:rPr>
            </w:pPr>
            <w:r>
              <w:rPr>
                <w:rFonts w:ascii="Arial" w:cs="Arial" w:eastAsia="Arial" w:hAnsi="Arial"/>
                <w:sz w:val="18"/>
                <w:szCs w:val="18"/>
                <w:color w:val="auto"/>
              </w:rPr>
              <w:t>New York</w:t>
            </w:r>
          </w:p>
        </w:tc>
      </w:tr>
      <w:tr>
        <w:trPr>
          <w:trHeight w:val="216"/>
        </w:trPr>
        <w:tc>
          <w:tcPr>
            <w:tcW w:w="20" w:type="dxa"/>
            <w:vAlign w:val="bottom"/>
          </w:tcPr>
          <w:p>
            <w:pPr>
              <w:spacing w:after="0"/>
              <w:rPr>
                <w:sz w:val="18"/>
                <w:szCs w:val="18"/>
                <w:color w:val="auto"/>
              </w:rPr>
            </w:pPr>
          </w:p>
        </w:tc>
        <w:tc>
          <w:tcPr>
            <w:tcW w:w="8960" w:type="dxa"/>
            <w:vAlign w:val="bottom"/>
            <w:gridSpan w:val="2"/>
          </w:tcPr>
          <w:p>
            <w:pPr>
              <w:ind w:left="440"/>
              <w:spacing w:after="0"/>
              <w:rPr>
                <w:sz w:val="20"/>
                <w:szCs w:val="20"/>
                <w:color w:val="auto"/>
              </w:rPr>
            </w:pPr>
            <w:r>
              <w:rPr>
                <w:rFonts w:ascii="Arial" w:cs="Arial" w:eastAsia="Arial" w:hAnsi="Arial"/>
                <w:sz w:val="18"/>
                <w:szCs w:val="18"/>
                <w:color w:val="auto"/>
              </w:rPr>
              <w:t>Scholastic Interactive Xchange, Inc.</w:t>
            </w:r>
          </w:p>
        </w:tc>
        <w:tc>
          <w:tcPr>
            <w:tcW w:w="2480" w:type="dxa"/>
            <w:vAlign w:val="bottom"/>
          </w:tcPr>
          <w:p>
            <w:pPr>
              <w:ind w:left="1420"/>
              <w:spacing w:after="0"/>
              <w:rPr>
                <w:sz w:val="20"/>
                <w:szCs w:val="20"/>
                <w:color w:val="auto"/>
              </w:rPr>
            </w:pPr>
            <w:r>
              <w:rPr>
                <w:rFonts w:ascii="Arial" w:cs="Arial" w:eastAsia="Arial" w:hAnsi="Arial"/>
                <w:sz w:val="18"/>
                <w:szCs w:val="18"/>
                <w:color w:val="auto"/>
              </w:rPr>
              <w:t>Delaware</w:t>
            </w:r>
          </w:p>
        </w:tc>
      </w:tr>
      <w:tr>
        <w:trPr>
          <w:trHeight w:val="216"/>
        </w:trPr>
        <w:tc>
          <w:tcPr>
            <w:tcW w:w="20" w:type="dxa"/>
            <w:vAlign w:val="bottom"/>
          </w:tcPr>
          <w:p>
            <w:pPr>
              <w:spacing w:after="0"/>
              <w:rPr>
                <w:sz w:val="18"/>
                <w:szCs w:val="18"/>
                <w:color w:val="auto"/>
              </w:rPr>
            </w:pPr>
          </w:p>
        </w:tc>
        <w:tc>
          <w:tcPr>
            <w:tcW w:w="8960" w:type="dxa"/>
            <w:vAlign w:val="bottom"/>
            <w:gridSpan w:val="2"/>
          </w:tcPr>
          <w:p>
            <w:pPr>
              <w:ind w:left="440"/>
              <w:spacing w:after="0"/>
              <w:rPr>
                <w:sz w:val="20"/>
                <w:szCs w:val="20"/>
                <w:color w:val="auto"/>
              </w:rPr>
            </w:pPr>
            <w:r>
              <w:rPr>
                <w:rFonts w:ascii="Arial" w:cs="Arial" w:eastAsia="Arial" w:hAnsi="Arial"/>
                <w:sz w:val="18"/>
                <w:szCs w:val="18"/>
                <w:color w:val="auto"/>
              </w:rPr>
              <w:t>Tom Snyder Productions, Inc.</w:t>
            </w:r>
          </w:p>
        </w:tc>
        <w:tc>
          <w:tcPr>
            <w:tcW w:w="2480" w:type="dxa"/>
            <w:vAlign w:val="bottom"/>
          </w:tcPr>
          <w:p>
            <w:pPr>
              <w:ind w:left="1420"/>
              <w:spacing w:after="0"/>
              <w:rPr>
                <w:sz w:val="20"/>
                <w:szCs w:val="20"/>
                <w:color w:val="auto"/>
              </w:rPr>
            </w:pPr>
            <w:r>
              <w:rPr>
                <w:rFonts w:ascii="Arial" w:cs="Arial" w:eastAsia="Arial" w:hAnsi="Arial"/>
                <w:sz w:val="18"/>
                <w:szCs w:val="18"/>
                <w:color w:val="auto"/>
              </w:rPr>
              <w:t>Delaware</w:t>
            </w:r>
          </w:p>
        </w:tc>
      </w:tr>
      <w:tr>
        <w:trPr>
          <w:trHeight w:val="216"/>
        </w:trPr>
        <w:tc>
          <w:tcPr>
            <w:tcW w:w="20" w:type="dxa"/>
            <w:vAlign w:val="bottom"/>
          </w:tcPr>
          <w:p>
            <w:pPr>
              <w:spacing w:after="0"/>
              <w:rPr>
                <w:sz w:val="18"/>
                <w:szCs w:val="18"/>
                <w:color w:val="auto"/>
              </w:rPr>
            </w:pPr>
          </w:p>
        </w:tc>
        <w:tc>
          <w:tcPr>
            <w:tcW w:w="8960" w:type="dxa"/>
            <w:vAlign w:val="bottom"/>
            <w:gridSpan w:val="2"/>
          </w:tcPr>
          <w:p>
            <w:pPr>
              <w:ind w:left="440"/>
              <w:spacing w:after="0"/>
              <w:rPr>
                <w:sz w:val="20"/>
                <w:szCs w:val="20"/>
                <w:color w:val="auto"/>
              </w:rPr>
            </w:pPr>
            <w:r>
              <w:rPr>
                <w:rFonts w:ascii="Arial" w:cs="Arial" w:eastAsia="Arial" w:hAnsi="Arial"/>
                <w:sz w:val="18"/>
                <w:szCs w:val="18"/>
                <w:color w:val="auto"/>
              </w:rPr>
              <w:t>Soup2Nuts Inc.</w:t>
            </w:r>
          </w:p>
        </w:tc>
        <w:tc>
          <w:tcPr>
            <w:tcW w:w="2480" w:type="dxa"/>
            <w:vAlign w:val="bottom"/>
          </w:tcPr>
          <w:p>
            <w:pPr>
              <w:ind w:left="1420"/>
              <w:spacing w:after="0"/>
              <w:rPr>
                <w:sz w:val="20"/>
                <w:szCs w:val="20"/>
                <w:color w:val="auto"/>
              </w:rPr>
            </w:pPr>
            <w:r>
              <w:rPr>
                <w:rFonts w:ascii="Arial" w:cs="Arial" w:eastAsia="Arial" w:hAnsi="Arial"/>
                <w:sz w:val="18"/>
                <w:szCs w:val="18"/>
                <w:color w:val="auto"/>
              </w:rPr>
              <w:t>Delaware</w:t>
            </w:r>
          </w:p>
        </w:tc>
      </w:tr>
      <w:tr>
        <w:trPr>
          <w:trHeight w:val="216"/>
        </w:trPr>
        <w:tc>
          <w:tcPr>
            <w:tcW w:w="20" w:type="dxa"/>
            <w:vAlign w:val="bottom"/>
          </w:tcPr>
          <w:p>
            <w:pPr>
              <w:spacing w:after="0"/>
              <w:rPr>
                <w:sz w:val="18"/>
                <w:szCs w:val="18"/>
                <w:color w:val="auto"/>
              </w:rPr>
            </w:pPr>
          </w:p>
        </w:tc>
        <w:tc>
          <w:tcPr>
            <w:tcW w:w="8960" w:type="dxa"/>
            <w:vAlign w:val="bottom"/>
            <w:gridSpan w:val="2"/>
          </w:tcPr>
          <w:p>
            <w:pPr>
              <w:ind w:left="440"/>
              <w:spacing w:after="0"/>
              <w:rPr>
                <w:sz w:val="20"/>
                <w:szCs w:val="20"/>
                <w:color w:val="auto"/>
              </w:rPr>
            </w:pPr>
            <w:r>
              <w:rPr>
                <w:rFonts w:ascii="Arial" w:cs="Arial" w:eastAsia="Arial" w:hAnsi="Arial"/>
                <w:sz w:val="18"/>
                <w:szCs w:val="18"/>
                <w:color w:val="auto"/>
              </w:rPr>
              <w:t>Scholastic Distribution Services, L.L.C.</w:t>
            </w:r>
          </w:p>
        </w:tc>
        <w:tc>
          <w:tcPr>
            <w:tcW w:w="2480" w:type="dxa"/>
            <w:vAlign w:val="bottom"/>
          </w:tcPr>
          <w:p>
            <w:pPr>
              <w:ind w:left="1420"/>
              <w:spacing w:after="0"/>
              <w:rPr>
                <w:sz w:val="20"/>
                <w:szCs w:val="20"/>
                <w:color w:val="auto"/>
              </w:rPr>
            </w:pPr>
            <w:r>
              <w:rPr>
                <w:rFonts w:ascii="Arial" w:cs="Arial" w:eastAsia="Arial" w:hAnsi="Arial"/>
                <w:sz w:val="18"/>
                <w:szCs w:val="18"/>
                <w:color w:val="auto"/>
              </w:rPr>
              <w:t>Delaware</w:t>
            </w:r>
          </w:p>
        </w:tc>
      </w:tr>
      <w:tr>
        <w:trPr>
          <w:trHeight w:val="216"/>
        </w:trPr>
        <w:tc>
          <w:tcPr>
            <w:tcW w:w="20" w:type="dxa"/>
            <w:vAlign w:val="bottom"/>
          </w:tcPr>
          <w:p>
            <w:pPr>
              <w:spacing w:after="0"/>
              <w:rPr>
                <w:sz w:val="18"/>
                <w:szCs w:val="18"/>
                <w:color w:val="auto"/>
              </w:rPr>
            </w:pPr>
          </w:p>
        </w:tc>
        <w:tc>
          <w:tcPr>
            <w:tcW w:w="8960" w:type="dxa"/>
            <w:vAlign w:val="bottom"/>
            <w:gridSpan w:val="2"/>
          </w:tcPr>
          <w:p>
            <w:pPr>
              <w:ind w:left="440"/>
              <w:spacing w:after="0"/>
              <w:rPr>
                <w:sz w:val="20"/>
                <w:szCs w:val="20"/>
                <w:color w:val="auto"/>
              </w:rPr>
            </w:pPr>
            <w:r>
              <w:rPr>
                <w:rFonts w:ascii="Arial" w:cs="Arial" w:eastAsia="Arial" w:hAnsi="Arial"/>
                <w:sz w:val="18"/>
                <w:szCs w:val="18"/>
                <w:color w:val="auto"/>
              </w:rPr>
              <w:t>RetroRanch Inc. (formerly Science Court Inc.)</w:t>
            </w:r>
          </w:p>
        </w:tc>
        <w:tc>
          <w:tcPr>
            <w:tcW w:w="2480" w:type="dxa"/>
            <w:vAlign w:val="bottom"/>
          </w:tcPr>
          <w:p>
            <w:pPr>
              <w:ind w:left="1420"/>
              <w:spacing w:after="0"/>
              <w:rPr>
                <w:sz w:val="20"/>
                <w:szCs w:val="20"/>
                <w:color w:val="auto"/>
              </w:rPr>
            </w:pPr>
            <w:r>
              <w:rPr>
                <w:rFonts w:ascii="Arial" w:cs="Arial" w:eastAsia="Arial" w:hAnsi="Arial"/>
                <w:sz w:val="18"/>
                <w:szCs w:val="18"/>
                <w:color w:val="auto"/>
              </w:rPr>
              <w:t>Delaware</w:t>
            </w:r>
          </w:p>
        </w:tc>
      </w:tr>
      <w:tr>
        <w:trPr>
          <w:trHeight w:val="216"/>
        </w:trPr>
        <w:tc>
          <w:tcPr>
            <w:tcW w:w="20" w:type="dxa"/>
            <w:vAlign w:val="bottom"/>
          </w:tcPr>
          <w:p>
            <w:pPr>
              <w:spacing w:after="0"/>
              <w:rPr>
                <w:sz w:val="18"/>
                <w:szCs w:val="18"/>
                <w:color w:val="auto"/>
              </w:rPr>
            </w:pPr>
          </w:p>
        </w:tc>
        <w:tc>
          <w:tcPr>
            <w:tcW w:w="8960" w:type="dxa"/>
            <w:vAlign w:val="bottom"/>
            <w:gridSpan w:val="2"/>
          </w:tcPr>
          <w:p>
            <w:pPr>
              <w:ind w:left="440"/>
              <w:spacing w:after="0"/>
              <w:rPr>
                <w:sz w:val="20"/>
                <w:szCs w:val="20"/>
                <w:color w:val="auto"/>
              </w:rPr>
            </w:pPr>
            <w:r>
              <w:rPr>
                <w:rFonts w:ascii="Arial" w:cs="Arial" w:eastAsia="Arial" w:hAnsi="Arial"/>
                <w:sz w:val="18"/>
                <w:szCs w:val="18"/>
                <w:color w:val="auto"/>
              </w:rPr>
              <w:t>Klutz</w:t>
            </w:r>
          </w:p>
        </w:tc>
        <w:tc>
          <w:tcPr>
            <w:tcW w:w="2480" w:type="dxa"/>
            <w:vAlign w:val="bottom"/>
          </w:tcPr>
          <w:p>
            <w:pPr>
              <w:ind w:left="1420"/>
              <w:spacing w:after="0"/>
              <w:rPr>
                <w:sz w:val="20"/>
                <w:szCs w:val="20"/>
                <w:color w:val="auto"/>
              </w:rPr>
            </w:pPr>
            <w:r>
              <w:rPr>
                <w:rFonts w:ascii="Arial" w:cs="Arial" w:eastAsia="Arial" w:hAnsi="Arial"/>
                <w:sz w:val="18"/>
                <w:szCs w:val="18"/>
                <w:color w:val="auto"/>
              </w:rPr>
              <w:t>California</w:t>
            </w:r>
          </w:p>
        </w:tc>
      </w:tr>
      <w:tr>
        <w:trPr>
          <w:trHeight w:val="216"/>
        </w:trPr>
        <w:tc>
          <w:tcPr>
            <w:tcW w:w="20" w:type="dxa"/>
            <w:vAlign w:val="bottom"/>
          </w:tcPr>
          <w:p>
            <w:pPr>
              <w:spacing w:after="0"/>
              <w:rPr>
                <w:sz w:val="18"/>
                <w:szCs w:val="18"/>
                <w:color w:val="auto"/>
              </w:rPr>
            </w:pPr>
          </w:p>
        </w:tc>
        <w:tc>
          <w:tcPr>
            <w:tcW w:w="8960" w:type="dxa"/>
            <w:vAlign w:val="bottom"/>
            <w:gridSpan w:val="2"/>
          </w:tcPr>
          <w:p>
            <w:pPr>
              <w:ind w:left="440"/>
              <w:spacing w:after="0"/>
              <w:rPr>
                <w:sz w:val="20"/>
                <w:szCs w:val="20"/>
                <w:color w:val="auto"/>
              </w:rPr>
            </w:pPr>
            <w:r>
              <w:rPr>
                <w:rFonts w:ascii="Arial" w:cs="Arial" w:eastAsia="Arial" w:hAnsi="Arial"/>
                <w:sz w:val="18"/>
                <w:szCs w:val="18"/>
                <w:color w:val="auto"/>
              </w:rPr>
              <w:t>Sandvik Publishing Ltd.</w:t>
            </w:r>
          </w:p>
        </w:tc>
        <w:tc>
          <w:tcPr>
            <w:tcW w:w="2480" w:type="dxa"/>
            <w:vAlign w:val="bottom"/>
          </w:tcPr>
          <w:p>
            <w:pPr>
              <w:ind w:left="1420"/>
              <w:spacing w:after="0"/>
              <w:rPr>
                <w:sz w:val="20"/>
                <w:szCs w:val="20"/>
                <w:color w:val="auto"/>
              </w:rPr>
            </w:pPr>
            <w:r>
              <w:rPr>
                <w:rFonts w:ascii="Arial" w:cs="Arial" w:eastAsia="Arial" w:hAnsi="Arial"/>
                <w:sz w:val="18"/>
                <w:szCs w:val="18"/>
                <w:color w:val="auto"/>
              </w:rPr>
              <w:t>Nevada</w:t>
            </w:r>
          </w:p>
        </w:tc>
      </w:tr>
      <w:tr>
        <w:trPr>
          <w:trHeight w:val="217"/>
        </w:trPr>
        <w:tc>
          <w:tcPr>
            <w:tcW w:w="20" w:type="dxa"/>
            <w:vAlign w:val="bottom"/>
          </w:tcPr>
          <w:p>
            <w:pPr>
              <w:spacing w:after="0"/>
              <w:rPr>
                <w:sz w:val="18"/>
                <w:szCs w:val="18"/>
                <w:color w:val="auto"/>
              </w:rPr>
            </w:pPr>
          </w:p>
        </w:tc>
        <w:tc>
          <w:tcPr>
            <w:tcW w:w="8960" w:type="dxa"/>
            <w:vAlign w:val="bottom"/>
            <w:gridSpan w:val="2"/>
          </w:tcPr>
          <w:p>
            <w:pPr>
              <w:ind w:left="440"/>
              <w:spacing w:after="0"/>
              <w:rPr>
                <w:sz w:val="20"/>
                <w:szCs w:val="20"/>
                <w:color w:val="auto"/>
              </w:rPr>
            </w:pPr>
            <w:r>
              <w:rPr>
                <w:rFonts w:ascii="Arial" w:cs="Arial" w:eastAsia="Arial" w:hAnsi="Arial"/>
                <w:sz w:val="18"/>
                <w:szCs w:val="18"/>
                <w:color w:val="auto"/>
              </w:rPr>
              <w:t>Teacher’s Friend Publications, Inc.</w:t>
            </w:r>
          </w:p>
        </w:tc>
        <w:tc>
          <w:tcPr>
            <w:tcW w:w="2480" w:type="dxa"/>
            <w:vAlign w:val="bottom"/>
          </w:tcPr>
          <w:p>
            <w:pPr>
              <w:ind w:left="1420"/>
              <w:spacing w:after="0"/>
              <w:rPr>
                <w:sz w:val="20"/>
                <w:szCs w:val="20"/>
                <w:color w:val="auto"/>
              </w:rPr>
            </w:pPr>
            <w:r>
              <w:rPr>
                <w:rFonts w:ascii="Arial" w:cs="Arial" w:eastAsia="Arial" w:hAnsi="Arial"/>
                <w:sz w:val="18"/>
                <w:szCs w:val="18"/>
                <w:color w:val="auto"/>
              </w:rPr>
              <w:t>California</w:t>
            </w:r>
          </w:p>
        </w:tc>
      </w:tr>
      <w:tr>
        <w:trPr>
          <w:trHeight w:val="255"/>
        </w:trPr>
        <w:tc>
          <w:tcPr>
            <w:tcW w:w="20" w:type="dxa"/>
            <w:vAlign w:val="bottom"/>
          </w:tcPr>
          <w:p>
            <w:pPr>
              <w:spacing w:after="0"/>
              <w:rPr>
                <w:sz w:val="22"/>
                <w:szCs w:val="22"/>
                <w:color w:val="auto"/>
              </w:rPr>
            </w:pPr>
          </w:p>
        </w:tc>
        <w:tc>
          <w:tcPr>
            <w:tcW w:w="8960" w:type="dxa"/>
            <w:vAlign w:val="bottom"/>
            <w:gridSpan w:val="2"/>
          </w:tcPr>
          <w:p>
            <w:pPr>
              <w:ind w:left="440"/>
              <w:spacing w:after="0" w:line="255" w:lineRule="exact"/>
              <w:rPr>
                <w:sz w:val="20"/>
                <w:szCs w:val="20"/>
                <w:color w:val="auto"/>
              </w:rPr>
            </w:pPr>
            <w:r>
              <w:rPr>
                <w:rFonts w:ascii="Arial" w:cs="Arial" w:eastAsia="Arial" w:hAnsi="Arial"/>
                <w:sz w:val="18"/>
                <w:szCs w:val="18"/>
                <w:color w:val="auto"/>
              </w:rPr>
              <w:t xml:space="preserve">The Book People Inc. </w:t>
            </w:r>
            <w:r>
              <w:rPr>
                <w:rFonts w:ascii="Arial" w:cs="Arial" w:eastAsia="Arial" w:hAnsi="Arial"/>
                <w:sz w:val="29"/>
                <w:szCs w:val="29"/>
                <w:color w:val="auto"/>
                <w:vertAlign w:val="superscript"/>
              </w:rPr>
              <w:t>2</w:t>
            </w:r>
          </w:p>
        </w:tc>
        <w:tc>
          <w:tcPr>
            <w:tcW w:w="2480" w:type="dxa"/>
            <w:vAlign w:val="bottom"/>
          </w:tcPr>
          <w:p>
            <w:pPr>
              <w:ind w:left="1420"/>
              <w:spacing w:after="0"/>
              <w:rPr>
                <w:sz w:val="20"/>
                <w:szCs w:val="20"/>
                <w:color w:val="auto"/>
              </w:rPr>
            </w:pPr>
            <w:r>
              <w:rPr>
                <w:rFonts w:ascii="Arial" w:cs="Arial" w:eastAsia="Arial" w:hAnsi="Arial"/>
                <w:sz w:val="18"/>
                <w:szCs w:val="18"/>
                <w:color w:val="auto"/>
              </w:rPr>
              <w:t>Delaware</w:t>
            </w:r>
          </w:p>
        </w:tc>
      </w:tr>
      <w:tr>
        <w:trPr>
          <w:trHeight w:val="216"/>
        </w:trPr>
        <w:tc>
          <w:tcPr>
            <w:tcW w:w="20" w:type="dxa"/>
            <w:vAlign w:val="bottom"/>
          </w:tcPr>
          <w:p>
            <w:pPr>
              <w:spacing w:after="0"/>
              <w:rPr>
                <w:sz w:val="18"/>
                <w:szCs w:val="18"/>
                <w:color w:val="auto"/>
              </w:rPr>
            </w:pPr>
          </w:p>
        </w:tc>
        <w:tc>
          <w:tcPr>
            <w:tcW w:w="8960" w:type="dxa"/>
            <w:vAlign w:val="bottom"/>
            <w:gridSpan w:val="2"/>
          </w:tcPr>
          <w:p>
            <w:pPr>
              <w:ind w:left="440"/>
              <w:spacing w:after="0"/>
              <w:rPr>
                <w:sz w:val="20"/>
                <w:szCs w:val="20"/>
                <w:color w:val="auto"/>
              </w:rPr>
            </w:pPr>
            <w:r>
              <w:rPr>
                <w:rFonts w:ascii="Arial" w:cs="Arial" w:eastAsia="Arial" w:hAnsi="Arial"/>
                <w:sz w:val="18"/>
                <w:szCs w:val="18"/>
                <w:color w:val="auto"/>
              </w:rPr>
              <w:t>Scholastic Export Inc.</w:t>
            </w:r>
          </w:p>
        </w:tc>
        <w:tc>
          <w:tcPr>
            <w:tcW w:w="2480" w:type="dxa"/>
            <w:vAlign w:val="bottom"/>
          </w:tcPr>
          <w:p>
            <w:pPr>
              <w:ind w:left="1420"/>
              <w:spacing w:after="0"/>
              <w:rPr>
                <w:sz w:val="20"/>
                <w:szCs w:val="20"/>
                <w:color w:val="auto"/>
              </w:rPr>
            </w:pPr>
            <w:r>
              <w:rPr>
                <w:rFonts w:ascii="Arial" w:cs="Arial" w:eastAsia="Arial" w:hAnsi="Arial"/>
                <w:sz w:val="18"/>
                <w:szCs w:val="18"/>
                <w:color w:val="auto"/>
              </w:rPr>
              <w:t>Delaware</w:t>
            </w:r>
          </w:p>
        </w:tc>
      </w:tr>
      <w:tr>
        <w:trPr>
          <w:trHeight w:val="216"/>
        </w:trPr>
        <w:tc>
          <w:tcPr>
            <w:tcW w:w="20" w:type="dxa"/>
            <w:vAlign w:val="bottom"/>
          </w:tcPr>
          <w:p>
            <w:pPr>
              <w:spacing w:after="0"/>
              <w:rPr>
                <w:sz w:val="18"/>
                <w:szCs w:val="18"/>
                <w:color w:val="auto"/>
              </w:rPr>
            </w:pPr>
          </w:p>
        </w:tc>
        <w:tc>
          <w:tcPr>
            <w:tcW w:w="8960" w:type="dxa"/>
            <w:vAlign w:val="bottom"/>
            <w:gridSpan w:val="2"/>
          </w:tcPr>
          <w:p>
            <w:pPr>
              <w:ind w:left="920"/>
              <w:spacing w:after="0"/>
              <w:rPr>
                <w:sz w:val="20"/>
                <w:szCs w:val="20"/>
                <w:color w:val="auto"/>
              </w:rPr>
            </w:pPr>
            <w:r>
              <w:rPr>
                <w:rFonts w:ascii="Arial" w:cs="Arial" w:eastAsia="Arial" w:hAnsi="Arial"/>
                <w:sz w:val="18"/>
                <w:szCs w:val="18"/>
                <w:color w:val="auto"/>
              </w:rPr>
              <w:t>Learned Realty L.L.C.</w:t>
            </w:r>
          </w:p>
        </w:tc>
        <w:tc>
          <w:tcPr>
            <w:tcW w:w="2480" w:type="dxa"/>
            <w:vAlign w:val="bottom"/>
          </w:tcPr>
          <w:p>
            <w:pPr>
              <w:ind w:left="1420"/>
              <w:spacing w:after="0"/>
              <w:rPr>
                <w:sz w:val="20"/>
                <w:szCs w:val="20"/>
                <w:color w:val="auto"/>
              </w:rPr>
            </w:pPr>
            <w:r>
              <w:rPr>
                <w:rFonts w:ascii="Arial" w:cs="Arial" w:eastAsia="Arial" w:hAnsi="Arial"/>
                <w:sz w:val="18"/>
                <w:szCs w:val="18"/>
                <w:color w:val="auto"/>
              </w:rPr>
              <w:t>New York</w:t>
            </w:r>
          </w:p>
        </w:tc>
      </w:tr>
      <w:tr>
        <w:trPr>
          <w:trHeight w:val="216"/>
        </w:trPr>
        <w:tc>
          <w:tcPr>
            <w:tcW w:w="20" w:type="dxa"/>
            <w:vAlign w:val="bottom"/>
          </w:tcPr>
          <w:p>
            <w:pPr>
              <w:spacing w:after="0"/>
              <w:rPr>
                <w:sz w:val="18"/>
                <w:szCs w:val="18"/>
                <w:color w:val="auto"/>
              </w:rPr>
            </w:pPr>
          </w:p>
        </w:tc>
        <w:tc>
          <w:tcPr>
            <w:tcW w:w="8960" w:type="dxa"/>
            <w:vAlign w:val="bottom"/>
            <w:gridSpan w:val="2"/>
          </w:tcPr>
          <w:p>
            <w:pPr>
              <w:ind w:left="440"/>
              <w:spacing w:after="0"/>
              <w:rPr>
                <w:sz w:val="20"/>
                <w:szCs w:val="20"/>
                <w:color w:val="auto"/>
              </w:rPr>
            </w:pPr>
            <w:r>
              <w:rPr>
                <w:rFonts w:ascii="Arial" w:cs="Arial" w:eastAsia="Arial" w:hAnsi="Arial"/>
                <w:sz w:val="18"/>
                <w:szCs w:val="18"/>
                <w:color w:val="auto"/>
              </w:rPr>
              <w:t>Scholastic Book Fairs, Inc.</w:t>
            </w:r>
          </w:p>
        </w:tc>
        <w:tc>
          <w:tcPr>
            <w:tcW w:w="2480" w:type="dxa"/>
            <w:vAlign w:val="bottom"/>
          </w:tcPr>
          <w:p>
            <w:pPr>
              <w:ind w:left="1420"/>
              <w:spacing w:after="0"/>
              <w:rPr>
                <w:sz w:val="20"/>
                <w:szCs w:val="20"/>
                <w:color w:val="auto"/>
              </w:rPr>
            </w:pPr>
            <w:r>
              <w:rPr>
                <w:rFonts w:ascii="Arial" w:cs="Arial" w:eastAsia="Arial" w:hAnsi="Arial"/>
                <w:sz w:val="18"/>
                <w:szCs w:val="18"/>
                <w:color w:val="auto"/>
              </w:rPr>
              <w:t>Delaware</w:t>
            </w:r>
          </w:p>
        </w:tc>
      </w:tr>
      <w:tr>
        <w:trPr>
          <w:trHeight w:val="216"/>
        </w:trPr>
        <w:tc>
          <w:tcPr>
            <w:tcW w:w="20" w:type="dxa"/>
            <w:vAlign w:val="bottom"/>
          </w:tcPr>
          <w:p>
            <w:pPr>
              <w:spacing w:after="0"/>
              <w:rPr>
                <w:sz w:val="18"/>
                <w:szCs w:val="18"/>
                <w:color w:val="auto"/>
              </w:rPr>
            </w:pPr>
          </w:p>
        </w:tc>
        <w:tc>
          <w:tcPr>
            <w:tcW w:w="8960" w:type="dxa"/>
            <w:vAlign w:val="bottom"/>
            <w:gridSpan w:val="2"/>
          </w:tcPr>
          <w:p>
            <w:pPr>
              <w:ind w:left="440"/>
              <w:spacing w:after="0"/>
              <w:rPr>
                <w:sz w:val="20"/>
                <w:szCs w:val="20"/>
                <w:color w:val="auto"/>
              </w:rPr>
            </w:pPr>
            <w:r>
              <w:rPr>
                <w:rFonts w:ascii="Arial" w:cs="Arial" w:eastAsia="Arial" w:hAnsi="Arial"/>
                <w:sz w:val="18"/>
                <w:szCs w:val="18"/>
                <w:color w:val="auto"/>
              </w:rPr>
              <w:t>BTBCAT, Inc.</w:t>
            </w:r>
          </w:p>
        </w:tc>
        <w:tc>
          <w:tcPr>
            <w:tcW w:w="2480" w:type="dxa"/>
            <w:vAlign w:val="bottom"/>
          </w:tcPr>
          <w:p>
            <w:pPr>
              <w:ind w:left="1420"/>
              <w:spacing w:after="0"/>
              <w:rPr>
                <w:sz w:val="20"/>
                <w:szCs w:val="20"/>
                <w:color w:val="auto"/>
              </w:rPr>
            </w:pPr>
            <w:r>
              <w:rPr>
                <w:rFonts w:ascii="Arial" w:cs="Arial" w:eastAsia="Arial" w:hAnsi="Arial"/>
                <w:sz w:val="18"/>
                <w:szCs w:val="18"/>
                <w:color w:val="auto"/>
              </w:rPr>
              <w:t>Delaware</w:t>
            </w:r>
          </w:p>
        </w:tc>
      </w:tr>
      <w:tr>
        <w:trPr>
          <w:trHeight w:val="216"/>
        </w:trPr>
        <w:tc>
          <w:tcPr>
            <w:tcW w:w="20" w:type="dxa"/>
            <w:vAlign w:val="bottom"/>
          </w:tcPr>
          <w:p>
            <w:pPr>
              <w:spacing w:after="0"/>
              <w:rPr>
                <w:sz w:val="18"/>
                <w:szCs w:val="18"/>
                <w:color w:val="auto"/>
              </w:rPr>
            </w:pPr>
          </w:p>
        </w:tc>
        <w:tc>
          <w:tcPr>
            <w:tcW w:w="8960" w:type="dxa"/>
            <w:vAlign w:val="bottom"/>
            <w:gridSpan w:val="2"/>
          </w:tcPr>
          <w:p>
            <w:pPr>
              <w:ind w:left="440"/>
              <w:spacing w:after="0"/>
              <w:rPr>
                <w:sz w:val="20"/>
                <w:szCs w:val="20"/>
                <w:color w:val="auto"/>
              </w:rPr>
            </w:pPr>
            <w:r>
              <w:rPr>
                <w:rFonts w:ascii="Arial" w:cs="Arial" w:eastAsia="Arial" w:hAnsi="Arial"/>
                <w:sz w:val="18"/>
                <w:szCs w:val="18"/>
                <w:color w:val="auto"/>
              </w:rPr>
              <w:t>Teacher Synergy, Inc.</w:t>
            </w:r>
          </w:p>
        </w:tc>
        <w:tc>
          <w:tcPr>
            <w:tcW w:w="2480" w:type="dxa"/>
            <w:vAlign w:val="bottom"/>
          </w:tcPr>
          <w:p>
            <w:pPr>
              <w:ind w:left="1420"/>
              <w:spacing w:after="0"/>
              <w:rPr>
                <w:sz w:val="20"/>
                <w:szCs w:val="20"/>
                <w:color w:val="auto"/>
              </w:rPr>
            </w:pPr>
            <w:r>
              <w:rPr>
                <w:rFonts w:ascii="Arial" w:cs="Arial" w:eastAsia="Arial" w:hAnsi="Arial"/>
                <w:sz w:val="18"/>
                <w:szCs w:val="18"/>
                <w:color w:val="auto"/>
              </w:rPr>
              <w:t>Delaware</w:t>
            </w:r>
          </w:p>
        </w:tc>
      </w:tr>
      <w:tr>
        <w:trPr>
          <w:trHeight w:val="216"/>
        </w:trPr>
        <w:tc>
          <w:tcPr>
            <w:tcW w:w="20" w:type="dxa"/>
            <w:vAlign w:val="bottom"/>
          </w:tcPr>
          <w:p>
            <w:pPr>
              <w:spacing w:after="0"/>
              <w:rPr>
                <w:sz w:val="18"/>
                <w:szCs w:val="18"/>
                <w:color w:val="auto"/>
              </w:rPr>
            </w:pPr>
          </w:p>
        </w:tc>
        <w:tc>
          <w:tcPr>
            <w:tcW w:w="8960" w:type="dxa"/>
            <w:vAlign w:val="bottom"/>
            <w:gridSpan w:val="2"/>
          </w:tcPr>
          <w:p>
            <w:pPr>
              <w:ind w:left="440"/>
              <w:spacing w:after="0"/>
              <w:rPr>
                <w:sz w:val="20"/>
                <w:szCs w:val="20"/>
                <w:color w:val="auto"/>
              </w:rPr>
            </w:pPr>
            <w:r>
              <w:rPr>
                <w:rFonts w:ascii="Arial" w:cs="Arial" w:eastAsia="Arial" w:hAnsi="Arial"/>
                <w:sz w:val="18"/>
                <w:szCs w:val="18"/>
                <w:color w:val="auto"/>
              </w:rPr>
              <w:t>International Center for Leadership in Education, Inc.</w:t>
            </w:r>
          </w:p>
        </w:tc>
        <w:tc>
          <w:tcPr>
            <w:tcW w:w="2480" w:type="dxa"/>
            <w:vAlign w:val="bottom"/>
          </w:tcPr>
          <w:p>
            <w:pPr>
              <w:ind w:left="1420"/>
              <w:spacing w:after="0"/>
              <w:rPr>
                <w:sz w:val="20"/>
                <w:szCs w:val="20"/>
                <w:color w:val="auto"/>
              </w:rPr>
            </w:pPr>
            <w:r>
              <w:rPr>
                <w:rFonts w:ascii="Arial" w:cs="Arial" w:eastAsia="Arial" w:hAnsi="Arial"/>
                <w:sz w:val="18"/>
                <w:szCs w:val="18"/>
                <w:color w:val="auto"/>
              </w:rPr>
              <w:t>New York</w:t>
            </w:r>
          </w:p>
        </w:tc>
      </w:tr>
      <w:tr>
        <w:trPr>
          <w:trHeight w:val="216"/>
        </w:trPr>
        <w:tc>
          <w:tcPr>
            <w:tcW w:w="20" w:type="dxa"/>
            <w:vAlign w:val="bottom"/>
          </w:tcPr>
          <w:p>
            <w:pPr>
              <w:spacing w:after="0"/>
              <w:rPr>
                <w:sz w:val="18"/>
                <w:szCs w:val="18"/>
                <w:color w:val="auto"/>
              </w:rPr>
            </w:pPr>
          </w:p>
        </w:tc>
        <w:tc>
          <w:tcPr>
            <w:tcW w:w="8960" w:type="dxa"/>
            <w:vAlign w:val="bottom"/>
            <w:gridSpan w:val="2"/>
          </w:tcPr>
          <w:p>
            <w:pPr>
              <w:ind w:left="440"/>
              <w:spacing w:after="0"/>
              <w:rPr>
                <w:sz w:val="20"/>
                <w:szCs w:val="20"/>
                <w:color w:val="auto"/>
              </w:rPr>
            </w:pPr>
            <w:r>
              <w:rPr>
                <w:rFonts w:ascii="Arial" w:cs="Arial" w:eastAsia="Arial" w:hAnsi="Arial"/>
                <w:sz w:val="18"/>
                <w:szCs w:val="18"/>
                <w:color w:val="auto"/>
              </w:rPr>
              <w:t>Scholastic Australia Pty. Ltd.</w:t>
            </w:r>
          </w:p>
        </w:tc>
        <w:tc>
          <w:tcPr>
            <w:tcW w:w="2480" w:type="dxa"/>
            <w:vAlign w:val="bottom"/>
          </w:tcPr>
          <w:p>
            <w:pPr>
              <w:ind w:left="1420"/>
              <w:spacing w:after="0"/>
              <w:rPr>
                <w:sz w:val="20"/>
                <w:szCs w:val="20"/>
                <w:color w:val="auto"/>
              </w:rPr>
            </w:pPr>
            <w:r>
              <w:rPr>
                <w:rFonts w:ascii="Arial" w:cs="Arial" w:eastAsia="Arial" w:hAnsi="Arial"/>
                <w:sz w:val="18"/>
                <w:szCs w:val="18"/>
                <w:color w:val="auto"/>
              </w:rPr>
              <w:t>Australia</w:t>
            </w:r>
          </w:p>
        </w:tc>
      </w:tr>
      <w:tr>
        <w:trPr>
          <w:trHeight w:val="216"/>
        </w:trPr>
        <w:tc>
          <w:tcPr>
            <w:tcW w:w="20" w:type="dxa"/>
            <w:vAlign w:val="bottom"/>
          </w:tcPr>
          <w:p>
            <w:pPr>
              <w:spacing w:after="0"/>
              <w:rPr>
                <w:sz w:val="18"/>
                <w:szCs w:val="18"/>
                <w:color w:val="auto"/>
              </w:rPr>
            </w:pPr>
          </w:p>
        </w:tc>
        <w:tc>
          <w:tcPr>
            <w:tcW w:w="8960" w:type="dxa"/>
            <w:vAlign w:val="bottom"/>
            <w:gridSpan w:val="2"/>
          </w:tcPr>
          <w:p>
            <w:pPr>
              <w:ind w:left="920"/>
              <w:spacing w:after="0"/>
              <w:rPr>
                <w:sz w:val="20"/>
                <w:szCs w:val="20"/>
                <w:color w:val="auto"/>
              </w:rPr>
            </w:pPr>
            <w:r>
              <w:rPr>
                <w:rFonts w:ascii="Arial" w:cs="Arial" w:eastAsia="Arial" w:hAnsi="Arial"/>
                <w:sz w:val="18"/>
                <w:szCs w:val="18"/>
                <w:color w:val="auto"/>
              </w:rPr>
              <w:t>Bookshelf Publishing Australia Pty. Ltd.</w:t>
            </w:r>
          </w:p>
        </w:tc>
        <w:tc>
          <w:tcPr>
            <w:tcW w:w="2480" w:type="dxa"/>
            <w:vAlign w:val="bottom"/>
          </w:tcPr>
          <w:p>
            <w:pPr>
              <w:ind w:left="1420"/>
              <w:spacing w:after="0"/>
              <w:rPr>
                <w:sz w:val="20"/>
                <w:szCs w:val="20"/>
                <w:color w:val="auto"/>
              </w:rPr>
            </w:pPr>
            <w:r>
              <w:rPr>
                <w:rFonts w:ascii="Arial" w:cs="Arial" w:eastAsia="Arial" w:hAnsi="Arial"/>
                <w:sz w:val="18"/>
                <w:szCs w:val="18"/>
                <w:color w:val="auto"/>
              </w:rPr>
              <w:t>Australia</w:t>
            </w:r>
          </w:p>
        </w:tc>
      </w:tr>
      <w:tr>
        <w:trPr>
          <w:trHeight w:val="216"/>
        </w:trPr>
        <w:tc>
          <w:tcPr>
            <w:tcW w:w="20" w:type="dxa"/>
            <w:vAlign w:val="bottom"/>
          </w:tcPr>
          <w:p>
            <w:pPr>
              <w:spacing w:after="0"/>
              <w:rPr>
                <w:sz w:val="18"/>
                <w:szCs w:val="18"/>
                <w:color w:val="auto"/>
              </w:rPr>
            </w:pPr>
          </w:p>
        </w:tc>
        <w:tc>
          <w:tcPr>
            <w:tcW w:w="8960" w:type="dxa"/>
            <w:vAlign w:val="bottom"/>
            <w:gridSpan w:val="2"/>
          </w:tcPr>
          <w:p>
            <w:pPr>
              <w:ind w:left="920"/>
              <w:spacing w:after="0"/>
              <w:rPr>
                <w:sz w:val="20"/>
                <w:szCs w:val="20"/>
                <w:color w:val="auto"/>
              </w:rPr>
            </w:pPr>
            <w:r>
              <w:rPr>
                <w:rFonts w:ascii="Arial" w:cs="Arial" w:eastAsia="Arial" w:hAnsi="Arial"/>
                <w:sz w:val="18"/>
                <w:szCs w:val="18"/>
                <w:color w:val="auto"/>
              </w:rPr>
              <w:t>Troll School Book Clubs and Fairs Australia Pty. Ltd.</w:t>
            </w:r>
          </w:p>
        </w:tc>
        <w:tc>
          <w:tcPr>
            <w:tcW w:w="2480" w:type="dxa"/>
            <w:vAlign w:val="bottom"/>
          </w:tcPr>
          <w:p>
            <w:pPr>
              <w:ind w:left="1420"/>
              <w:spacing w:after="0"/>
              <w:rPr>
                <w:sz w:val="20"/>
                <w:szCs w:val="20"/>
                <w:color w:val="auto"/>
              </w:rPr>
            </w:pPr>
            <w:r>
              <w:rPr>
                <w:rFonts w:ascii="Arial" w:cs="Arial" w:eastAsia="Arial" w:hAnsi="Arial"/>
                <w:sz w:val="18"/>
                <w:szCs w:val="18"/>
                <w:color w:val="auto"/>
              </w:rPr>
              <w:t>Australia</w:t>
            </w:r>
          </w:p>
        </w:tc>
      </w:tr>
      <w:tr>
        <w:trPr>
          <w:trHeight w:val="216"/>
        </w:trPr>
        <w:tc>
          <w:tcPr>
            <w:tcW w:w="20" w:type="dxa"/>
            <w:vAlign w:val="bottom"/>
          </w:tcPr>
          <w:p>
            <w:pPr>
              <w:spacing w:after="0"/>
              <w:rPr>
                <w:sz w:val="18"/>
                <w:szCs w:val="18"/>
                <w:color w:val="auto"/>
              </w:rPr>
            </w:pPr>
          </w:p>
        </w:tc>
        <w:tc>
          <w:tcPr>
            <w:tcW w:w="8960" w:type="dxa"/>
            <w:vAlign w:val="bottom"/>
            <w:gridSpan w:val="2"/>
          </w:tcPr>
          <w:p>
            <w:pPr>
              <w:ind w:left="920"/>
              <w:spacing w:after="0"/>
              <w:rPr>
                <w:sz w:val="20"/>
                <w:szCs w:val="20"/>
                <w:color w:val="auto"/>
              </w:rPr>
            </w:pPr>
            <w:r>
              <w:rPr>
                <w:rFonts w:ascii="Arial" w:cs="Arial" w:eastAsia="Arial" w:hAnsi="Arial"/>
                <w:sz w:val="18"/>
                <w:szCs w:val="18"/>
                <w:color w:val="auto"/>
              </w:rPr>
              <w:t>Scholastic Australia Superannuation Pty. Ltd.</w:t>
            </w:r>
          </w:p>
        </w:tc>
        <w:tc>
          <w:tcPr>
            <w:tcW w:w="2480" w:type="dxa"/>
            <w:vAlign w:val="bottom"/>
          </w:tcPr>
          <w:p>
            <w:pPr>
              <w:ind w:left="1420"/>
              <w:spacing w:after="0"/>
              <w:rPr>
                <w:sz w:val="20"/>
                <w:szCs w:val="20"/>
                <w:color w:val="auto"/>
              </w:rPr>
            </w:pPr>
            <w:r>
              <w:rPr>
                <w:rFonts w:ascii="Arial" w:cs="Arial" w:eastAsia="Arial" w:hAnsi="Arial"/>
                <w:sz w:val="18"/>
                <w:szCs w:val="18"/>
                <w:color w:val="auto"/>
              </w:rPr>
              <w:t>Australia</w:t>
            </w:r>
          </w:p>
        </w:tc>
      </w:tr>
      <w:tr>
        <w:trPr>
          <w:trHeight w:val="216"/>
        </w:trPr>
        <w:tc>
          <w:tcPr>
            <w:tcW w:w="20" w:type="dxa"/>
            <w:vAlign w:val="bottom"/>
          </w:tcPr>
          <w:p>
            <w:pPr>
              <w:spacing w:after="0"/>
              <w:rPr>
                <w:sz w:val="18"/>
                <w:szCs w:val="18"/>
                <w:color w:val="auto"/>
              </w:rPr>
            </w:pPr>
          </w:p>
        </w:tc>
        <w:tc>
          <w:tcPr>
            <w:tcW w:w="8960" w:type="dxa"/>
            <w:vAlign w:val="bottom"/>
            <w:gridSpan w:val="2"/>
          </w:tcPr>
          <w:p>
            <w:pPr>
              <w:ind w:left="920"/>
              <w:spacing w:after="0"/>
              <w:rPr>
                <w:sz w:val="20"/>
                <w:szCs w:val="20"/>
                <w:color w:val="auto"/>
              </w:rPr>
            </w:pPr>
            <w:r>
              <w:rPr>
                <w:rFonts w:ascii="Arial" w:cs="Arial" w:eastAsia="Arial" w:hAnsi="Arial"/>
                <w:sz w:val="18"/>
                <w:szCs w:val="18"/>
                <w:color w:val="auto"/>
              </w:rPr>
              <w:t>Scholastic Executive Superannuation Pty. Ltd.</w:t>
            </w:r>
          </w:p>
        </w:tc>
        <w:tc>
          <w:tcPr>
            <w:tcW w:w="2480" w:type="dxa"/>
            <w:vAlign w:val="bottom"/>
          </w:tcPr>
          <w:p>
            <w:pPr>
              <w:ind w:left="1420"/>
              <w:spacing w:after="0"/>
              <w:rPr>
                <w:sz w:val="20"/>
                <w:szCs w:val="20"/>
                <w:color w:val="auto"/>
              </w:rPr>
            </w:pPr>
            <w:r>
              <w:rPr>
                <w:rFonts w:ascii="Arial" w:cs="Arial" w:eastAsia="Arial" w:hAnsi="Arial"/>
                <w:sz w:val="18"/>
                <w:szCs w:val="18"/>
                <w:color w:val="auto"/>
              </w:rPr>
              <w:t>Australia</w:t>
            </w:r>
          </w:p>
        </w:tc>
      </w:tr>
      <w:tr>
        <w:trPr>
          <w:trHeight w:val="216"/>
        </w:trPr>
        <w:tc>
          <w:tcPr>
            <w:tcW w:w="20" w:type="dxa"/>
            <w:vAlign w:val="bottom"/>
          </w:tcPr>
          <w:p>
            <w:pPr>
              <w:spacing w:after="0"/>
              <w:rPr>
                <w:sz w:val="18"/>
                <w:szCs w:val="18"/>
                <w:color w:val="auto"/>
              </w:rPr>
            </w:pPr>
          </w:p>
        </w:tc>
        <w:tc>
          <w:tcPr>
            <w:tcW w:w="8960" w:type="dxa"/>
            <w:vAlign w:val="bottom"/>
            <w:gridSpan w:val="2"/>
          </w:tcPr>
          <w:p>
            <w:pPr>
              <w:ind w:left="920"/>
              <w:spacing w:after="0"/>
              <w:rPr>
                <w:sz w:val="20"/>
                <w:szCs w:val="20"/>
                <w:color w:val="auto"/>
              </w:rPr>
            </w:pPr>
            <w:r>
              <w:rPr>
                <w:rFonts w:ascii="Arial" w:cs="Arial" w:eastAsia="Arial" w:hAnsi="Arial"/>
                <w:sz w:val="18"/>
                <w:szCs w:val="18"/>
                <w:color w:val="auto"/>
              </w:rPr>
              <w:t>Oldmeadow Booksellers (Aust.) Pty. Ltd.</w:t>
            </w:r>
          </w:p>
        </w:tc>
        <w:tc>
          <w:tcPr>
            <w:tcW w:w="2480" w:type="dxa"/>
            <w:vAlign w:val="bottom"/>
          </w:tcPr>
          <w:p>
            <w:pPr>
              <w:ind w:left="1420"/>
              <w:spacing w:after="0"/>
              <w:rPr>
                <w:sz w:val="20"/>
                <w:szCs w:val="20"/>
                <w:color w:val="auto"/>
              </w:rPr>
            </w:pPr>
            <w:r>
              <w:rPr>
                <w:rFonts w:ascii="Arial" w:cs="Arial" w:eastAsia="Arial" w:hAnsi="Arial"/>
                <w:sz w:val="18"/>
                <w:szCs w:val="18"/>
                <w:color w:val="auto"/>
              </w:rPr>
              <w:t>Australia</w:t>
            </w:r>
          </w:p>
        </w:tc>
      </w:tr>
      <w:tr>
        <w:trPr>
          <w:trHeight w:val="216"/>
        </w:trPr>
        <w:tc>
          <w:tcPr>
            <w:tcW w:w="20" w:type="dxa"/>
            <w:vAlign w:val="bottom"/>
          </w:tcPr>
          <w:p>
            <w:pPr>
              <w:spacing w:after="0"/>
              <w:rPr>
                <w:sz w:val="18"/>
                <w:szCs w:val="18"/>
                <w:color w:val="auto"/>
              </w:rPr>
            </w:pPr>
          </w:p>
        </w:tc>
        <w:tc>
          <w:tcPr>
            <w:tcW w:w="8960" w:type="dxa"/>
            <w:vAlign w:val="bottom"/>
            <w:gridSpan w:val="2"/>
          </w:tcPr>
          <w:p>
            <w:pPr>
              <w:ind w:left="440"/>
              <w:spacing w:after="0"/>
              <w:rPr>
                <w:sz w:val="20"/>
                <w:szCs w:val="20"/>
                <w:color w:val="auto"/>
              </w:rPr>
            </w:pPr>
            <w:r>
              <w:rPr>
                <w:rFonts w:ascii="Arial" w:cs="Arial" w:eastAsia="Arial" w:hAnsi="Arial"/>
                <w:sz w:val="18"/>
                <w:szCs w:val="18"/>
                <w:color w:val="auto"/>
              </w:rPr>
              <w:t>Scholastic Canada Ltd.</w:t>
            </w:r>
          </w:p>
        </w:tc>
        <w:tc>
          <w:tcPr>
            <w:tcW w:w="2480" w:type="dxa"/>
            <w:vAlign w:val="bottom"/>
          </w:tcPr>
          <w:p>
            <w:pPr>
              <w:ind w:left="1420"/>
              <w:spacing w:after="0"/>
              <w:rPr>
                <w:sz w:val="20"/>
                <w:szCs w:val="20"/>
                <w:color w:val="auto"/>
              </w:rPr>
            </w:pPr>
            <w:r>
              <w:rPr>
                <w:rFonts w:ascii="Arial" w:cs="Arial" w:eastAsia="Arial" w:hAnsi="Arial"/>
                <w:sz w:val="18"/>
                <w:szCs w:val="18"/>
                <w:color w:val="auto"/>
              </w:rPr>
              <w:t>Canada</w:t>
            </w:r>
          </w:p>
        </w:tc>
      </w:tr>
      <w:tr>
        <w:trPr>
          <w:trHeight w:val="216"/>
        </w:trPr>
        <w:tc>
          <w:tcPr>
            <w:tcW w:w="20" w:type="dxa"/>
            <w:vAlign w:val="bottom"/>
          </w:tcPr>
          <w:p>
            <w:pPr>
              <w:spacing w:after="0"/>
              <w:rPr>
                <w:sz w:val="18"/>
                <w:szCs w:val="18"/>
                <w:color w:val="auto"/>
              </w:rPr>
            </w:pPr>
          </w:p>
        </w:tc>
        <w:tc>
          <w:tcPr>
            <w:tcW w:w="8960" w:type="dxa"/>
            <w:vAlign w:val="bottom"/>
            <w:gridSpan w:val="2"/>
          </w:tcPr>
          <w:p>
            <w:pPr>
              <w:ind w:left="920"/>
              <w:spacing w:after="0"/>
              <w:rPr>
                <w:sz w:val="20"/>
                <w:szCs w:val="20"/>
                <w:color w:val="auto"/>
              </w:rPr>
            </w:pPr>
            <w:r>
              <w:rPr>
                <w:rFonts w:ascii="Arial" w:cs="Arial" w:eastAsia="Arial" w:hAnsi="Arial"/>
                <w:sz w:val="18"/>
                <w:szCs w:val="18"/>
                <w:color w:val="auto"/>
              </w:rPr>
              <w:t>Scholastic Productions Canada Ltd.</w:t>
            </w:r>
          </w:p>
        </w:tc>
        <w:tc>
          <w:tcPr>
            <w:tcW w:w="2480" w:type="dxa"/>
            <w:vAlign w:val="bottom"/>
          </w:tcPr>
          <w:p>
            <w:pPr>
              <w:ind w:left="1420"/>
              <w:spacing w:after="0"/>
              <w:rPr>
                <w:sz w:val="20"/>
                <w:szCs w:val="20"/>
                <w:color w:val="auto"/>
              </w:rPr>
            </w:pPr>
            <w:r>
              <w:rPr>
                <w:rFonts w:ascii="Arial" w:cs="Arial" w:eastAsia="Arial" w:hAnsi="Arial"/>
                <w:sz w:val="18"/>
                <w:szCs w:val="18"/>
                <w:color w:val="auto"/>
              </w:rPr>
              <w:t>Canada</w:t>
            </w:r>
          </w:p>
        </w:tc>
      </w:tr>
      <w:tr>
        <w:trPr>
          <w:trHeight w:val="216"/>
        </w:trPr>
        <w:tc>
          <w:tcPr>
            <w:tcW w:w="20" w:type="dxa"/>
            <w:vAlign w:val="bottom"/>
          </w:tcPr>
          <w:p>
            <w:pPr>
              <w:spacing w:after="0"/>
              <w:rPr>
                <w:sz w:val="18"/>
                <w:szCs w:val="18"/>
                <w:color w:val="auto"/>
              </w:rPr>
            </w:pPr>
          </w:p>
        </w:tc>
        <w:tc>
          <w:tcPr>
            <w:tcW w:w="8960" w:type="dxa"/>
            <w:vAlign w:val="bottom"/>
            <w:gridSpan w:val="2"/>
          </w:tcPr>
          <w:p>
            <w:pPr>
              <w:ind w:left="920"/>
              <w:spacing w:after="0"/>
              <w:rPr>
                <w:sz w:val="20"/>
                <w:szCs w:val="20"/>
                <w:color w:val="auto"/>
              </w:rPr>
            </w:pPr>
            <w:r>
              <w:rPr>
                <w:rFonts w:ascii="Arial" w:cs="Arial" w:eastAsia="Arial" w:hAnsi="Arial"/>
                <w:sz w:val="18"/>
                <w:szCs w:val="18"/>
                <w:color w:val="auto"/>
              </w:rPr>
              <w:t>Scholastic Bookfairs Canada Ltd.</w:t>
            </w:r>
          </w:p>
        </w:tc>
        <w:tc>
          <w:tcPr>
            <w:tcW w:w="2480" w:type="dxa"/>
            <w:vAlign w:val="bottom"/>
          </w:tcPr>
          <w:p>
            <w:pPr>
              <w:ind w:left="1420"/>
              <w:spacing w:after="0"/>
              <w:rPr>
                <w:sz w:val="20"/>
                <w:szCs w:val="20"/>
                <w:color w:val="auto"/>
              </w:rPr>
            </w:pPr>
            <w:r>
              <w:rPr>
                <w:rFonts w:ascii="Arial" w:cs="Arial" w:eastAsia="Arial" w:hAnsi="Arial"/>
                <w:sz w:val="18"/>
                <w:szCs w:val="18"/>
                <w:color w:val="auto"/>
              </w:rPr>
              <w:t>Canada</w:t>
            </w:r>
          </w:p>
        </w:tc>
      </w:tr>
      <w:tr>
        <w:trPr>
          <w:trHeight w:val="217"/>
        </w:trPr>
        <w:tc>
          <w:tcPr>
            <w:tcW w:w="20" w:type="dxa"/>
            <w:vAlign w:val="bottom"/>
          </w:tcPr>
          <w:p>
            <w:pPr>
              <w:spacing w:after="0"/>
              <w:rPr>
                <w:sz w:val="18"/>
                <w:szCs w:val="18"/>
                <w:color w:val="auto"/>
              </w:rPr>
            </w:pPr>
          </w:p>
        </w:tc>
        <w:tc>
          <w:tcPr>
            <w:tcW w:w="8960" w:type="dxa"/>
            <w:vAlign w:val="bottom"/>
            <w:gridSpan w:val="2"/>
          </w:tcPr>
          <w:p>
            <w:pPr>
              <w:ind w:left="440"/>
              <w:spacing w:after="0"/>
              <w:rPr>
                <w:sz w:val="20"/>
                <w:szCs w:val="20"/>
                <w:color w:val="auto"/>
              </w:rPr>
            </w:pPr>
            <w:r>
              <w:rPr>
                <w:rFonts w:ascii="Arial" w:cs="Arial" w:eastAsia="Arial" w:hAnsi="Arial"/>
                <w:sz w:val="18"/>
                <w:szCs w:val="18"/>
                <w:color w:val="auto"/>
              </w:rPr>
              <w:t>Scholastic Hong Kong Limited</w:t>
            </w:r>
          </w:p>
        </w:tc>
        <w:tc>
          <w:tcPr>
            <w:tcW w:w="2480" w:type="dxa"/>
            <w:vAlign w:val="bottom"/>
          </w:tcPr>
          <w:p>
            <w:pPr>
              <w:ind w:left="1420"/>
              <w:spacing w:after="0"/>
              <w:rPr>
                <w:sz w:val="20"/>
                <w:szCs w:val="20"/>
                <w:color w:val="auto"/>
              </w:rPr>
            </w:pPr>
            <w:r>
              <w:rPr>
                <w:rFonts w:ascii="Arial" w:cs="Arial" w:eastAsia="Arial" w:hAnsi="Arial"/>
                <w:sz w:val="18"/>
                <w:szCs w:val="18"/>
                <w:color w:val="auto"/>
              </w:rPr>
              <w:t>Hong Kong</w:t>
            </w:r>
          </w:p>
        </w:tc>
      </w:tr>
      <w:tr>
        <w:trPr>
          <w:trHeight w:val="255"/>
        </w:trPr>
        <w:tc>
          <w:tcPr>
            <w:tcW w:w="20" w:type="dxa"/>
            <w:vAlign w:val="bottom"/>
          </w:tcPr>
          <w:p>
            <w:pPr>
              <w:spacing w:after="0"/>
              <w:rPr>
                <w:sz w:val="22"/>
                <w:szCs w:val="22"/>
                <w:color w:val="auto"/>
              </w:rPr>
            </w:pPr>
          </w:p>
        </w:tc>
        <w:tc>
          <w:tcPr>
            <w:tcW w:w="8960" w:type="dxa"/>
            <w:vAlign w:val="bottom"/>
            <w:gridSpan w:val="2"/>
          </w:tcPr>
          <w:p>
            <w:pPr>
              <w:ind w:left="440"/>
              <w:spacing w:after="0" w:line="255" w:lineRule="exact"/>
              <w:rPr>
                <w:sz w:val="20"/>
                <w:szCs w:val="20"/>
                <w:color w:val="auto"/>
              </w:rPr>
            </w:pPr>
            <w:r>
              <w:rPr>
                <w:rFonts w:ascii="Arial" w:cs="Arial" w:eastAsia="Arial" w:hAnsi="Arial"/>
                <w:sz w:val="18"/>
                <w:szCs w:val="18"/>
                <w:color w:val="auto"/>
              </w:rPr>
              <w:t xml:space="preserve">Scholastic India Private Limited </w:t>
            </w:r>
            <w:r>
              <w:rPr>
                <w:rFonts w:ascii="Arial" w:cs="Arial" w:eastAsia="Arial" w:hAnsi="Arial"/>
                <w:sz w:val="29"/>
                <w:szCs w:val="29"/>
                <w:color w:val="auto"/>
                <w:vertAlign w:val="superscript"/>
              </w:rPr>
              <w:t>3</w:t>
            </w:r>
          </w:p>
        </w:tc>
        <w:tc>
          <w:tcPr>
            <w:tcW w:w="2480" w:type="dxa"/>
            <w:vAlign w:val="bottom"/>
          </w:tcPr>
          <w:p>
            <w:pPr>
              <w:ind w:left="1420"/>
              <w:spacing w:after="0"/>
              <w:rPr>
                <w:sz w:val="20"/>
                <w:szCs w:val="20"/>
                <w:color w:val="auto"/>
              </w:rPr>
            </w:pPr>
            <w:r>
              <w:rPr>
                <w:rFonts w:ascii="Arial" w:cs="Arial" w:eastAsia="Arial" w:hAnsi="Arial"/>
                <w:sz w:val="18"/>
                <w:szCs w:val="18"/>
                <w:color w:val="auto"/>
              </w:rPr>
              <w:t>India</w:t>
            </w:r>
          </w:p>
        </w:tc>
      </w:tr>
      <w:tr>
        <w:trPr>
          <w:trHeight w:val="216"/>
        </w:trPr>
        <w:tc>
          <w:tcPr>
            <w:tcW w:w="20" w:type="dxa"/>
            <w:vAlign w:val="bottom"/>
          </w:tcPr>
          <w:p>
            <w:pPr>
              <w:spacing w:after="0"/>
              <w:rPr>
                <w:sz w:val="18"/>
                <w:szCs w:val="18"/>
                <w:color w:val="auto"/>
              </w:rPr>
            </w:pPr>
          </w:p>
        </w:tc>
        <w:tc>
          <w:tcPr>
            <w:tcW w:w="8960" w:type="dxa"/>
            <w:vAlign w:val="bottom"/>
            <w:gridSpan w:val="2"/>
          </w:tcPr>
          <w:p>
            <w:pPr>
              <w:ind w:left="440"/>
              <w:spacing w:after="0"/>
              <w:rPr>
                <w:sz w:val="20"/>
                <w:szCs w:val="20"/>
                <w:color w:val="auto"/>
              </w:rPr>
            </w:pPr>
            <w:r>
              <w:rPr>
                <w:rFonts w:ascii="Arial" w:cs="Arial" w:eastAsia="Arial" w:hAnsi="Arial"/>
                <w:sz w:val="18"/>
                <w:szCs w:val="18"/>
                <w:color w:val="auto"/>
              </w:rPr>
              <w:t>Scholastic Mexico S. de R. L. de C.V.</w:t>
            </w:r>
          </w:p>
        </w:tc>
        <w:tc>
          <w:tcPr>
            <w:tcW w:w="2480" w:type="dxa"/>
            <w:vAlign w:val="bottom"/>
          </w:tcPr>
          <w:p>
            <w:pPr>
              <w:ind w:left="1420"/>
              <w:spacing w:after="0"/>
              <w:rPr>
                <w:sz w:val="20"/>
                <w:szCs w:val="20"/>
                <w:color w:val="auto"/>
              </w:rPr>
            </w:pPr>
            <w:r>
              <w:rPr>
                <w:rFonts w:ascii="Arial" w:cs="Arial" w:eastAsia="Arial" w:hAnsi="Arial"/>
                <w:sz w:val="18"/>
                <w:szCs w:val="18"/>
                <w:color w:val="auto"/>
              </w:rPr>
              <w:t>Mexico</w:t>
            </w:r>
          </w:p>
        </w:tc>
      </w:tr>
      <w:tr>
        <w:trPr>
          <w:trHeight w:val="216"/>
        </w:trPr>
        <w:tc>
          <w:tcPr>
            <w:tcW w:w="20" w:type="dxa"/>
            <w:vAlign w:val="bottom"/>
          </w:tcPr>
          <w:p>
            <w:pPr>
              <w:spacing w:after="0"/>
              <w:rPr>
                <w:sz w:val="18"/>
                <w:szCs w:val="18"/>
                <w:color w:val="auto"/>
              </w:rPr>
            </w:pPr>
          </w:p>
        </w:tc>
        <w:tc>
          <w:tcPr>
            <w:tcW w:w="8960" w:type="dxa"/>
            <w:vAlign w:val="bottom"/>
            <w:gridSpan w:val="2"/>
          </w:tcPr>
          <w:p>
            <w:pPr>
              <w:ind w:left="440"/>
              <w:spacing w:after="0"/>
              <w:rPr>
                <w:sz w:val="20"/>
                <w:szCs w:val="20"/>
                <w:color w:val="auto"/>
              </w:rPr>
            </w:pPr>
            <w:r>
              <w:rPr>
                <w:rFonts w:ascii="Arial" w:cs="Arial" w:eastAsia="Arial" w:hAnsi="Arial"/>
                <w:sz w:val="18"/>
                <w:szCs w:val="18"/>
                <w:color w:val="auto"/>
              </w:rPr>
              <w:t>Scholastic New Zealand Ltd.</w:t>
            </w:r>
          </w:p>
        </w:tc>
        <w:tc>
          <w:tcPr>
            <w:tcW w:w="2480" w:type="dxa"/>
            <w:vAlign w:val="bottom"/>
          </w:tcPr>
          <w:p>
            <w:pPr>
              <w:ind w:left="1420"/>
              <w:spacing w:after="0"/>
              <w:rPr>
                <w:sz w:val="20"/>
                <w:szCs w:val="20"/>
                <w:color w:val="auto"/>
              </w:rPr>
            </w:pPr>
            <w:r>
              <w:rPr>
                <w:rFonts w:ascii="Arial" w:cs="Arial" w:eastAsia="Arial" w:hAnsi="Arial"/>
                <w:sz w:val="18"/>
                <w:szCs w:val="18"/>
                <w:color w:val="auto"/>
                <w:w w:val="98"/>
              </w:rPr>
              <w:t>New Zealand</w:t>
            </w:r>
          </w:p>
        </w:tc>
      </w:tr>
      <w:tr>
        <w:trPr>
          <w:trHeight w:val="216"/>
        </w:trPr>
        <w:tc>
          <w:tcPr>
            <w:tcW w:w="20" w:type="dxa"/>
            <w:vAlign w:val="bottom"/>
          </w:tcPr>
          <w:p>
            <w:pPr>
              <w:spacing w:after="0"/>
              <w:rPr>
                <w:sz w:val="18"/>
                <w:szCs w:val="18"/>
                <w:color w:val="auto"/>
              </w:rPr>
            </w:pPr>
          </w:p>
        </w:tc>
        <w:tc>
          <w:tcPr>
            <w:tcW w:w="8960" w:type="dxa"/>
            <w:vAlign w:val="bottom"/>
            <w:gridSpan w:val="2"/>
          </w:tcPr>
          <w:p>
            <w:pPr>
              <w:ind w:left="440"/>
              <w:spacing w:after="0"/>
              <w:rPr>
                <w:sz w:val="20"/>
                <w:szCs w:val="20"/>
                <w:color w:val="auto"/>
              </w:rPr>
            </w:pPr>
            <w:r>
              <w:rPr>
                <w:rFonts w:ascii="Arial" w:cs="Arial" w:eastAsia="Arial" w:hAnsi="Arial"/>
                <w:sz w:val="18"/>
                <w:szCs w:val="18"/>
                <w:color w:val="auto"/>
              </w:rPr>
              <w:t>Scholastic Argentina S.R.L.</w:t>
            </w:r>
          </w:p>
        </w:tc>
        <w:tc>
          <w:tcPr>
            <w:tcW w:w="2480" w:type="dxa"/>
            <w:vAlign w:val="bottom"/>
          </w:tcPr>
          <w:p>
            <w:pPr>
              <w:ind w:left="1420"/>
              <w:spacing w:after="0"/>
              <w:rPr>
                <w:sz w:val="20"/>
                <w:szCs w:val="20"/>
                <w:color w:val="auto"/>
              </w:rPr>
            </w:pPr>
            <w:r>
              <w:rPr>
                <w:rFonts w:ascii="Arial" w:cs="Arial" w:eastAsia="Arial" w:hAnsi="Arial"/>
                <w:sz w:val="18"/>
                <w:szCs w:val="18"/>
                <w:color w:val="auto"/>
              </w:rPr>
              <w:t>Argentina</w:t>
            </w:r>
          </w:p>
        </w:tc>
      </w:tr>
      <w:tr>
        <w:trPr>
          <w:trHeight w:val="217"/>
        </w:trPr>
        <w:tc>
          <w:tcPr>
            <w:tcW w:w="20" w:type="dxa"/>
            <w:vAlign w:val="bottom"/>
          </w:tcPr>
          <w:p>
            <w:pPr>
              <w:spacing w:after="0"/>
              <w:rPr>
                <w:sz w:val="18"/>
                <w:szCs w:val="18"/>
                <w:color w:val="auto"/>
              </w:rPr>
            </w:pPr>
          </w:p>
        </w:tc>
        <w:tc>
          <w:tcPr>
            <w:tcW w:w="8960" w:type="dxa"/>
            <w:vAlign w:val="bottom"/>
            <w:gridSpan w:val="2"/>
          </w:tcPr>
          <w:p>
            <w:pPr>
              <w:ind w:left="440"/>
              <w:spacing w:after="0"/>
              <w:rPr>
                <w:sz w:val="20"/>
                <w:szCs w:val="20"/>
                <w:color w:val="auto"/>
              </w:rPr>
            </w:pPr>
            <w:r>
              <w:rPr>
                <w:rFonts w:ascii="Arial" w:cs="Arial" w:eastAsia="Arial" w:hAnsi="Arial"/>
                <w:sz w:val="18"/>
                <w:szCs w:val="18"/>
                <w:color w:val="auto"/>
              </w:rPr>
              <w:t>Scholastic Education Information Consulting (Shanghai) Co., Ltd.</w:t>
            </w:r>
          </w:p>
        </w:tc>
        <w:tc>
          <w:tcPr>
            <w:tcW w:w="2480" w:type="dxa"/>
            <w:vAlign w:val="bottom"/>
          </w:tcPr>
          <w:p>
            <w:pPr>
              <w:ind w:left="1420"/>
              <w:spacing w:after="0"/>
              <w:rPr>
                <w:sz w:val="20"/>
                <w:szCs w:val="20"/>
                <w:color w:val="auto"/>
              </w:rPr>
            </w:pPr>
            <w:r>
              <w:rPr>
                <w:rFonts w:ascii="Arial" w:cs="Arial" w:eastAsia="Arial" w:hAnsi="Arial"/>
                <w:sz w:val="18"/>
                <w:szCs w:val="18"/>
                <w:color w:val="auto"/>
              </w:rPr>
              <w:t>China</w:t>
            </w:r>
          </w:p>
        </w:tc>
      </w:tr>
      <w:tr>
        <w:trPr>
          <w:trHeight w:val="382"/>
        </w:trPr>
        <w:tc>
          <w:tcPr>
            <w:tcW w:w="20" w:type="dxa"/>
            <w:vAlign w:val="bottom"/>
          </w:tcPr>
          <w:p>
            <w:pPr>
              <w:spacing w:after="0"/>
              <w:rPr>
                <w:sz w:val="24"/>
                <w:szCs w:val="24"/>
                <w:color w:val="auto"/>
              </w:rPr>
            </w:pPr>
          </w:p>
        </w:tc>
        <w:tc>
          <w:tcPr>
            <w:tcW w:w="8960" w:type="dxa"/>
            <w:vAlign w:val="bottom"/>
            <w:gridSpan w:val="2"/>
          </w:tcPr>
          <w:p>
            <w:pPr>
              <w:ind w:left="440"/>
              <w:spacing w:after="0"/>
              <w:rPr>
                <w:sz w:val="20"/>
                <w:szCs w:val="20"/>
                <w:color w:val="auto"/>
              </w:rPr>
            </w:pPr>
            <w:r>
              <w:rPr>
                <w:rFonts w:ascii="Arial" w:cs="Arial" w:eastAsia="Arial" w:hAnsi="Arial"/>
                <w:sz w:val="18"/>
                <w:szCs w:val="18"/>
                <w:color w:val="auto"/>
              </w:rPr>
              <w:t xml:space="preserve">Scholastic International IT Support Centre Private Limited </w:t>
            </w:r>
            <w:r>
              <w:rPr>
                <w:rFonts w:ascii="Arial" w:cs="Arial" w:eastAsia="Arial" w:hAnsi="Arial"/>
                <w:sz w:val="29"/>
                <w:szCs w:val="29"/>
                <w:color w:val="auto"/>
                <w:vertAlign w:val="superscript"/>
              </w:rPr>
              <w:t>4</w:t>
            </w:r>
          </w:p>
        </w:tc>
        <w:tc>
          <w:tcPr>
            <w:tcW w:w="2480" w:type="dxa"/>
            <w:vAlign w:val="bottom"/>
          </w:tcPr>
          <w:p>
            <w:pPr>
              <w:ind w:left="1420"/>
              <w:spacing w:after="0"/>
              <w:rPr>
                <w:sz w:val="20"/>
                <w:szCs w:val="20"/>
                <w:color w:val="auto"/>
              </w:rPr>
            </w:pPr>
            <w:r>
              <w:rPr>
                <w:rFonts w:ascii="Arial" w:cs="Arial" w:eastAsia="Arial" w:hAnsi="Arial"/>
                <w:sz w:val="18"/>
                <w:szCs w:val="18"/>
                <w:color w:val="auto"/>
              </w:rPr>
              <w:t>India</w:t>
            </w:r>
          </w:p>
        </w:tc>
      </w:tr>
      <w:tr>
        <w:trPr>
          <w:trHeight w:val="139"/>
        </w:trPr>
        <w:tc>
          <w:tcPr>
            <w:tcW w:w="20" w:type="dxa"/>
            <w:vAlign w:val="bottom"/>
          </w:tcPr>
          <w:p>
            <w:pPr>
              <w:spacing w:after="0"/>
              <w:rPr>
                <w:sz w:val="12"/>
                <w:szCs w:val="12"/>
                <w:color w:val="auto"/>
              </w:rPr>
            </w:pPr>
          </w:p>
        </w:tc>
        <w:tc>
          <w:tcPr>
            <w:tcW w:w="8960" w:type="dxa"/>
            <w:vAlign w:val="bottom"/>
            <w:gridSpan w:val="2"/>
          </w:tcPr>
          <w:p>
            <w:pPr>
              <w:spacing w:after="0"/>
              <w:rPr>
                <w:sz w:val="12"/>
                <w:szCs w:val="12"/>
                <w:color w:val="auto"/>
              </w:rPr>
            </w:pPr>
          </w:p>
        </w:tc>
        <w:tc>
          <w:tcPr>
            <w:tcW w:w="2480" w:type="dxa"/>
            <w:vAlign w:val="bottom"/>
          </w:tcPr>
          <w:p>
            <w:pPr>
              <w:spacing w:after="0"/>
              <w:rPr>
                <w:sz w:val="12"/>
                <w:szCs w:val="12"/>
                <w:color w:val="auto"/>
              </w:rPr>
            </w:pPr>
          </w:p>
        </w:tc>
      </w:tr>
      <w:tr>
        <w:trPr>
          <w:trHeight w:val="243"/>
        </w:trPr>
        <w:tc>
          <w:tcPr>
            <w:tcW w:w="20" w:type="dxa"/>
            <w:vAlign w:val="bottom"/>
          </w:tcPr>
          <w:p>
            <w:pPr>
              <w:spacing w:after="0"/>
              <w:rPr>
                <w:sz w:val="21"/>
                <w:szCs w:val="21"/>
                <w:color w:val="auto"/>
              </w:rPr>
            </w:pPr>
          </w:p>
        </w:tc>
        <w:tc>
          <w:tcPr>
            <w:tcW w:w="2720" w:type="dxa"/>
            <w:vAlign w:val="bottom"/>
            <w:tcBorders>
              <w:top w:val="single" w:sz="8" w:color="auto"/>
            </w:tcBorders>
          </w:tcPr>
          <w:p>
            <w:pPr>
              <w:spacing w:after="0" w:line="243" w:lineRule="exact"/>
              <w:rPr>
                <w:sz w:val="20"/>
                <w:szCs w:val="20"/>
                <w:color w:val="auto"/>
              </w:rPr>
            </w:pPr>
            <w:r>
              <w:rPr>
                <w:rFonts w:ascii="Arial" w:cs="Arial" w:eastAsia="Arial" w:hAnsi="Arial"/>
                <w:sz w:val="28"/>
                <w:szCs w:val="28"/>
                <w:color w:val="auto"/>
                <w:vertAlign w:val="superscript"/>
              </w:rPr>
              <w:t>1</w:t>
            </w:r>
            <w:r>
              <w:rPr>
                <w:rFonts w:ascii="Arial" w:cs="Arial" w:eastAsia="Arial" w:hAnsi="Arial"/>
                <w:sz w:val="17"/>
                <w:szCs w:val="17"/>
                <w:color w:val="auto"/>
              </w:rPr>
              <w:t xml:space="preserve"> 50% owned</w:t>
            </w:r>
          </w:p>
        </w:tc>
        <w:tc>
          <w:tcPr>
            <w:tcW w:w="6240" w:type="dxa"/>
            <w:vAlign w:val="bottom"/>
          </w:tcPr>
          <w:p>
            <w:pPr>
              <w:spacing w:after="0"/>
              <w:rPr>
                <w:sz w:val="21"/>
                <w:szCs w:val="21"/>
                <w:color w:val="auto"/>
              </w:rPr>
            </w:pPr>
          </w:p>
        </w:tc>
        <w:tc>
          <w:tcPr>
            <w:tcW w:w="2480" w:type="dxa"/>
            <w:vAlign w:val="bottom"/>
          </w:tcPr>
          <w:p>
            <w:pPr>
              <w:spacing w:after="0"/>
              <w:rPr>
                <w:sz w:val="21"/>
                <w:szCs w:val="21"/>
                <w:color w:val="auto"/>
              </w:rPr>
            </w:pPr>
          </w:p>
        </w:tc>
      </w:tr>
      <w:tr>
        <w:trPr>
          <w:trHeight w:val="257"/>
        </w:trPr>
        <w:tc>
          <w:tcPr>
            <w:tcW w:w="8980" w:type="dxa"/>
            <w:vAlign w:val="bottom"/>
            <w:gridSpan w:val="3"/>
          </w:tcPr>
          <w:p>
            <w:pPr>
              <w:spacing w:after="0" w:line="256" w:lineRule="exact"/>
              <w:rPr>
                <w:sz w:val="20"/>
                <w:szCs w:val="20"/>
                <w:color w:val="auto"/>
              </w:rPr>
            </w:pPr>
            <w:r>
              <w:rPr>
                <w:rFonts w:ascii="Arial" w:cs="Arial" w:eastAsia="Arial" w:hAnsi="Arial"/>
                <w:sz w:val="29"/>
                <w:szCs w:val="29"/>
                <w:color w:val="auto"/>
                <w:vertAlign w:val="superscript"/>
              </w:rPr>
              <w:t>2</w:t>
            </w:r>
            <w:r>
              <w:rPr>
                <w:rFonts w:ascii="Arial" w:cs="Arial" w:eastAsia="Arial" w:hAnsi="Arial"/>
                <w:sz w:val="18"/>
                <w:szCs w:val="18"/>
                <w:color w:val="auto"/>
              </w:rPr>
              <w:t xml:space="preserve"> 80% owned</w:t>
            </w:r>
          </w:p>
        </w:tc>
        <w:tc>
          <w:tcPr>
            <w:tcW w:w="2480" w:type="dxa"/>
            <w:vAlign w:val="bottom"/>
          </w:tcPr>
          <w:p>
            <w:pPr>
              <w:spacing w:after="0"/>
              <w:rPr>
                <w:sz w:val="22"/>
                <w:szCs w:val="22"/>
                <w:color w:val="auto"/>
              </w:rPr>
            </w:pPr>
          </w:p>
        </w:tc>
      </w:tr>
      <w:tr>
        <w:trPr>
          <w:trHeight w:val="257"/>
        </w:trPr>
        <w:tc>
          <w:tcPr>
            <w:tcW w:w="8980" w:type="dxa"/>
            <w:vAlign w:val="bottom"/>
            <w:gridSpan w:val="3"/>
          </w:tcPr>
          <w:p>
            <w:pPr>
              <w:spacing w:after="0" w:line="256" w:lineRule="exact"/>
              <w:rPr>
                <w:sz w:val="20"/>
                <w:szCs w:val="20"/>
                <w:color w:val="auto"/>
              </w:rPr>
            </w:pPr>
            <w:r>
              <w:rPr>
                <w:rFonts w:ascii="Arial" w:cs="Arial" w:eastAsia="Arial" w:hAnsi="Arial"/>
                <w:sz w:val="29"/>
                <w:szCs w:val="29"/>
                <w:color w:val="auto"/>
                <w:vertAlign w:val="superscript"/>
              </w:rPr>
              <w:t>3</w:t>
            </w:r>
            <w:r>
              <w:rPr>
                <w:rFonts w:ascii="Arial" w:cs="Arial" w:eastAsia="Arial" w:hAnsi="Arial"/>
                <w:sz w:val="18"/>
                <w:szCs w:val="18"/>
                <w:color w:val="auto"/>
              </w:rPr>
              <w:t xml:space="preserve"> 1% owned by Scholastic Export Inc.</w:t>
            </w:r>
          </w:p>
        </w:tc>
        <w:tc>
          <w:tcPr>
            <w:tcW w:w="2480" w:type="dxa"/>
            <w:vAlign w:val="bottom"/>
          </w:tcPr>
          <w:p>
            <w:pPr>
              <w:spacing w:after="0"/>
              <w:rPr>
                <w:sz w:val="22"/>
                <w:szCs w:val="22"/>
                <w:color w:val="auto"/>
              </w:rPr>
            </w:pPr>
          </w:p>
        </w:tc>
      </w:tr>
      <w:tr>
        <w:trPr>
          <w:trHeight w:val="382"/>
        </w:trPr>
        <w:tc>
          <w:tcPr>
            <w:tcW w:w="8980" w:type="dxa"/>
            <w:vAlign w:val="bottom"/>
            <w:gridSpan w:val="3"/>
          </w:tcPr>
          <w:p>
            <w:pPr>
              <w:spacing w:after="0"/>
              <w:rPr>
                <w:sz w:val="20"/>
                <w:szCs w:val="20"/>
                <w:color w:val="auto"/>
              </w:rPr>
            </w:pPr>
            <w:r>
              <w:rPr>
                <w:rFonts w:ascii="Arial" w:cs="Arial" w:eastAsia="Arial" w:hAnsi="Arial"/>
                <w:sz w:val="29"/>
                <w:szCs w:val="29"/>
                <w:color w:val="auto"/>
                <w:vertAlign w:val="superscript"/>
              </w:rPr>
              <w:t>4</w:t>
            </w:r>
            <w:r>
              <w:rPr>
                <w:rFonts w:ascii="Arial" w:cs="Arial" w:eastAsia="Arial" w:hAnsi="Arial"/>
                <w:sz w:val="18"/>
                <w:szCs w:val="18"/>
                <w:color w:val="auto"/>
              </w:rPr>
              <w:t xml:space="preserve"> 1% owned by Scholastic Export Inc.</w:t>
            </w:r>
          </w:p>
        </w:tc>
        <w:tc>
          <w:tcPr>
            <w:tcW w:w="2480" w:type="dxa"/>
            <w:vAlign w:val="bottom"/>
          </w:tcPr>
          <w:p>
            <w:pPr>
              <w:spacing w:after="0"/>
              <w:rPr>
                <w:sz w:val="24"/>
                <w:szCs w:val="24"/>
                <w:color w:val="auto"/>
              </w:rPr>
            </w:pPr>
          </w:p>
        </w:tc>
      </w:tr>
      <w:tr>
        <w:trPr>
          <w:trHeight w:val="230"/>
        </w:trPr>
        <w:tc>
          <w:tcPr>
            <w:tcW w:w="2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6240" w:type="dxa"/>
            <w:vAlign w:val="bottom"/>
          </w:tcPr>
          <w:p>
            <w:pPr>
              <w:spacing w:after="0"/>
              <w:rPr>
                <w:sz w:val="19"/>
                <w:szCs w:val="19"/>
                <w:color w:val="auto"/>
              </w:rPr>
            </w:pPr>
          </w:p>
        </w:tc>
        <w:tc>
          <w:tcPr>
            <w:tcW w:w="2480" w:type="dxa"/>
            <w:vAlign w:val="bottom"/>
          </w:tcPr>
          <w:p>
            <w:pPr>
              <w:spacing w:after="0"/>
              <w:rPr>
                <w:sz w:val="19"/>
                <w:szCs w:val="19"/>
                <w:color w:val="auto"/>
              </w:rPr>
            </w:pPr>
          </w:p>
        </w:tc>
      </w:tr>
      <w:tr>
        <w:trPr>
          <w:trHeight w:val="61"/>
        </w:trPr>
        <w:tc>
          <w:tcPr>
            <w:tcW w:w="20" w:type="dxa"/>
            <w:vAlign w:val="bottom"/>
            <w:shd w:val="clear" w:color="auto" w:fill="808080"/>
          </w:tcPr>
          <w:p>
            <w:pPr>
              <w:spacing w:after="0"/>
              <w:rPr>
                <w:sz w:val="5"/>
                <w:szCs w:val="5"/>
                <w:color w:val="auto"/>
              </w:rPr>
            </w:pPr>
          </w:p>
        </w:tc>
        <w:tc>
          <w:tcPr>
            <w:tcW w:w="2720" w:type="dxa"/>
            <w:vAlign w:val="bottom"/>
            <w:shd w:val="clear" w:color="auto" w:fill="808080"/>
          </w:tcPr>
          <w:p>
            <w:pPr>
              <w:spacing w:after="0"/>
              <w:rPr>
                <w:sz w:val="5"/>
                <w:szCs w:val="5"/>
                <w:color w:val="auto"/>
              </w:rPr>
            </w:pPr>
          </w:p>
        </w:tc>
        <w:tc>
          <w:tcPr>
            <w:tcW w:w="6240" w:type="dxa"/>
            <w:vAlign w:val="bottom"/>
            <w:shd w:val="clear" w:color="auto" w:fill="808080"/>
          </w:tcPr>
          <w:p>
            <w:pPr>
              <w:spacing w:after="0"/>
              <w:rPr>
                <w:sz w:val="5"/>
                <w:szCs w:val="5"/>
                <w:color w:val="auto"/>
              </w:rPr>
            </w:pPr>
          </w:p>
        </w:tc>
        <w:tc>
          <w:tcPr>
            <w:tcW w:w="248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125" w:right="199" w:bottom="1440" w:gutter="0" w:footer="0" w:header="0"/>
        </w:sectPr>
      </w:pPr>
    </w:p>
    <w:bookmarkStart w:id="93" w:name="page94"/>
    <w:bookmarkEnd w:id="9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800" w:type="dxa"/>
            <w:vAlign w:val="bottom"/>
            <w:gridSpan w:val="2"/>
          </w:tcPr>
          <w:p>
            <w:pPr>
              <w:ind w:left="440"/>
              <w:spacing w:after="0"/>
              <w:rPr>
                <w:sz w:val="20"/>
                <w:szCs w:val="20"/>
                <w:color w:val="auto"/>
              </w:rPr>
            </w:pPr>
            <w:r>
              <w:rPr>
                <w:rFonts w:ascii="Arial" w:cs="Arial" w:eastAsia="Arial" w:hAnsi="Arial"/>
                <w:sz w:val="18"/>
                <w:szCs w:val="18"/>
                <w:color w:val="auto"/>
              </w:rPr>
              <w:t>Grolier Incorporated</w:t>
            </w:r>
          </w:p>
        </w:tc>
        <w:tc>
          <w:tcPr>
            <w:tcW w:w="3640" w:type="dxa"/>
            <w:vAlign w:val="bottom"/>
          </w:tcPr>
          <w:p>
            <w:pPr>
              <w:ind w:left="2580"/>
              <w:spacing w:after="0"/>
              <w:rPr>
                <w:sz w:val="20"/>
                <w:szCs w:val="20"/>
                <w:color w:val="auto"/>
              </w:rPr>
            </w:pPr>
            <w:r>
              <w:rPr>
                <w:rFonts w:ascii="Arial" w:cs="Arial" w:eastAsia="Arial" w:hAnsi="Arial"/>
                <w:sz w:val="18"/>
                <w:szCs w:val="18"/>
                <w:color w:val="auto"/>
              </w:rPr>
              <w:t>Delaware</w:t>
            </w:r>
          </w:p>
        </w:tc>
      </w:tr>
      <w:tr>
        <w:trPr>
          <w:trHeight w:val="217"/>
        </w:trPr>
        <w:tc>
          <w:tcPr>
            <w:tcW w:w="20" w:type="dxa"/>
            <w:vAlign w:val="bottom"/>
          </w:tcPr>
          <w:p>
            <w:pPr>
              <w:spacing w:after="0"/>
              <w:rPr>
                <w:sz w:val="18"/>
                <w:szCs w:val="18"/>
                <w:color w:val="auto"/>
              </w:rPr>
            </w:pPr>
          </w:p>
        </w:tc>
        <w:tc>
          <w:tcPr>
            <w:tcW w:w="7800" w:type="dxa"/>
            <w:vAlign w:val="bottom"/>
            <w:gridSpan w:val="2"/>
          </w:tcPr>
          <w:p>
            <w:pPr>
              <w:ind w:left="1060"/>
              <w:spacing w:after="0"/>
              <w:rPr>
                <w:sz w:val="20"/>
                <w:szCs w:val="20"/>
                <w:color w:val="auto"/>
              </w:rPr>
            </w:pPr>
            <w:r>
              <w:rPr>
                <w:rFonts w:ascii="Arial" w:cs="Arial" w:eastAsia="Arial" w:hAnsi="Arial"/>
                <w:sz w:val="18"/>
                <w:szCs w:val="18"/>
                <w:color w:val="auto"/>
              </w:rPr>
              <w:t>Scholastic at Home Inc. (formerly Grolier Enterprises Inc.)</w:t>
            </w:r>
          </w:p>
        </w:tc>
        <w:tc>
          <w:tcPr>
            <w:tcW w:w="3640" w:type="dxa"/>
            <w:vAlign w:val="bottom"/>
          </w:tcPr>
          <w:p>
            <w:pPr>
              <w:ind w:left="2580"/>
              <w:spacing w:after="0"/>
              <w:rPr>
                <w:sz w:val="20"/>
                <w:szCs w:val="20"/>
                <w:color w:val="auto"/>
              </w:rPr>
            </w:pPr>
            <w:r>
              <w:rPr>
                <w:rFonts w:ascii="Arial" w:cs="Arial" w:eastAsia="Arial" w:hAnsi="Arial"/>
                <w:sz w:val="18"/>
                <w:szCs w:val="18"/>
                <w:color w:val="auto"/>
              </w:rPr>
              <w:t>Delaware</w:t>
            </w:r>
          </w:p>
        </w:tc>
      </w:tr>
      <w:tr>
        <w:trPr>
          <w:trHeight w:val="255"/>
        </w:trPr>
        <w:tc>
          <w:tcPr>
            <w:tcW w:w="20" w:type="dxa"/>
            <w:vAlign w:val="bottom"/>
          </w:tcPr>
          <w:p>
            <w:pPr>
              <w:spacing w:after="0"/>
              <w:rPr>
                <w:sz w:val="22"/>
                <w:szCs w:val="22"/>
                <w:color w:val="auto"/>
              </w:rPr>
            </w:pPr>
          </w:p>
        </w:tc>
        <w:tc>
          <w:tcPr>
            <w:tcW w:w="7800" w:type="dxa"/>
            <w:vAlign w:val="bottom"/>
            <w:gridSpan w:val="2"/>
          </w:tcPr>
          <w:p>
            <w:pPr>
              <w:ind w:left="1060"/>
              <w:spacing w:after="0" w:line="255" w:lineRule="exact"/>
              <w:rPr>
                <w:sz w:val="20"/>
                <w:szCs w:val="20"/>
                <w:color w:val="auto"/>
              </w:rPr>
            </w:pPr>
            <w:r>
              <w:rPr>
                <w:rFonts w:ascii="Arial" w:cs="Arial" w:eastAsia="Arial" w:hAnsi="Arial"/>
                <w:sz w:val="18"/>
                <w:szCs w:val="18"/>
                <w:color w:val="auto"/>
              </w:rPr>
              <w:t xml:space="preserve">Scholastic Distribution Services L.L.C </w:t>
            </w:r>
            <w:r>
              <w:rPr>
                <w:rFonts w:ascii="Arial" w:cs="Arial" w:eastAsia="Arial" w:hAnsi="Arial"/>
                <w:sz w:val="29"/>
                <w:szCs w:val="29"/>
                <w:color w:val="auto"/>
                <w:vertAlign w:val="superscript"/>
              </w:rPr>
              <w:t>5</w:t>
            </w:r>
          </w:p>
        </w:tc>
        <w:tc>
          <w:tcPr>
            <w:tcW w:w="3640" w:type="dxa"/>
            <w:vAlign w:val="bottom"/>
          </w:tcPr>
          <w:p>
            <w:pPr>
              <w:ind w:left="2580"/>
              <w:spacing w:after="0"/>
              <w:rPr>
                <w:sz w:val="20"/>
                <w:szCs w:val="20"/>
                <w:color w:val="auto"/>
              </w:rPr>
            </w:pPr>
            <w:r>
              <w:rPr>
                <w:rFonts w:ascii="Arial" w:cs="Arial" w:eastAsia="Arial" w:hAnsi="Arial"/>
                <w:sz w:val="18"/>
                <w:szCs w:val="18"/>
                <w:color w:val="auto"/>
              </w:rPr>
              <w:t>Delaware</w:t>
            </w:r>
          </w:p>
        </w:tc>
      </w:tr>
      <w:tr>
        <w:trPr>
          <w:trHeight w:val="216"/>
        </w:trPr>
        <w:tc>
          <w:tcPr>
            <w:tcW w:w="20" w:type="dxa"/>
            <w:vAlign w:val="bottom"/>
          </w:tcPr>
          <w:p>
            <w:pPr>
              <w:spacing w:after="0"/>
              <w:rPr>
                <w:sz w:val="18"/>
                <w:szCs w:val="18"/>
                <w:color w:val="auto"/>
              </w:rPr>
            </w:pPr>
          </w:p>
        </w:tc>
        <w:tc>
          <w:tcPr>
            <w:tcW w:w="7800" w:type="dxa"/>
            <w:vAlign w:val="bottom"/>
            <w:gridSpan w:val="2"/>
          </w:tcPr>
          <w:p>
            <w:pPr>
              <w:ind w:left="440"/>
              <w:spacing w:after="0"/>
              <w:rPr>
                <w:sz w:val="20"/>
                <w:szCs w:val="20"/>
                <w:color w:val="auto"/>
              </w:rPr>
            </w:pPr>
            <w:r>
              <w:rPr>
                <w:rFonts w:ascii="Arial" w:cs="Arial" w:eastAsia="Arial" w:hAnsi="Arial"/>
                <w:sz w:val="18"/>
                <w:szCs w:val="18"/>
                <w:color w:val="auto"/>
              </w:rPr>
              <w:t>Grolier Interactive Inc.</w:t>
            </w:r>
          </w:p>
        </w:tc>
        <w:tc>
          <w:tcPr>
            <w:tcW w:w="3640" w:type="dxa"/>
            <w:vAlign w:val="bottom"/>
          </w:tcPr>
          <w:p>
            <w:pPr>
              <w:ind w:left="2580"/>
              <w:spacing w:after="0"/>
              <w:rPr>
                <w:sz w:val="20"/>
                <w:szCs w:val="20"/>
                <w:color w:val="auto"/>
              </w:rPr>
            </w:pPr>
            <w:r>
              <w:rPr>
                <w:rFonts w:ascii="Arial" w:cs="Arial" w:eastAsia="Arial" w:hAnsi="Arial"/>
                <w:sz w:val="18"/>
                <w:szCs w:val="18"/>
                <w:color w:val="auto"/>
              </w:rPr>
              <w:t>Delaware</w:t>
            </w:r>
          </w:p>
        </w:tc>
      </w:tr>
      <w:tr>
        <w:trPr>
          <w:trHeight w:val="216"/>
        </w:trPr>
        <w:tc>
          <w:tcPr>
            <w:tcW w:w="20" w:type="dxa"/>
            <w:vAlign w:val="bottom"/>
          </w:tcPr>
          <w:p>
            <w:pPr>
              <w:spacing w:after="0"/>
              <w:rPr>
                <w:sz w:val="18"/>
                <w:szCs w:val="18"/>
                <w:color w:val="auto"/>
              </w:rPr>
            </w:pPr>
          </w:p>
        </w:tc>
        <w:tc>
          <w:tcPr>
            <w:tcW w:w="7800" w:type="dxa"/>
            <w:vAlign w:val="bottom"/>
            <w:gridSpan w:val="2"/>
          </w:tcPr>
          <w:p>
            <w:pPr>
              <w:ind w:left="760"/>
              <w:spacing w:after="0"/>
              <w:rPr>
                <w:sz w:val="20"/>
                <w:szCs w:val="20"/>
                <w:color w:val="auto"/>
              </w:rPr>
            </w:pPr>
            <w:r>
              <w:rPr>
                <w:rFonts w:ascii="Arial" w:cs="Arial" w:eastAsia="Arial" w:hAnsi="Arial"/>
                <w:sz w:val="18"/>
                <w:szCs w:val="18"/>
                <w:color w:val="auto"/>
              </w:rPr>
              <w:t>Scholastic Library Publishing, Inc.</w:t>
            </w:r>
          </w:p>
        </w:tc>
        <w:tc>
          <w:tcPr>
            <w:tcW w:w="3640" w:type="dxa"/>
            <w:vAlign w:val="bottom"/>
          </w:tcPr>
          <w:p>
            <w:pPr>
              <w:ind w:left="2580"/>
              <w:spacing w:after="0"/>
              <w:rPr>
                <w:sz w:val="20"/>
                <w:szCs w:val="20"/>
                <w:color w:val="auto"/>
              </w:rPr>
            </w:pPr>
            <w:r>
              <w:rPr>
                <w:rFonts w:ascii="Arial" w:cs="Arial" w:eastAsia="Arial" w:hAnsi="Arial"/>
                <w:sz w:val="18"/>
                <w:szCs w:val="18"/>
                <w:color w:val="auto"/>
              </w:rPr>
              <w:t>Delaware</w:t>
            </w:r>
          </w:p>
        </w:tc>
      </w:tr>
      <w:tr>
        <w:trPr>
          <w:trHeight w:val="216"/>
        </w:trPr>
        <w:tc>
          <w:tcPr>
            <w:tcW w:w="20" w:type="dxa"/>
            <w:vAlign w:val="bottom"/>
          </w:tcPr>
          <w:p>
            <w:pPr>
              <w:spacing w:after="0"/>
              <w:rPr>
                <w:sz w:val="18"/>
                <w:szCs w:val="18"/>
                <w:color w:val="auto"/>
              </w:rPr>
            </w:pPr>
          </w:p>
        </w:tc>
        <w:tc>
          <w:tcPr>
            <w:tcW w:w="7800" w:type="dxa"/>
            <w:vAlign w:val="bottom"/>
            <w:gridSpan w:val="2"/>
          </w:tcPr>
          <w:p>
            <w:pPr>
              <w:ind w:left="760"/>
              <w:spacing w:after="0"/>
              <w:rPr>
                <w:sz w:val="20"/>
                <w:szCs w:val="20"/>
                <w:color w:val="auto"/>
              </w:rPr>
            </w:pPr>
            <w:r>
              <w:rPr>
                <w:rFonts w:ascii="Arial" w:cs="Arial" w:eastAsia="Arial" w:hAnsi="Arial"/>
                <w:sz w:val="18"/>
                <w:szCs w:val="18"/>
                <w:color w:val="auto"/>
              </w:rPr>
              <w:t>(formerly Grolier Publishing Co., Inc.)</w:t>
            </w:r>
          </w:p>
        </w:tc>
        <w:tc>
          <w:tcPr>
            <w:tcW w:w="36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00" w:type="dxa"/>
            <w:vAlign w:val="bottom"/>
            <w:gridSpan w:val="2"/>
          </w:tcPr>
          <w:p>
            <w:pPr>
              <w:ind w:left="760"/>
              <w:spacing w:after="0"/>
              <w:rPr>
                <w:sz w:val="20"/>
                <w:szCs w:val="20"/>
                <w:color w:val="auto"/>
              </w:rPr>
            </w:pPr>
            <w:r>
              <w:rPr>
                <w:rFonts w:ascii="Arial" w:cs="Arial" w:eastAsia="Arial" w:hAnsi="Arial"/>
                <w:sz w:val="18"/>
                <w:szCs w:val="18"/>
                <w:color w:val="auto"/>
              </w:rPr>
              <w:t>Grolier Reading Programs Inc.</w:t>
            </w:r>
          </w:p>
        </w:tc>
        <w:tc>
          <w:tcPr>
            <w:tcW w:w="3640" w:type="dxa"/>
            <w:vAlign w:val="bottom"/>
          </w:tcPr>
          <w:p>
            <w:pPr>
              <w:ind w:left="2580"/>
              <w:spacing w:after="0"/>
              <w:rPr>
                <w:sz w:val="20"/>
                <w:szCs w:val="20"/>
                <w:color w:val="auto"/>
              </w:rPr>
            </w:pPr>
            <w:r>
              <w:rPr>
                <w:rFonts w:ascii="Arial" w:cs="Arial" w:eastAsia="Arial" w:hAnsi="Arial"/>
                <w:sz w:val="18"/>
                <w:szCs w:val="18"/>
                <w:color w:val="auto"/>
              </w:rPr>
              <w:t>Delaware</w:t>
            </w:r>
          </w:p>
        </w:tc>
      </w:tr>
      <w:tr>
        <w:trPr>
          <w:trHeight w:val="216"/>
        </w:trPr>
        <w:tc>
          <w:tcPr>
            <w:tcW w:w="20" w:type="dxa"/>
            <w:vAlign w:val="bottom"/>
          </w:tcPr>
          <w:p>
            <w:pPr>
              <w:spacing w:after="0"/>
              <w:rPr>
                <w:sz w:val="18"/>
                <w:szCs w:val="18"/>
                <w:color w:val="auto"/>
              </w:rPr>
            </w:pPr>
          </w:p>
        </w:tc>
        <w:tc>
          <w:tcPr>
            <w:tcW w:w="7800" w:type="dxa"/>
            <w:vAlign w:val="bottom"/>
            <w:gridSpan w:val="2"/>
          </w:tcPr>
          <w:p>
            <w:pPr>
              <w:ind w:left="760"/>
              <w:spacing w:after="0"/>
              <w:rPr>
                <w:sz w:val="20"/>
                <w:szCs w:val="20"/>
                <w:color w:val="auto"/>
              </w:rPr>
            </w:pPr>
            <w:r>
              <w:rPr>
                <w:rFonts w:ascii="Arial" w:cs="Arial" w:eastAsia="Arial" w:hAnsi="Arial"/>
                <w:sz w:val="18"/>
                <w:szCs w:val="18"/>
                <w:color w:val="auto"/>
              </w:rPr>
              <w:t>Grolier Telemarketing, Inc.</w:t>
            </w:r>
          </w:p>
        </w:tc>
        <w:tc>
          <w:tcPr>
            <w:tcW w:w="3640" w:type="dxa"/>
            <w:vAlign w:val="bottom"/>
          </w:tcPr>
          <w:p>
            <w:pPr>
              <w:ind w:left="2580"/>
              <w:spacing w:after="0"/>
              <w:rPr>
                <w:sz w:val="20"/>
                <w:szCs w:val="20"/>
                <w:color w:val="auto"/>
              </w:rPr>
            </w:pPr>
            <w:r>
              <w:rPr>
                <w:rFonts w:ascii="Arial" w:cs="Arial" w:eastAsia="Arial" w:hAnsi="Arial"/>
                <w:sz w:val="18"/>
                <w:szCs w:val="18"/>
                <w:color w:val="auto"/>
              </w:rPr>
              <w:t>Delaware</w:t>
            </w:r>
          </w:p>
        </w:tc>
      </w:tr>
      <w:tr>
        <w:trPr>
          <w:trHeight w:val="216"/>
        </w:trPr>
        <w:tc>
          <w:tcPr>
            <w:tcW w:w="20" w:type="dxa"/>
            <w:vAlign w:val="bottom"/>
          </w:tcPr>
          <w:p>
            <w:pPr>
              <w:spacing w:after="0"/>
              <w:rPr>
                <w:sz w:val="18"/>
                <w:szCs w:val="18"/>
                <w:color w:val="auto"/>
              </w:rPr>
            </w:pPr>
          </w:p>
        </w:tc>
        <w:tc>
          <w:tcPr>
            <w:tcW w:w="7800" w:type="dxa"/>
            <w:vAlign w:val="bottom"/>
            <w:gridSpan w:val="2"/>
          </w:tcPr>
          <w:p>
            <w:pPr>
              <w:ind w:left="760"/>
              <w:spacing w:after="0"/>
              <w:rPr>
                <w:sz w:val="20"/>
                <w:szCs w:val="20"/>
                <w:color w:val="auto"/>
              </w:rPr>
            </w:pPr>
            <w:r>
              <w:rPr>
                <w:rFonts w:ascii="Arial" w:cs="Arial" w:eastAsia="Arial" w:hAnsi="Arial"/>
                <w:sz w:val="18"/>
                <w:szCs w:val="18"/>
                <w:color w:val="auto"/>
              </w:rPr>
              <w:t>Grolier (New York) Incorporated</w:t>
            </w:r>
          </w:p>
        </w:tc>
        <w:tc>
          <w:tcPr>
            <w:tcW w:w="3640" w:type="dxa"/>
            <w:vAlign w:val="bottom"/>
          </w:tcPr>
          <w:p>
            <w:pPr>
              <w:ind w:left="2580"/>
              <w:spacing w:after="0"/>
              <w:rPr>
                <w:sz w:val="20"/>
                <w:szCs w:val="20"/>
                <w:color w:val="auto"/>
              </w:rPr>
            </w:pPr>
            <w:r>
              <w:rPr>
                <w:rFonts w:ascii="Arial" w:cs="Arial" w:eastAsia="Arial" w:hAnsi="Arial"/>
                <w:sz w:val="18"/>
                <w:szCs w:val="18"/>
                <w:color w:val="auto"/>
              </w:rPr>
              <w:t>Delaware</w:t>
            </w:r>
          </w:p>
        </w:tc>
      </w:tr>
      <w:tr>
        <w:trPr>
          <w:trHeight w:val="216"/>
        </w:trPr>
        <w:tc>
          <w:tcPr>
            <w:tcW w:w="20" w:type="dxa"/>
            <w:vAlign w:val="bottom"/>
          </w:tcPr>
          <w:p>
            <w:pPr>
              <w:spacing w:after="0"/>
              <w:rPr>
                <w:sz w:val="18"/>
                <w:szCs w:val="18"/>
                <w:color w:val="auto"/>
              </w:rPr>
            </w:pPr>
          </w:p>
        </w:tc>
        <w:tc>
          <w:tcPr>
            <w:tcW w:w="7800" w:type="dxa"/>
            <w:vAlign w:val="bottom"/>
            <w:gridSpan w:val="2"/>
          </w:tcPr>
          <w:p>
            <w:pPr>
              <w:ind w:left="760"/>
              <w:spacing w:after="0"/>
              <w:rPr>
                <w:sz w:val="20"/>
                <w:szCs w:val="20"/>
                <w:color w:val="auto"/>
              </w:rPr>
            </w:pPr>
            <w:r>
              <w:rPr>
                <w:rFonts w:ascii="Arial" w:cs="Arial" w:eastAsia="Arial" w:hAnsi="Arial"/>
                <w:sz w:val="18"/>
                <w:szCs w:val="18"/>
                <w:color w:val="auto"/>
              </w:rPr>
              <w:t>Orchard Books, Inc.</w:t>
            </w:r>
          </w:p>
        </w:tc>
        <w:tc>
          <w:tcPr>
            <w:tcW w:w="3640" w:type="dxa"/>
            <w:vAlign w:val="bottom"/>
          </w:tcPr>
          <w:p>
            <w:pPr>
              <w:ind w:left="2580"/>
              <w:spacing w:after="0"/>
              <w:rPr>
                <w:sz w:val="20"/>
                <w:szCs w:val="20"/>
                <w:color w:val="auto"/>
              </w:rPr>
            </w:pPr>
            <w:r>
              <w:rPr>
                <w:rFonts w:ascii="Arial" w:cs="Arial" w:eastAsia="Arial" w:hAnsi="Arial"/>
                <w:sz w:val="18"/>
                <w:szCs w:val="18"/>
                <w:color w:val="auto"/>
              </w:rPr>
              <w:t>New York</w:t>
            </w:r>
          </w:p>
        </w:tc>
      </w:tr>
      <w:tr>
        <w:trPr>
          <w:trHeight w:val="216"/>
        </w:trPr>
        <w:tc>
          <w:tcPr>
            <w:tcW w:w="20" w:type="dxa"/>
            <w:vAlign w:val="bottom"/>
          </w:tcPr>
          <w:p>
            <w:pPr>
              <w:spacing w:after="0"/>
              <w:rPr>
                <w:sz w:val="18"/>
                <w:szCs w:val="18"/>
                <w:color w:val="auto"/>
              </w:rPr>
            </w:pPr>
          </w:p>
        </w:tc>
        <w:tc>
          <w:tcPr>
            <w:tcW w:w="7800" w:type="dxa"/>
            <w:vAlign w:val="bottom"/>
            <w:gridSpan w:val="2"/>
          </w:tcPr>
          <w:p>
            <w:pPr>
              <w:ind w:left="760"/>
              <w:spacing w:after="0"/>
              <w:rPr>
                <w:sz w:val="20"/>
                <w:szCs w:val="20"/>
                <w:color w:val="auto"/>
              </w:rPr>
            </w:pPr>
            <w:r>
              <w:rPr>
                <w:rFonts w:ascii="Arial" w:cs="Arial" w:eastAsia="Arial" w:hAnsi="Arial"/>
                <w:sz w:val="18"/>
                <w:szCs w:val="18"/>
                <w:color w:val="auto"/>
              </w:rPr>
              <w:t>Publishers World Trade Corporation</w:t>
            </w:r>
          </w:p>
        </w:tc>
        <w:tc>
          <w:tcPr>
            <w:tcW w:w="3640" w:type="dxa"/>
            <w:vAlign w:val="bottom"/>
          </w:tcPr>
          <w:p>
            <w:pPr>
              <w:ind w:left="2580"/>
              <w:spacing w:after="0"/>
              <w:rPr>
                <w:sz w:val="20"/>
                <w:szCs w:val="20"/>
                <w:color w:val="auto"/>
              </w:rPr>
            </w:pPr>
            <w:r>
              <w:rPr>
                <w:rFonts w:ascii="Arial" w:cs="Arial" w:eastAsia="Arial" w:hAnsi="Arial"/>
                <w:sz w:val="18"/>
                <w:szCs w:val="18"/>
                <w:color w:val="auto"/>
              </w:rPr>
              <w:t>Delaware</w:t>
            </w:r>
          </w:p>
        </w:tc>
      </w:tr>
      <w:tr>
        <w:trPr>
          <w:trHeight w:val="216"/>
        </w:trPr>
        <w:tc>
          <w:tcPr>
            <w:tcW w:w="20" w:type="dxa"/>
            <w:vAlign w:val="bottom"/>
          </w:tcPr>
          <w:p>
            <w:pPr>
              <w:spacing w:after="0"/>
              <w:rPr>
                <w:sz w:val="18"/>
                <w:szCs w:val="18"/>
                <w:color w:val="auto"/>
              </w:rPr>
            </w:pPr>
          </w:p>
        </w:tc>
        <w:tc>
          <w:tcPr>
            <w:tcW w:w="7800" w:type="dxa"/>
            <w:vAlign w:val="bottom"/>
            <w:gridSpan w:val="2"/>
          </w:tcPr>
          <w:p>
            <w:pPr>
              <w:ind w:left="760"/>
              <w:spacing w:after="0"/>
              <w:rPr>
                <w:sz w:val="20"/>
                <w:szCs w:val="20"/>
                <w:color w:val="auto"/>
              </w:rPr>
            </w:pPr>
            <w:r>
              <w:rPr>
                <w:rFonts w:ascii="Arial" w:cs="Arial" w:eastAsia="Arial" w:hAnsi="Arial"/>
                <w:sz w:val="18"/>
                <w:szCs w:val="18"/>
                <w:color w:val="auto"/>
              </w:rPr>
              <w:t>Federated Credit Corp.</w:t>
            </w:r>
          </w:p>
        </w:tc>
        <w:tc>
          <w:tcPr>
            <w:tcW w:w="3640" w:type="dxa"/>
            <w:vAlign w:val="bottom"/>
          </w:tcPr>
          <w:p>
            <w:pPr>
              <w:ind w:left="2580"/>
              <w:spacing w:after="0"/>
              <w:rPr>
                <w:sz w:val="20"/>
                <w:szCs w:val="20"/>
                <w:color w:val="auto"/>
              </w:rPr>
            </w:pPr>
            <w:r>
              <w:rPr>
                <w:rFonts w:ascii="Arial" w:cs="Arial" w:eastAsia="Arial" w:hAnsi="Arial"/>
                <w:sz w:val="18"/>
                <w:szCs w:val="18"/>
                <w:color w:val="auto"/>
              </w:rPr>
              <w:t>Delaware</w:t>
            </w:r>
          </w:p>
        </w:tc>
      </w:tr>
      <w:tr>
        <w:trPr>
          <w:trHeight w:val="216"/>
        </w:trPr>
        <w:tc>
          <w:tcPr>
            <w:tcW w:w="20" w:type="dxa"/>
            <w:vAlign w:val="bottom"/>
          </w:tcPr>
          <w:p>
            <w:pPr>
              <w:spacing w:after="0"/>
              <w:rPr>
                <w:sz w:val="18"/>
                <w:szCs w:val="18"/>
                <w:color w:val="auto"/>
              </w:rPr>
            </w:pPr>
          </w:p>
        </w:tc>
        <w:tc>
          <w:tcPr>
            <w:tcW w:w="7800" w:type="dxa"/>
            <w:vAlign w:val="bottom"/>
            <w:gridSpan w:val="2"/>
          </w:tcPr>
          <w:p>
            <w:pPr>
              <w:ind w:left="440"/>
              <w:spacing w:after="0"/>
              <w:rPr>
                <w:sz w:val="20"/>
                <w:szCs w:val="20"/>
                <w:color w:val="auto"/>
              </w:rPr>
            </w:pPr>
            <w:r>
              <w:rPr>
                <w:rFonts w:ascii="Arial" w:cs="Arial" w:eastAsia="Arial" w:hAnsi="Arial"/>
                <w:sz w:val="18"/>
                <w:szCs w:val="18"/>
                <w:color w:val="auto"/>
              </w:rPr>
              <w:t>Grolier International, Inc.</w:t>
            </w:r>
          </w:p>
        </w:tc>
        <w:tc>
          <w:tcPr>
            <w:tcW w:w="3640" w:type="dxa"/>
            <w:vAlign w:val="bottom"/>
          </w:tcPr>
          <w:p>
            <w:pPr>
              <w:ind w:left="2580"/>
              <w:spacing w:after="0"/>
              <w:rPr>
                <w:sz w:val="20"/>
                <w:szCs w:val="20"/>
                <w:color w:val="auto"/>
              </w:rPr>
            </w:pPr>
            <w:r>
              <w:rPr>
                <w:rFonts w:ascii="Arial" w:cs="Arial" w:eastAsia="Arial" w:hAnsi="Arial"/>
                <w:sz w:val="18"/>
                <w:szCs w:val="18"/>
                <w:color w:val="auto"/>
              </w:rPr>
              <w:t>Delaware</w:t>
            </w:r>
          </w:p>
        </w:tc>
      </w:tr>
      <w:tr>
        <w:trPr>
          <w:trHeight w:val="217"/>
        </w:trPr>
        <w:tc>
          <w:tcPr>
            <w:tcW w:w="20" w:type="dxa"/>
            <w:vAlign w:val="bottom"/>
          </w:tcPr>
          <w:p>
            <w:pPr>
              <w:spacing w:after="0"/>
              <w:rPr>
                <w:sz w:val="18"/>
                <w:szCs w:val="18"/>
                <w:color w:val="auto"/>
              </w:rPr>
            </w:pPr>
          </w:p>
        </w:tc>
        <w:tc>
          <w:tcPr>
            <w:tcW w:w="7800" w:type="dxa"/>
            <w:vAlign w:val="bottom"/>
            <w:gridSpan w:val="2"/>
          </w:tcPr>
          <w:p>
            <w:pPr>
              <w:ind w:left="1060"/>
              <w:spacing w:after="0"/>
              <w:rPr>
                <w:sz w:val="20"/>
                <w:szCs w:val="20"/>
                <w:color w:val="auto"/>
              </w:rPr>
            </w:pPr>
            <w:r>
              <w:rPr>
                <w:rFonts w:ascii="Arial" w:cs="Arial" w:eastAsia="Arial" w:hAnsi="Arial"/>
                <w:sz w:val="18"/>
                <w:szCs w:val="18"/>
                <w:color w:val="auto"/>
              </w:rPr>
              <w:t>Grolier Direct Marketing Pty. Ltd.</w:t>
            </w:r>
          </w:p>
        </w:tc>
        <w:tc>
          <w:tcPr>
            <w:tcW w:w="3640" w:type="dxa"/>
            <w:vAlign w:val="bottom"/>
          </w:tcPr>
          <w:p>
            <w:pPr>
              <w:ind w:left="2580"/>
              <w:spacing w:after="0"/>
              <w:rPr>
                <w:sz w:val="20"/>
                <w:szCs w:val="20"/>
                <w:color w:val="auto"/>
              </w:rPr>
            </w:pPr>
            <w:r>
              <w:rPr>
                <w:rFonts w:ascii="Arial" w:cs="Arial" w:eastAsia="Arial" w:hAnsi="Arial"/>
                <w:sz w:val="18"/>
                <w:szCs w:val="18"/>
                <w:color w:val="auto"/>
              </w:rPr>
              <w:t>Australia</w:t>
            </w:r>
          </w:p>
        </w:tc>
      </w:tr>
      <w:tr>
        <w:trPr>
          <w:trHeight w:val="257"/>
        </w:trPr>
        <w:tc>
          <w:tcPr>
            <w:tcW w:w="20" w:type="dxa"/>
            <w:vAlign w:val="bottom"/>
          </w:tcPr>
          <w:p>
            <w:pPr>
              <w:spacing w:after="0"/>
              <w:rPr>
                <w:sz w:val="22"/>
                <w:szCs w:val="22"/>
                <w:color w:val="auto"/>
              </w:rPr>
            </w:pPr>
          </w:p>
        </w:tc>
        <w:tc>
          <w:tcPr>
            <w:tcW w:w="7800" w:type="dxa"/>
            <w:vAlign w:val="bottom"/>
            <w:gridSpan w:val="2"/>
          </w:tcPr>
          <w:p>
            <w:pPr>
              <w:ind w:left="1060"/>
              <w:spacing w:after="0" w:line="256" w:lineRule="exact"/>
              <w:rPr>
                <w:sz w:val="20"/>
                <w:szCs w:val="20"/>
                <w:color w:val="auto"/>
              </w:rPr>
            </w:pPr>
            <w:r>
              <w:rPr>
                <w:rFonts w:ascii="Arial" w:cs="Arial" w:eastAsia="Arial" w:hAnsi="Arial"/>
                <w:sz w:val="18"/>
                <w:szCs w:val="18"/>
                <w:color w:val="auto"/>
              </w:rPr>
              <w:t xml:space="preserve">Grolier International Finance Inc. (Philippines) </w:t>
            </w:r>
            <w:r>
              <w:rPr>
                <w:rFonts w:ascii="Arial" w:cs="Arial" w:eastAsia="Arial" w:hAnsi="Arial"/>
                <w:sz w:val="29"/>
                <w:szCs w:val="29"/>
                <w:color w:val="auto"/>
                <w:vertAlign w:val="superscript"/>
              </w:rPr>
              <w:t>6</w:t>
            </w:r>
          </w:p>
        </w:tc>
        <w:tc>
          <w:tcPr>
            <w:tcW w:w="3640" w:type="dxa"/>
            <w:vAlign w:val="bottom"/>
          </w:tcPr>
          <w:p>
            <w:pPr>
              <w:ind w:left="2580"/>
              <w:spacing w:after="0"/>
              <w:rPr>
                <w:sz w:val="20"/>
                <w:szCs w:val="20"/>
                <w:color w:val="auto"/>
              </w:rPr>
            </w:pPr>
            <w:r>
              <w:rPr>
                <w:rFonts w:ascii="Arial" w:cs="Arial" w:eastAsia="Arial" w:hAnsi="Arial"/>
                <w:sz w:val="18"/>
                <w:szCs w:val="18"/>
                <w:color w:val="auto"/>
              </w:rPr>
              <w:t>Philippines</w:t>
            </w:r>
          </w:p>
        </w:tc>
      </w:tr>
      <w:tr>
        <w:trPr>
          <w:trHeight w:val="255"/>
        </w:trPr>
        <w:tc>
          <w:tcPr>
            <w:tcW w:w="20" w:type="dxa"/>
            <w:vAlign w:val="bottom"/>
          </w:tcPr>
          <w:p>
            <w:pPr>
              <w:spacing w:after="0"/>
              <w:rPr>
                <w:sz w:val="22"/>
                <w:szCs w:val="22"/>
                <w:color w:val="auto"/>
              </w:rPr>
            </w:pPr>
          </w:p>
        </w:tc>
        <w:tc>
          <w:tcPr>
            <w:tcW w:w="7800" w:type="dxa"/>
            <w:vAlign w:val="bottom"/>
            <w:gridSpan w:val="2"/>
          </w:tcPr>
          <w:p>
            <w:pPr>
              <w:ind w:left="1060"/>
              <w:spacing w:after="0" w:line="255" w:lineRule="exact"/>
              <w:rPr>
                <w:sz w:val="20"/>
                <w:szCs w:val="20"/>
                <w:color w:val="auto"/>
              </w:rPr>
            </w:pPr>
            <w:r>
              <w:rPr>
                <w:rFonts w:ascii="Arial" w:cs="Arial" w:eastAsia="Arial" w:hAnsi="Arial"/>
                <w:sz w:val="18"/>
                <w:szCs w:val="18"/>
                <w:color w:val="auto"/>
              </w:rPr>
              <w:t xml:space="preserve">Grolier (Malaysia) SDN BHD </w:t>
            </w:r>
            <w:r>
              <w:rPr>
                <w:rFonts w:ascii="Arial" w:cs="Arial" w:eastAsia="Arial" w:hAnsi="Arial"/>
                <w:sz w:val="29"/>
                <w:szCs w:val="29"/>
                <w:color w:val="auto"/>
                <w:vertAlign w:val="superscript"/>
              </w:rPr>
              <w:t>7</w:t>
            </w:r>
          </w:p>
        </w:tc>
        <w:tc>
          <w:tcPr>
            <w:tcW w:w="3640" w:type="dxa"/>
            <w:vAlign w:val="bottom"/>
          </w:tcPr>
          <w:p>
            <w:pPr>
              <w:ind w:left="2580"/>
              <w:spacing w:after="0"/>
              <w:rPr>
                <w:sz w:val="20"/>
                <w:szCs w:val="20"/>
                <w:color w:val="auto"/>
              </w:rPr>
            </w:pPr>
            <w:r>
              <w:rPr>
                <w:rFonts w:ascii="Arial" w:cs="Arial" w:eastAsia="Arial" w:hAnsi="Arial"/>
                <w:sz w:val="18"/>
                <w:szCs w:val="18"/>
                <w:color w:val="auto"/>
              </w:rPr>
              <w:t>Malaysia</w:t>
            </w:r>
          </w:p>
        </w:tc>
      </w:tr>
      <w:tr>
        <w:trPr>
          <w:trHeight w:val="217"/>
        </w:trPr>
        <w:tc>
          <w:tcPr>
            <w:tcW w:w="20" w:type="dxa"/>
            <w:vAlign w:val="bottom"/>
          </w:tcPr>
          <w:p>
            <w:pPr>
              <w:spacing w:after="0"/>
              <w:rPr>
                <w:sz w:val="18"/>
                <w:szCs w:val="18"/>
                <w:color w:val="auto"/>
              </w:rPr>
            </w:pPr>
          </w:p>
        </w:tc>
        <w:tc>
          <w:tcPr>
            <w:tcW w:w="7800" w:type="dxa"/>
            <w:vAlign w:val="bottom"/>
            <w:gridSpan w:val="2"/>
          </w:tcPr>
          <w:p>
            <w:pPr>
              <w:ind w:left="440"/>
              <w:spacing w:after="0"/>
              <w:rPr>
                <w:sz w:val="20"/>
                <w:szCs w:val="20"/>
                <w:color w:val="auto"/>
              </w:rPr>
            </w:pPr>
            <w:r>
              <w:rPr>
                <w:rFonts w:ascii="Arial" w:cs="Arial" w:eastAsia="Arial" w:hAnsi="Arial"/>
                <w:sz w:val="18"/>
                <w:szCs w:val="18"/>
                <w:color w:val="auto"/>
              </w:rPr>
              <w:t>Grolier Overseas Incorporated</w:t>
            </w:r>
          </w:p>
        </w:tc>
        <w:tc>
          <w:tcPr>
            <w:tcW w:w="3640" w:type="dxa"/>
            <w:vAlign w:val="bottom"/>
          </w:tcPr>
          <w:p>
            <w:pPr>
              <w:ind w:left="2580"/>
              <w:spacing w:after="0"/>
              <w:rPr>
                <w:sz w:val="20"/>
                <w:szCs w:val="20"/>
                <w:color w:val="auto"/>
              </w:rPr>
            </w:pPr>
            <w:r>
              <w:rPr>
                <w:rFonts w:ascii="Arial" w:cs="Arial" w:eastAsia="Arial" w:hAnsi="Arial"/>
                <w:sz w:val="18"/>
                <w:szCs w:val="18"/>
                <w:color w:val="auto"/>
              </w:rPr>
              <w:t>Delaware</w:t>
            </w:r>
          </w:p>
        </w:tc>
      </w:tr>
      <w:tr>
        <w:trPr>
          <w:trHeight w:val="255"/>
        </w:trPr>
        <w:tc>
          <w:tcPr>
            <w:tcW w:w="20" w:type="dxa"/>
            <w:vAlign w:val="bottom"/>
          </w:tcPr>
          <w:p>
            <w:pPr>
              <w:spacing w:after="0"/>
              <w:rPr>
                <w:sz w:val="22"/>
                <w:szCs w:val="22"/>
                <w:color w:val="auto"/>
              </w:rPr>
            </w:pPr>
          </w:p>
        </w:tc>
        <w:tc>
          <w:tcPr>
            <w:tcW w:w="7800" w:type="dxa"/>
            <w:vAlign w:val="bottom"/>
            <w:gridSpan w:val="2"/>
          </w:tcPr>
          <w:p>
            <w:pPr>
              <w:ind w:left="1060"/>
              <w:spacing w:after="0" w:line="255" w:lineRule="exact"/>
              <w:rPr>
                <w:sz w:val="20"/>
                <w:szCs w:val="20"/>
                <w:color w:val="auto"/>
              </w:rPr>
            </w:pPr>
            <w:r>
              <w:rPr>
                <w:rFonts w:ascii="Arial" w:cs="Arial" w:eastAsia="Arial" w:hAnsi="Arial"/>
                <w:sz w:val="18"/>
                <w:szCs w:val="18"/>
                <w:color w:val="auto"/>
              </w:rPr>
              <w:t xml:space="preserve">Grolier International Private Limited (India) </w:t>
            </w:r>
            <w:r>
              <w:rPr>
                <w:rFonts w:ascii="Arial" w:cs="Arial" w:eastAsia="Arial" w:hAnsi="Arial"/>
                <w:sz w:val="29"/>
                <w:szCs w:val="29"/>
                <w:color w:val="auto"/>
                <w:vertAlign w:val="superscript"/>
              </w:rPr>
              <w:t>8</w:t>
            </w:r>
          </w:p>
        </w:tc>
        <w:tc>
          <w:tcPr>
            <w:tcW w:w="3640" w:type="dxa"/>
            <w:vAlign w:val="bottom"/>
          </w:tcPr>
          <w:p>
            <w:pPr>
              <w:ind w:left="2580"/>
              <w:spacing w:after="0"/>
              <w:rPr>
                <w:sz w:val="20"/>
                <w:szCs w:val="20"/>
                <w:color w:val="auto"/>
              </w:rPr>
            </w:pPr>
            <w:r>
              <w:rPr>
                <w:rFonts w:ascii="Arial" w:cs="Arial" w:eastAsia="Arial" w:hAnsi="Arial"/>
                <w:sz w:val="18"/>
                <w:szCs w:val="18"/>
                <w:color w:val="auto"/>
              </w:rPr>
              <w:t>India</w:t>
            </w:r>
          </w:p>
        </w:tc>
      </w:tr>
      <w:tr>
        <w:trPr>
          <w:trHeight w:val="216"/>
        </w:trPr>
        <w:tc>
          <w:tcPr>
            <w:tcW w:w="20" w:type="dxa"/>
            <w:vAlign w:val="bottom"/>
          </w:tcPr>
          <w:p>
            <w:pPr>
              <w:spacing w:after="0"/>
              <w:rPr>
                <w:sz w:val="18"/>
                <w:szCs w:val="18"/>
                <w:color w:val="auto"/>
              </w:rPr>
            </w:pPr>
          </w:p>
        </w:tc>
        <w:tc>
          <w:tcPr>
            <w:tcW w:w="7800" w:type="dxa"/>
            <w:vAlign w:val="bottom"/>
            <w:gridSpan w:val="2"/>
          </w:tcPr>
          <w:p>
            <w:pPr>
              <w:ind w:left="1060"/>
              <w:spacing w:after="0"/>
              <w:rPr>
                <w:sz w:val="20"/>
                <w:szCs w:val="20"/>
                <w:color w:val="auto"/>
              </w:rPr>
            </w:pPr>
            <w:r>
              <w:rPr>
                <w:rFonts w:ascii="Arial" w:cs="Arial" w:eastAsia="Arial" w:hAnsi="Arial"/>
                <w:sz w:val="18"/>
                <w:szCs w:val="18"/>
                <w:color w:val="auto"/>
              </w:rPr>
              <w:t>Grolier Limited (Canada)</w:t>
            </w:r>
          </w:p>
        </w:tc>
        <w:tc>
          <w:tcPr>
            <w:tcW w:w="3640" w:type="dxa"/>
            <w:vAlign w:val="bottom"/>
          </w:tcPr>
          <w:p>
            <w:pPr>
              <w:ind w:left="2580"/>
              <w:spacing w:after="0"/>
              <w:rPr>
                <w:sz w:val="20"/>
                <w:szCs w:val="20"/>
                <w:color w:val="auto"/>
              </w:rPr>
            </w:pPr>
            <w:r>
              <w:rPr>
                <w:rFonts w:ascii="Arial" w:cs="Arial" w:eastAsia="Arial" w:hAnsi="Arial"/>
                <w:sz w:val="18"/>
                <w:szCs w:val="18"/>
                <w:color w:val="auto"/>
              </w:rPr>
              <w:t>Canada</w:t>
            </w:r>
          </w:p>
        </w:tc>
      </w:tr>
      <w:tr>
        <w:trPr>
          <w:trHeight w:val="216"/>
        </w:trPr>
        <w:tc>
          <w:tcPr>
            <w:tcW w:w="20" w:type="dxa"/>
            <w:vAlign w:val="bottom"/>
          </w:tcPr>
          <w:p>
            <w:pPr>
              <w:spacing w:after="0"/>
              <w:rPr>
                <w:sz w:val="18"/>
                <w:szCs w:val="18"/>
                <w:color w:val="auto"/>
              </w:rPr>
            </w:pPr>
          </w:p>
        </w:tc>
        <w:tc>
          <w:tcPr>
            <w:tcW w:w="7800" w:type="dxa"/>
            <w:vAlign w:val="bottom"/>
            <w:gridSpan w:val="2"/>
          </w:tcPr>
          <w:p>
            <w:pPr>
              <w:ind w:left="1060"/>
              <w:spacing w:after="0"/>
              <w:rPr>
                <w:sz w:val="20"/>
                <w:szCs w:val="20"/>
                <w:color w:val="auto"/>
              </w:rPr>
            </w:pPr>
            <w:r>
              <w:rPr>
                <w:rFonts w:ascii="Arial" w:cs="Arial" w:eastAsia="Arial" w:hAnsi="Arial"/>
                <w:sz w:val="18"/>
                <w:szCs w:val="18"/>
                <w:color w:val="auto"/>
              </w:rPr>
              <w:t>Caribe Grolier, Inc.</w:t>
            </w:r>
          </w:p>
        </w:tc>
        <w:tc>
          <w:tcPr>
            <w:tcW w:w="3640" w:type="dxa"/>
            <w:vAlign w:val="bottom"/>
          </w:tcPr>
          <w:p>
            <w:pPr>
              <w:ind w:left="2580"/>
              <w:spacing w:after="0"/>
              <w:rPr>
                <w:sz w:val="20"/>
                <w:szCs w:val="20"/>
                <w:color w:val="auto"/>
              </w:rPr>
            </w:pPr>
            <w:r>
              <w:rPr>
                <w:rFonts w:ascii="Arial" w:cs="Arial" w:eastAsia="Arial" w:hAnsi="Arial"/>
                <w:sz w:val="18"/>
                <w:szCs w:val="18"/>
                <w:color w:val="auto"/>
              </w:rPr>
              <w:t>Puerto Rico</w:t>
            </w:r>
          </w:p>
        </w:tc>
      </w:tr>
      <w:tr>
        <w:trPr>
          <w:trHeight w:val="216"/>
        </w:trPr>
        <w:tc>
          <w:tcPr>
            <w:tcW w:w="20" w:type="dxa"/>
            <w:vAlign w:val="bottom"/>
          </w:tcPr>
          <w:p>
            <w:pPr>
              <w:spacing w:after="0"/>
              <w:rPr>
                <w:sz w:val="18"/>
                <w:szCs w:val="18"/>
                <w:color w:val="auto"/>
              </w:rPr>
            </w:pPr>
          </w:p>
        </w:tc>
        <w:tc>
          <w:tcPr>
            <w:tcW w:w="7800" w:type="dxa"/>
            <w:vAlign w:val="bottom"/>
            <w:gridSpan w:val="2"/>
          </w:tcPr>
          <w:p>
            <w:pPr>
              <w:ind w:left="1060"/>
              <w:spacing w:after="0"/>
              <w:rPr>
                <w:sz w:val="20"/>
                <w:szCs w:val="20"/>
                <w:color w:val="auto"/>
              </w:rPr>
            </w:pPr>
            <w:r>
              <w:rPr>
                <w:rFonts w:ascii="Arial" w:cs="Arial" w:eastAsia="Arial" w:hAnsi="Arial"/>
                <w:sz w:val="18"/>
                <w:szCs w:val="18"/>
                <w:color w:val="auto"/>
              </w:rPr>
              <w:t>Grolier International Limited (UK)</w:t>
            </w:r>
          </w:p>
        </w:tc>
        <w:tc>
          <w:tcPr>
            <w:tcW w:w="3640" w:type="dxa"/>
            <w:vAlign w:val="bottom"/>
          </w:tcPr>
          <w:p>
            <w:pPr>
              <w:ind w:left="2580"/>
              <w:spacing w:after="0"/>
              <w:rPr>
                <w:sz w:val="20"/>
                <w:szCs w:val="20"/>
                <w:color w:val="auto"/>
              </w:rPr>
            </w:pPr>
            <w:r>
              <w:rPr>
                <w:rFonts w:ascii="Arial" w:cs="Arial" w:eastAsia="Arial" w:hAnsi="Arial"/>
                <w:sz w:val="18"/>
                <w:szCs w:val="18"/>
                <w:color w:val="auto"/>
              </w:rPr>
              <w:t>England</w:t>
            </w:r>
          </w:p>
        </w:tc>
      </w:tr>
      <w:tr>
        <w:trPr>
          <w:trHeight w:val="216"/>
        </w:trPr>
        <w:tc>
          <w:tcPr>
            <w:tcW w:w="20" w:type="dxa"/>
            <w:vAlign w:val="bottom"/>
          </w:tcPr>
          <w:p>
            <w:pPr>
              <w:spacing w:after="0"/>
              <w:rPr>
                <w:sz w:val="18"/>
                <w:szCs w:val="18"/>
                <w:color w:val="auto"/>
              </w:rPr>
            </w:pPr>
          </w:p>
        </w:tc>
        <w:tc>
          <w:tcPr>
            <w:tcW w:w="7800" w:type="dxa"/>
            <w:vAlign w:val="bottom"/>
            <w:gridSpan w:val="2"/>
          </w:tcPr>
          <w:p>
            <w:pPr>
              <w:ind w:left="1060"/>
              <w:spacing w:after="0"/>
              <w:rPr>
                <w:sz w:val="20"/>
                <w:szCs w:val="20"/>
                <w:color w:val="auto"/>
              </w:rPr>
            </w:pPr>
            <w:r>
              <w:rPr>
                <w:rFonts w:ascii="Arial" w:cs="Arial" w:eastAsia="Arial" w:hAnsi="Arial"/>
                <w:sz w:val="18"/>
                <w:szCs w:val="18"/>
                <w:color w:val="auto"/>
              </w:rPr>
              <w:t>Grolier Credit Services (UK) Limited</w:t>
            </w:r>
          </w:p>
        </w:tc>
        <w:tc>
          <w:tcPr>
            <w:tcW w:w="3640" w:type="dxa"/>
            <w:vAlign w:val="bottom"/>
          </w:tcPr>
          <w:p>
            <w:pPr>
              <w:ind w:left="2580"/>
              <w:spacing w:after="0"/>
              <w:rPr>
                <w:sz w:val="20"/>
                <w:szCs w:val="20"/>
                <w:color w:val="auto"/>
              </w:rPr>
            </w:pPr>
            <w:r>
              <w:rPr>
                <w:rFonts w:ascii="Arial" w:cs="Arial" w:eastAsia="Arial" w:hAnsi="Arial"/>
                <w:sz w:val="18"/>
                <w:szCs w:val="18"/>
                <w:color w:val="auto"/>
              </w:rPr>
              <w:t>England</w:t>
            </w:r>
          </w:p>
        </w:tc>
      </w:tr>
      <w:tr>
        <w:trPr>
          <w:trHeight w:val="216"/>
        </w:trPr>
        <w:tc>
          <w:tcPr>
            <w:tcW w:w="20" w:type="dxa"/>
            <w:vAlign w:val="bottom"/>
          </w:tcPr>
          <w:p>
            <w:pPr>
              <w:spacing w:after="0"/>
              <w:rPr>
                <w:sz w:val="18"/>
                <w:szCs w:val="18"/>
                <w:color w:val="auto"/>
              </w:rPr>
            </w:pPr>
          </w:p>
        </w:tc>
        <w:tc>
          <w:tcPr>
            <w:tcW w:w="7800" w:type="dxa"/>
            <w:vAlign w:val="bottom"/>
            <w:gridSpan w:val="2"/>
          </w:tcPr>
          <w:p>
            <w:pPr>
              <w:ind w:left="1320"/>
              <w:spacing w:after="0"/>
              <w:rPr>
                <w:sz w:val="20"/>
                <w:szCs w:val="20"/>
                <w:color w:val="auto"/>
              </w:rPr>
            </w:pPr>
            <w:r>
              <w:rPr>
                <w:rFonts w:ascii="Arial" w:cs="Arial" w:eastAsia="Arial" w:hAnsi="Arial"/>
                <w:sz w:val="18"/>
                <w:szCs w:val="18"/>
                <w:color w:val="auto"/>
              </w:rPr>
              <w:t>Grolier Limited</w:t>
            </w:r>
          </w:p>
        </w:tc>
        <w:tc>
          <w:tcPr>
            <w:tcW w:w="3640" w:type="dxa"/>
            <w:vAlign w:val="bottom"/>
          </w:tcPr>
          <w:p>
            <w:pPr>
              <w:ind w:left="2580"/>
              <w:spacing w:after="0"/>
              <w:rPr>
                <w:sz w:val="20"/>
                <w:szCs w:val="20"/>
                <w:color w:val="auto"/>
              </w:rPr>
            </w:pPr>
            <w:r>
              <w:rPr>
                <w:rFonts w:ascii="Arial" w:cs="Arial" w:eastAsia="Arial" w:hAnsi="Arial"/>
                <w:sz w:val="18"/>
                <w:szCs w:val="18"/>
                <w:color w:val="auto"/>
              </w:rPr>
              <w:t>England</w:t>
            </w:r>
          </w:p>
        </w:tc>
      </w:tr>
      <w:tr>
        <w:trPr>
          <w:trHeight w:val="216"/>
        </w:trPr>
        <w:tc>
          <w:tcPr>
            <w:tcW w:w="20" w:type="dxa"/>
            <w:vAlign w:val="bottom"/>
          </w:tcPr>
          <w:p>
            <w:pPr>
              <w:spacing w:after="0"/>
              <w:rPr>
                <w:sz w:val="18"/>
                <w:szCs w:val="18"/>
                <w:color w:val="auto"/>
              </w:rPr>
            </w:pPr>
          </w:p>
        </w:tc>
        <w:tc>
          <w:tcPr>
            <w:tcW w:w="7800" w:type="dxa"/>
            <w:vAlign w:val="bottom"/>
            <w:gridSpan w:val="2"/>
          </w:tcPr>
          <w:p>
            <w:pPr>
              <w:ind w:left="1320"/>
              <w:spacing w:after="0"/>
              <w:rPr>
                <w:sz w:val="20"/>
                <w:szCs w:val="20"/>
                <w:color w:val="auto"/>
              </w:rPr>
            </w:pPr>
            <w:r>
              <w:rPr>
                <w:rFonts w:ascii="Arial" w:cs="Arial" w:eastAsia="Arial" w:hAnsi="Arial"/>
                <w:sz w:val="18"/>
                <w:szCs w:val="18"/>
                <w:color w:val="auto"/>
              </w:rPr>
              <w:t>Transtutor Limited</w:t>
            </w:r>
          </w:p>
        </w:tc>
        <w:tc>
          <w:tcPr>
            <w:tcW w:w="3640" w:type="dxa"/>
            <w:vAlign w:val="bottom"/>
          </w:tcPr>
          <w:p>
            <w:pPr>
              <w:ind w:left="2580"/>
              <w:spacing w:after="0"/>
              <w:rPr>
                <w:sz w:val="20"/>
                <w:szCs w:val="20"/>
                <w:color w:val="auto"/>
              </w:rPr>
            </w:pPr>
            <w:r>
              <w:rPr>
                <w:rFonts w:ascii="Arial" w:cs="Arial" w:eastAsia="Arial" w:hAnsi="Arial"/>
                <w:sz w:val="18"/>
                <w:szCs w:val="18"/>
                <w:color w:val="auto"/>
              </w:rPr>
              <w:t>England</w:t>
            </w:r>
          </w:p>
        </w:tc>
      </w:tr>
      <w:tr>
        <w:trPr>
          <w:trHeight w:val="216"/>
        </w:trPr>
        <w:tc>
          <w:tcPr>
            <w:tcW w:w="20" w:type="dxa"/>
            <w:vAlign w:val="bottom"/>
          </w:tcPr>
          <w:p>
            <w:pPr>
              <w:spacing w:after="0"/>
              <w:rPr>
                <w:sz w:val="18"/>
                <w:szCs w:val="18"/>
                <w:color w:val="auto"/>
              </w:rPr>
            </w:pPr>
          </w:p>
        </w:tc>
        <w:tc>
          <w:tcPr>
            <w:tcW w:w="7800" w:type="dxa"/>
            <w:vAlign w:val="bottom"/>
            <w:gridSpan w:val="2"/>
          </w:tcPr>
          <w:p>
            <w:pPr>
              <w:ind w:left="1320"/>
              <w:spacing w:after="0"/>
              <w:rPr>
                <w:sz w:val="20"/>
                <w:szCs w:val="20"/>
                <w:color w:val="auto"/>
              </w:rPr>
            </w:pPr>
            <w:r>
              <w:rPr>
                <w:rFonts w:ascii="Arial" w:cs="Arial" w:eastAsia="Arial" w:hAnsi="Arial"/>
                <w:sz w:val="18"/>
                <w:szCs w:val="18"/>
                <w:color w:val="auto"/>
              </w:rPr>
              <w:t>Just Books! Limited</w:t>
            </w:r>
          </w:p>
        </w:tc>
        <w:tc>
          <w:tcPr>
            <w:tcW w:w="3640" w:type="dxa"/>
            <w:vAlign w:val="bottom"/>
          </w:tcPr>
          <w:p>
            <w:pPr>
              <w:ind w:left="2580"/>
              <w:spacing w:after="0"/>
              <w:rPr>
                <w:sz w:val="20"/>
                <w:szCs w:val="20"/>
                <w:color w:val="auto"/>
              </w:rPr>
            </w:pPr>
            <w:r>
              <w:rPr>
                <w:rFonts w:ascii="Arial" w:cs="Arial" w:eastAsia="Arial" w:hAnsi="Arial"/>
                <w:sz w:val="18"/>
                <w:szCs w:val="18"/>
                <w:color w:val="auto"/>
              </w:rPr>
              <w:t>England</w:t>
            </w:r>
          </w:p>
        </w:tc>
      </w:tr>
      <w:tr>
        <w:trPr>
          <w:trHeight w:val="222"/>
        </w:trPr>
        <w:tc>
          <w:tcPr>
            <w:tcW w:w="20" w:type="dxa"/>
            <w:vAlign w:val="bottom"/>
          </w:tcPr>
          <w:p>
            <w:pPr>
              <w:spacing w:after="0"/>
              <w:rPr>
                <w:sz w:val="19"/>
                <w:szCs w:val="19"/>
                <w:color w:val="auto"/>
              </w:rPr>
            </w:pPr>
          </w:p>
        </w:tc>
        <w:tc>
          <w:tcPr>
            <w:tcW w:w="7800" w:type="dxa"/>
            <w:vAlign w:val="bottom"/>
            <w:gridSpan w:val="2"/>
          </w:tcPr>
          <w:p>
            <w:pPr>
              <w:ind w:left="1320"/>
              <w:spacing w:after="0"/>
              <w:rPr>
                <w:sz w:val="20"/>
                <w:szCs w:val="20"/>
                <w:color w:val="auto"/>
              </w:rPr>
            </w:pPr>
            <w:r>
              <w:rPr>
                <w:rFonts w:ascii="Arial" w:cs="Arial" w:eastAsia="Arial" w:hAnsi="Arial"/>
                <w:sz w:val="18"/>
                <w:szCs w:val="18"/>
                <w:color w:val="auto"/>
              </w:rPr>
              <w:t>Waverly House Limited</w:t>
            </w:r>
          </w:p>
        </w:tc>
        <w:tc>
          <w:tcPr>
            <w:tcW w:w="3640" w:type="dxa"/>
            <w:vAlign w:val="bottom"/>
          </w:tcPr>
          <w:p>
            <w:pPr>
              <w:ind w:left="2580"/>
              <w:spacing w:after="0"/>
              <w:rPr>
                <w:sz w:val="20"/>
                <w:szCs w:val="20"/>
                <w:color w:val="auto"/>
              </w:rPr>
            </w:pPr>
            <w:r>
              <w:rPr>
                <w:rFonts w:ascii="Arial" w:cs="Arial" w:eastAsia="Arial" w:hAnsi="Arial"/>
                <w:sz w:val="18"/>
                <w:szCs w:val="18"/>
                <w:color w:val="auto"/>
              </w:rPr>
              <w:t>England</w:t>
            </w:r>
          </w:p>
        </w:tc>
      </w:tr>
      <w:tr>
        <w:trPr>
          <w:trHeight w:val="259"/>
        </w:trPr>
        <w:tc>
          <w:tcPr>
            <w:tcW w:w="20" w:type="dxa"/>
            <w:vAlign w:val="bottom"/>
          </w:tcPr>
          <w:p>
            <w:pPr>
              <w:spacing w:after="0"/>
              <w:rPr>
                <w:sz w:val="22"/>
                <w:szCs w:val="22"/>
                <w:color w:val="auto"/>
              </w:rPr>
            </w:pPr>
          </w:p>
        </w:tc>
        <w:tc>
          <w:tcPr>
            <w:tcW w:w="7800" w:type="dxa"/>
            <w:vAlign w:val="bottom"/>
            <w:gridSpan w:val="2"/>
          </w:tcPr>
          <w:p>
            <w:pPr>
              <w:spacing w:after="0"/>
              <w:rPr>
                <w:sz w:val="22"/>
                <w:szCs w:val="22"/>
                <w:color w:val="auto"/>
              </w:rPr>
            </w:pPr>
          </w:p>
        </w:tc>
        <w:tc>
          <w:tcPr>
            <w:tcW w:w="3640" w:type="dxa"/>
            <w:vAlign w:val="bottom"/>
          </w:tcPr>
          <w:p>
            <w:pPr>
              <w:spacing w:after="0"/>
              <w:rPr>
                <w:sz w:val="22"/>
                <w:szCs w:val="22"/>
                <w:color w:val="auto"/>
              </w:rPr>
            </w:pPr>
          </w:p>
        </w:tc>
      </w:tr>
      <w:tr>
        <w:trPr>
          <w:trHeight w:val="243"/>
        </w:trPr>
        <w:tc>
          <w:tcPr>
            <w:tcW w:w="20" w:type="dxa"/>
            <w:vAlign w:val="bottom"/>
          </w:tcPr>
          <w:p>
            <w:pPr>
              <w:spacing w:after="0"/>
              <w:rPr>
                <w:sz w:val="21"/>
                <w:szCs w:val="21"/>
                <w:color w:val="auto"/>
              </w:rPr>
            </w:pPr>
          </w:p>
        </w:tc>
        <w:tc>
          <w:tcPr>
            <w:tcW w:w="3300" w:type="dxa"/>
            <w:vAlign w:val="bottom"/>
            <w:tcBorders>
              <w:top w:val="single" w:sz="8" w:color="auto"/>
            </w:tcBorders>
          </w:tcPr>
          <w:p>
            <w:pPr>
              <w:spacing w:after="0" w:line="243" w:lineRule="exact"/>
              <w:rPr>
                <w:sz w:val="20"/>
                <w:szCs w:val="20"/>
                <w:color w:val="auto"/>
              </w:rPr>
            </w:pPr>
            <w:r>
              <w:rPr>
                <w:rFonts w:ascii="Arial" w:cs="Arial" w:eastAsia="Arial" w:hAnsi="Arial"/>
                <w:sz w:val="28"/>
                <w:szCs w:val="28"/>
                <w:color w:val="auto"/>
                <w:w w:val="93"/>
                <w:vertAlign w:val="superscript"/>
              </w:rPr>
              <w:t>5</w:t>
            </w:r>
            <w:r>
              <w:rPr>
                <w:rFonts w:ascii="Arial" w:cs="Arial" w:eastAsia="Arial" w:hAnsi="Arial"/>
                <w:sz w:val="17"/>
                <w:szCs w:val="17"/>
                <w:color w:val="auto"/>
                <w:w w:val="93"/>
              </w:rPr>
              <w:t xml:space="preserve"> 1% owned by Scholastic Book Services, Inc.</w:t>
            </w:r>
          </w:p>
        </w:tc>
        <w:tc>
          <w:tcPr>
            <w:tcW w:w="4500" w:type="dxa"/>
            <w:vAlign w:val="bottom"/>
          </w:tcPr>
          <w:p>
            <w:pPr>
              <w:spacing w:after="0"/>
              <w:rPr>
                <w:sz w:val="21"/>
                <w:szCs w:val="21"/>
                <w:color w:val="auto"/>
              </w:rPr>
            </w:pPr>
          </w:p>
        </w:tc>
        <w:tc>
          <w:tcPr>
            <w:tcW w:w="3640" w:type="dxa"/>
            <w:vAlign w:val="bottom"/>
          </w:tcPr>
          <w:p>
            <w:pPr>
              <w:spacing w:after="0"/>
              <w:rPr>
                <w:sz w:val="21"/>
                <w:szCs w:val="21"/>
                <w:color w:val="auto"/>
              </w:rPr>
            </w:pPr>
          </w:p>
        </w:tc>
      </w:tr>
      <w:tr>
        <w:trPr>
          <w:trHeight w:val="257"/>
        </w:trPr>
        <w:tc>
          <w:tcPr>
            <w:tcW w:w="7820" w:type="dxa"/>
            <w:vAlign w:val="bottom"/>
            <w:gridSpan w:val="3"/>
          </w:tcPr>
          <w:p>
            <w:pPr>
              <w:spacing w:after="0" w:line="256" w:lineRule="exact"/>
              <w:rPr>
                <w:sz w:val="20"/>
                <w:szCs w:val="20"/>
                <w:color w:val="auto"/>
              </w:rPr>
            </w:pPr>
            <w:r>
              <w:rPr>
                <w:rFonts w:ascii="Arial" w:cs="Arial" w:eastAsia="Arial" w:hAnsi="Arial"/>
                <w:sz w:val="29"/>
                <w:szCs w:val="29"/>
                <w:color w:val="auto"/>
                <w:vertAlign w:val="superscript"/>
              </w:rPr>
              <w:t>6</w:t>
            </w:r>
            <w:r>
              <w:rPr>
                <w:rFonts w:ascii="Arial" w:cs="Arial" w:eastAsia="Arial" w:hAnsi="Arial"/>
                <w:sz w:val="18"/>
                <w:szCs w:val="18"/>
                <w:color w:val="auto"/>
              </w:rPr>
              <w:t xml:space="preserve"> 60% owned</w:t>
            </w:r>
          </w:p>
        </w:tc>
        <w:tc>
          <w:tcPr>
            <w:tcW w:w="3640" w:type="dxa"/>
            <w:vAlign w:val="bottom"/>
          </w:tcPr>
          <w:p>
            <w:pPr>
              <w:spacing w:after="0"/>
              <w:rPr>
                <w:sz w:val="22"/>
                <w:szCs w:val="22"/>
                <w:color w:val="auto"/>
              </w:rPr>
            </w:pPr>
          </w:p>
        </w:tc>
      </w:tr>
      <w:tr>
        <w:trPr>
          <w:trHeight w:val="257"/>
        </w:trPr>
        <w:tc>
          <w:tcPr>
            <w:tcW w:w="7820" w:type="dxa"/>
            <w:vAlign w:val="bottom"/>
            <w:gridSpan w:val="3"/>
          </w:tcPr>
          <w:p>
            <w:pPr>
              <w:spacing w:after="0" w:line="256" w:lineRule="exact"/>
              <w:rPr>
                <w:sz w:val="20"/>
                <w:szCs w:val="20"/>
                <w:color w:val="auto"/>
              </w:rPr>
            </w:pPr>
            <w:r>
              <w:rPr>
                <w:rFonts w:ascii="Arial" w:cs="Arial" w:eastAsia="Arial" w:hAnsi="Arial"/>
                <w:sz w:val="29"/>
                <w:szCs w:val="29"/>
                <w:color w:val="auto"/>
                <w:vertAlign w:val="superscript"/>
              </w:rPr>
              <w:t>7</w:t>
            </w:r>
            <w:r>
              <w:rPr>
                <w:rFonts w:ascii="Arial" w:cs="Arial" w:eastAsia="Arial" w:hAnsi="Arial"/>
                <w:sz w:val="18"/>
                <w:szCs w:val="18"/>
                <w:color w:val="auto"/>
              </w:rPr>
              <w:t xml:space="preserve"> 62% owned</w:t>
            </w:r>
          </w:p>
        </w:tc>
        <w:tc>
          <w:tcPr>
            <w:tcW w:w="3640" w:type="dxa"/>
            <w:vAlign w:val="bottom"/>
          </w:tcPr>
          <w:p>
            <w:pPr>
              <w:spacing w:after="0"/>
              <w:rPr>
                <w:sz w:val="22"/>
                <w:szCs w:val="22"/>
                <w:color w:val="auto"/>
              </w:rPr>
            </w:pPr>
          </w:p>
        </w:tc>
      </w:tr>
      <w:tr>
        <w:trPr>
          <w:trHeight w:val="382"/>
        </w:trPr>
        <w:tc>
          <w:tcPr>
            <w:tcW w:w="7820" w:type="dxa"/>
            <w:vAlign w:val="bottom"/>
            <w:gridSpan w:val="3"/>
          </w:tcPr>
          <w:p>
            <w:pPr>
              <w:spacing w:after="0"/>
              <w:rPr>
                <w:sz w:val="20"/>
                <w:szCs w:val="20"/>
                <w:color w:val="auto"/>
              </w:rPr>
            </w:pPr>
            <w:r>
              <w:rPr>
                <w:rFonts w:ascii="Arial" w:cs="Arial" w:eastAsia="Arial" w:hAnsi="Arial"/>
                <w:sz w:val="29"/>
                <w:szCs w:val="29"/>
                <w:color w:val="auto"/>
                <w:vertAlign w:val="superscript"/>
              </w:rPr>
              <w:t>8</w:t>
            </w:r>
            <w:r>
              <w:rPr>
                <w:rFonts w:ascii="Arial" w:cs="Arial" w:eastAsia="Arial" w:hAnsi="Arial"/>
                <w:sz w:val="18"/>
                <w:szCs w:val="18"/>
                <w:color w:val="auto"/>
              </w:rPr>
              <w:t xml:space="preserve"> 1% owned by Scholastic Export Inc.</w:t>
            </w:r>
          </w:p>
        </w:tc>
        <w:tc>
          <w:tcPr>
            <w:tcW w:w="3640" w:type="dxa"/>
            <w:vAlign w:val="bottom"/>
          </w:tcPr>
          <w:p>
            <w:pPr>
              <w:spacing w:after="0"/>
              <w:rPr>
                <w:sz w:val="24"/>
                <w:szCs w:val="24"/>
                <w:color w:val="auto"/>
              </w:rPr>
            </w:pPr>
          </w:p>
        </w:tc>
      </w:tr>
      <w:tr>
        <w:trPr>
          <w:trHeight w:val="230"/>
        </w:trPr>
        <w:tc>
          <w:tcPr>
            <w:tcW w:w="20" w:type="dxa"/>
            <w:vAlign w:val="bottom"/>
          </w:tcPr>
          <w:p>
            <w:pPr>
              <w:spacing w:after="0"/>
              <w:rPr>
                <w:sz w:val="19"/>
                <w:szCs w:val="19"/>
                <w:color w:val="auto"/>
              </w:rPr>
            </w:pPr>
          </w:p>
        </w:tc>
        <w:tc>
          <w:tcPr>
            <w:tcW w:w="3300" w:type="dxa"/>
            <w:vAlign w:val="bottom"/>
          </w:tcPr>
          <w:p>
            <w:pPr>
              <w:spacing w:after="0"/>
              <w:rPr>
                <w:sz w:val="19"/>
                <w:szCs w:val="19"/>
                <w:color w:val="auto"/>
              </w:rPr>
            </w:pPr>
          </w:p>
        </w:tc>
        <w:tc>
          <w:tcPr>
            <w:tcW w:w="4500" w:type="dxa"/>
            <w:vAlign w:val="bottom"/>
          </w:tcPr>
          <w:p>
            <w:pPr>
              <w:spacing w:after="0"/>
              <w:rPr>
                <w:sz w:val="19"/>
                <w:szCs w:val="19"/>
                <w:color w:val="auto"/>
              </w:rPr>
            </w:pPr>
          </w:p>
        </w:tc>
        <w:tc>
          <w:tcPr>
            <w:tcW w:w="3640" w:type="dxa"/>
            <w:vAlign w:val="bottom"/>
          </w:tcPr>
          <w:p>
            <w:pPr>
              <w:spacing w:after="0"/>
              <w:rPr>
                <w:sz w:val="19"/>
                <w:szCs w:val="19"/>
                <w:color w:val="auto"/>
              </w:rPr>
            </w:pPr>
          </w:p>
        </w:tc>
      </w:tr>
      <w:tr>
        <w:trPr>
          <w:trHeight w:val="61"/>
        </w:trPr>
        <w:tc>
          <w:tcPr>
            <w:tcW w:w="20" w:type="dxa"/>
            <w:vAlign w:val="bottom"/>
            <w:shd w:val="clear" w:color="auto" w:fill="808080"/>
          </w:tcPr>
          <w:p>
            <w:pPr>
              <w:spacing w:after="0"/>
              <w:rPr>
                <w:sz w:val="5"/>
                <w:szCs w:val="5"/>
                <w:color w:val="auto"/>
              </w:rPr>
            </w:pPr>
          </w:p>
        </w:tc>
        <w:tc>
          <w:tcPr>
            <w:tcW w:w="3300" w:type="dxa"/>
            <w:vAlign w:val="bottom"/>
            <w:shd w:val="clear" w:color="auto" w:fill="808080"/>
          </w:tcPr>
          <w:p>
            <w:pPr>
              <w:spacing w:after="0"/>
              <w:rPr>
                <w:sz w:val="5"/>
                <w:szCs w:val="5"/>
                <w:color w:val="auto"/>
              </w:rPr>
            </w:pPr>
          </w:p>
        </w:tc>
        <w:tc>
          <w:tcPr>
            <w:tcW w:w="4500" w:type="dxa"/>
            <w:vAlign w:val="bottom"/>
            <w:shd w:val="clear" w:color="auto" w:fill="808080"/>
          </w:tcPr>
          <w:p>
            <w:pPr>
              <w:spacing w:after="0"/>
              <w:rPr>
                <w:sz w:val="5"/>
                <w:szCs w:val="5"/>
                <w:color w:val="auto"/>
              </w:rPr>
            </w:pPr>
          </w:p>
        </w:tc>
        <w:tc>
          <w:tcPr>
            <w:tcW w:w="364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388" w:right="199" w:bottom="1440" w:gutter="0" w:footer="0" w:header="0"/>
        </w:sectPr>
      </w:pPr>
    </w:p>
    <w:bookmarkStart w:id="94" w:name="page95"/>
    <w:bookmarkEnd w:id="94"/>
    <w:p>
      <w:pPr>
        <w:jc w:val="right"/>
        <w:spacing w:after="0"/>
        <w:rPr>
          <w:sz w:val="20"/>
          <w:szCs w:val="20"/>
          <w:color w:val="auto"/>
        </w:rPr>
      </w:pPr>
      <w:r>
        <w:rPr>
          <w:rFonts w:ascii="Arial" w:cs="Arial" w:eastAsia="Arial" w:hAnsi="Arial"/>
          <w:sz w:val="18"/>
          <w:szCs w:val="18"/>
          <w:b w:val="1"/>
          <w:bCs w:val="1"/>
          <w:color w:val="auto"/>
        </w:rPr>
        <w:t>Exhibit 23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3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consent to the incorporation by reference in the Registration Statement Form S-8 (File Nos. 333-62297 and 333-110302) pertaining to the Scholastic Corporation 1997 Outside Directors’ Stock Option Plan; Registration Statement Form S-8 (File No. 333-65757) pertaining to the Scholastic Corporation 1995 Stock Option Plan; Registration Statement Form S-8 (File Nos. 333-68181, 333-110301, and 333-159589) pertaining to the Scholastic Corporation Employee Stock Purchase Plan; Registration Statement Form S-8 (File Nos. 33-48655, 33-69058 and 33-91090) pertaining to the Scholastic Corporation 401(k) Savings and Retirement Plan; Registration Statement Form S-8 (File No. 333-68185) pertaining to the Scholastic Corporation Management Stock Purchase Plan; Registration Statement Form S-8 (File Nos. 333-77010 and 333-148599) pertaining to the Scholastic Corporation 2001 Stock Incentive Plan; and Registration Statement Form S-8 (File No. 333-148600) pertaining to the Scholastic Corporation 2007 Outside Directors’ Stock Incentive Plan of our reports dated July 26, 2010, with respect to the consolidated financial statements and schedule of Scholastic Corporation, and the effectiveness of internal control over financial reporting of Scholastic Corporation, included in this Annual Report (Form 10-K) for the year ended May 31, 2010.</w:t>
      </w:r>
    </w:p>
    <w:p>
      <w:pPr>
        <w:spacing w:after="0" w:line="187" w:lineRule="exact"/>
        <w:rPr>
          <w:sz w:val="20"/>
          <w:szCs w:val="20"/>
          <w:color w:val="auto"/>
        </w:rPr>
      </w:pPr>
    </w:p>
    <w:p>
      <w:pPr>
        <w:ind w:left="6840"/>
        <w:spacing w:after="0"/>
        <w:rPr>
          <w:sz w:val="20"/>
          <w:szCs w:val="20"/>
          <w:color w:val="auto"/>
        </w:rPr>
      </w:pPr>
      <w:r>
        <w:rPr>
          <w:rFonts w:ascii="Arial" w:cs="Arial" w:eastAsia="Arial" w:hAnsi="Arial"/>
          <w:sz w:val="18"/>
          <w:szCs w:val="18"/>
          <w:color w:val="auto"/>
        </w:rPr>
        <w:t>/s/ Ernst &amp; Young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4335780</wp:posOffset>
            </wp:positionH>
            <wp:positionV relativeFrom="paragraph">
              <wp:posOffset>165735</wp:posOffset>
            </wp:positionV>
            <wp:extent cx="1037590" cy="8890"/>
            <wp:wrapNone/>
            <wp:docPr id="896" name="Picture 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6"/>
                    <pic:cNvPicPr>
                      <a:picLocks noChangeAspect="1" noChangeArrowheads="1"/>
                    </pic:cNvPicPr>
                  </pic:nvPicPr>
                  <pic:blipFill>
                    <a:blip r:embed="rId903">
                      <a:extLst>
                        <a:ext uri="{28A0092B-C50C-407E-A947-70E740481C1C}"/>
                      </a:extLst>
                    </a:blip>
                    <a:srcRect/>
                    <a:stretch>
                      <a:fillRect/>
                    </a:stretch>
                  </pic:blipFill>
                  <pic:spPr bwMode="auto">
                    <a:xfrm>
                      <a:off x="0" y="0"/>
                      <a:ext cx="1037590" cy="8890"/>
                    </a:xfrm>
                    <a:prstGeom prst="rect">
                      <a:avLst/>
                    </a:prstGeom>
                    <a:noFill/>
                  </pic:spPr>
                </pic:pic>
              </a:graphicData>
            </a:graphic>
          </wp:anchor>
        </w:drawing>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July 26,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38735"/>
            <wp:wrapNone/>
            <wp:docPr id="897" name="Picture 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7"/>
                    <pic:cNvPicPr>
                      <a:picLocks noChangeAspect="1" noChangeArrowheads="1"/>
                    </pic:cNvPicPr>
                  </pic:nvPicPr>
                  <pic:blipFill>
                    <a:blip r:embed="rId90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95" w:name="page96"/>
    <w:bookmarkEnd w:id="95"/>
    <w:p>
      <w:pPr>
        <w:jc w:val="right"/>
        <w:spacing w:after="0"/>
        <w:rPr>
          <w:sz w:val="20"/>
          <w:szCs w:val="20"/>
          <w:color w:val="auto"/>
        </w:rPr>
      </w:pPr>
      <w:r>
        <w:rPr>
          <w:rFonts w:ascii="Arial" w:cs="Arial" w:eastAsia="Arial" w:hAnsi="Arial"/>
          <w:sz w:val="18"/>
          <w:szCs w:val="18"/>
          <w:u w:val="single" w:color="auto"/>
          <w:color w:val="auto"/>
        </w:rPr>
        <w:t>Exhibit 31.1</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I, Richard Robinson, the principal executive officer of Scholastic Corporation, certify that:</w:t>
      </w:r>
    </w:p>
    <w:p>
      <w:pPr>
        <w:spacing w:after="0" w:line="158" w:lineRule="exact"/>
        <w:rPr>
          <w:sz w:val="20"/>
          <w:szCs w:val="20"/>
          <w:color w:val="auto"/>
        </w:rPr>
      </w:pPr>
    </w:p>
    <w:p>
      <w:pPr>
        <w:ind w:left="920" w:hanging="453"/>
        <w:spacing w:after="0"/>
        <w:tabs>
          <w:tab w:leader="none" w:pos="9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Scholastic Corporation;</w:t>
      </w:r>
    </w:p>
    <w:p>
      <w:pPr>
        <w:spacing w:after="0" w:line="225" w:lineRule="exact"/>
        <w:rPr>
          <w:rFonts w:ascii="Arial" w:cs="Arial" w:eastAsia="Arial" w:hAnsi="Arial"/>
          <w:sz w:val="18"/>
          <w:szCs w:val="18"/>
          <w:color w:val="auto"/>
        </w:rPr>
      </w:pPr>
    </w:p>
    <w:p>
      <w:pPr>
        <w:jc w:val="both"/>
        <w:ind w:left="920" w:right="280" w:hanging="453"/>
        <w:spacing w:after="0" w:line="259" w:lineRule="auto"/>
        <w:tabs>
          <w:tab w:leader="none" w:pos="9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4" w:lineRule="exact"/>
        <w:rPr>
          <w:rFonts w:ascii="Arial" w:cs="Arial" w:eastAsia="Arial" w:hAnsi="Arial"/>
          <w:sz w:val="18"/>
          <w:szCs w:val="18"/>
          <w:color w:val="auto"/>
        </w:rPr>
      </w:pPr>
    </w:p>
    <w:p>
      <w:pPr>
        <w:ind w:left="920" w:right="240" w:hanging="453"/>
        <w:spacing w:after="0" w:line="332" w:lineRule="auto"/>
        <w:tabs>
          <w:tab w:leader="none" w:pos="9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9" w:lineRule="exact"/>
        <w:rPr>
          <w:rFonts w:ascii="Arial" w:cs="Arial" w:eastAsia="Arial" w:hAnsi="Arial"/>
          <w:sz w:val="16"/>
          <w:szCs w:val="16"/>
          <w:color w:val="auto"/>
        </w:rPr>
      </w:pPr>
    </w:p>
    <w:p>
      <w:pPr>
        <w:ind w:left="920" w:right="280" w:hanging="453"/>
        <w:spacing w:after="0" w:line="259" w:lineRule="auto"/>
        <w:tabs>
          <w:tab w:leader="none" w:pos="9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4" w:lineRule="exact"/>
        <w:rPr>
          <w:rFonts w:ascii="Arial" w:cs="Arial" w:eastAsia="Arial" w:hAnsi="Arial"/>
          <w:sz w:val="18"/>
          <w:szCs w:val="18"/>
          <w:color w:val="auto"/>
        </w:rPr>
      </w:pPr>
    </w:p>
    <w:p>
      <w:pPr>
        <w:ind w:left="1840" w:right="220" w:hanging="454"/>
        <w:spacing w:after="0" w:line="306" w:lineRule="auto"/>
        <w:tabs>
          <w:tab w:leader="none" w:pos="1840" w:val="left"/>
        </w:tabs>
        <w:numPr>
          <w:ilvl w:val="1"/>
          <w:numId w:val="21"/>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0" w:lineRule="exact"/>
        <w:rPr>
          <w:rFonts w:ascii="Arial" w:cs="Arial" w:eastAsia="Arial" w:hAnsi="Arial"/>
          <w:sz w:val="16"/>
          <w:szCs w:val="16"/>
          <w:color w:val="auto"/>
        </w:rPr>
      </w:pPr>
    </w:p>
    <w:p>
      <w:pPr>
        <w:ind w:left="1840" w:hanging="454"/>
        <w:spacing w:after="0" w:line="259" w:lineRule="auto"/>
        <w:tabs>
          <w:tab w:leader="none" w:pos="184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4" w:lineRule="exact"/>
        <w:rPr>
          <w:rFonts w:ascii="Arial" w:cs="Arial" w:eastAsia="Arial" w:hAnsi="Arial"/>
          <w:sz w:val="18"/>
          <w:szCs w:val="18"/>
          <w:color w:val="auto"/>
        </w:rPr>
      </w:pPr>
    </w:p>
    <w:p>
      <w:pPr>
        <w:jc w:val="both"/>
        <w:ind w:left="1840" w:right="80" w:hanging="454"/>
        <w:spacing w:after="0" w:line="370" w:lineRule="auto"/>
        <w:tabs>
          <w:tab w:leader="none" w:pos="1840" w:val="left"/>
        </w:tabs>
        <w:numPr>
          <w:ilvl w:val="1"/>
          <w:numId w:val="21"/>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5"/>
          <w:szCs w:val="15"/>
          <w:color w:val="auto"/>
        </w:rPr>
      </w:pPr>
    </w:p>
    <w:p>
      <w:pPr>
        <w:ind w:left="1840" w:right="80" w:hanging="454"/>
        <w:spacing w:after="0" w:line="306" w:lineRule="auto"/>
        <w:tabs>
          <w:tab w:leader="none" w:pos="1840" w:val="left"/>
        </w:tabs>
        <w:numPr>
          <w:ilvl w:val="1"/>
          <w:numId w:val="21"/>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0" w:lineRule="exact"/>
        <w:rPr>
          <w:rFonts w:ascii="Arial" w:cs="Arial" w:eastAsia="Arial" w:hAnsi="Arial"/>
          <w:sz w:val="16"/>
          <w:szCs w:val="16"/>
          <w:color w:val="auto"/>
        </w:rPr>
      </w:pPr>
    </w:p>
    <w:p>
      <w:pPr>
        <w:ind w:left="920" w:right="180" w:hanging="453"/>
        <w:spacing w:after="0" w:line="332" w:lineRule="auto"/>
        <w:tabs>
          <w:tab w:leader="none" w:pos="9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39" w:lineRule="exact"/>
        <w:rPr>
          <w:rFonts w:ascii="Arial" w:cs="Arial" w:eastAsia="Arial" w:hAnsi="Arial"/>
          <w:sz w:val="16"/>
          <w:szCs w:val="16"/>
          <w:color w:val="auto"/>
        </w:rPr>
      </w:pPr>
    </w:p>
    <w:p>
      <w:pPr>
        <w:ind w:left="1840" w:right="320" w:hanging="454"/>
        <w:spacing w:after="0" w:line="332" w:lineRule="auto"/>
        <w:tabs>
          <w:tab w:leader="none" w:pos="1840" w:val="left"/>
        </w:tabs>
        <w:numPr>
          <w:ilvl w:val="1"/>
          <w:numId w:val="2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9" w:lineRule="exact"/>
        <w:rPr>
          <w:rFonts w:ascii="Arial" w:cs="Arial" w:eastAsia="Arial" w:hAnsi="Arial"/>
          <w:sz w:val="16"/>
          <w:szCs w:val="16"/>
          <w:color w:val="auto"/>
        </w:rPr>
      </w:pPr>
    </w:p>
    <w:p>
      <w:pPr>
        <w:ind w:left="1840" w:right="20" w:hanging="454"/>
        <w:spacing w:after="0" w:line="268" w:lineRule="auto"/>
        <w:tabs>
          <w:tab w:leader="none" w:pos="184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Date: July 26, 2010</w:t>
      </w:r>
    </w:p>
    <w:p>
      <w:pPr>
        <w:spacing w:after="0" w:line="158" w:lineRule="exact"/>
        <w:rPr>
          <w:sz w:val="20"/>
          <w:szCs w:val="20"/>
          <w:color w:val="auto"/>
        </w:rPr>
      </w:pPr>
    </w:p>
    <w:p>
      <w:pPr>
        <w:ind w:left="5720"/>
        <w:spacing w:after="0"/>
        <w:rPr>
          <w:sz w:val="20"/>
          <w:szCs w:val="20"/>
          <w:color w:val="auto"/>
        </w:rPr>
      </w:pPr>
      <w:r>
        <w:rPr>
          <w:rFonts w:ascii="Arial" w:cs="Arial" w:eastAsia="Arial" w:hAnsi="Arial"/>
          <w:sz w:val="18"/>
          <w:szCs w:val="18"/>
          <w:u w:val="single" w:color="auto"/>
          <w:color w:val="auto"/>
        </w:rPr>
        <w:t>/s/Richard Robinson</w:t>
      </w:r>
    </w:p>
    <w:p>
      <w:pPr>
        <w:spacing w:after="0" w:line="1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Richard Robinson</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Chairman of the Board,</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227965</wp:posOffset>
            </wp:positionV>
            <wp:extent cx="7267575" cy="38735"/>
            <wp:wrapNone/>
            <wp:docPr id="898" name="Picture 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8"/>
                    <pic:cNvPicPr>
                      <a:picLocks noChangeAspect="1" noChangeArrowheads="1"/>
                    </pic:cNvPicPr>
                  </pic:nvPicPr>
                  <pic:blipFill>
                    <a:blip r:embed="rId90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388" w:right="239" w:bottom="1440" w:gutter="0" w:footer="0" w:header="0"/>
        </w:sectPr>
      </w:pPr>
    </w:p>
    <w:bookmarkStart w:id="96" w:name="page97"/>
    <w:bookmarkEnd w:id="96"/>
    <w:p>
      <w:pPr>
        <w:jc w:val="right"/>
        <w:spacing w:after="0"/>
        <w:rPr>
          <w:sz w:val="20"/>
          <w:szCs w:val="20"/>
          <w:color w:val="auto"/>
        </w:rPr>
      </w:pPr>
      <w:r>
        <w:rPr>
          <w:rFonts w:ascii="Arial" w:cs="Arial" w:eastAsia="Arial" w:hAnsi="Arial"/>
          <w:sz w:val="18"/>
          <w:szCs w:val="18"/>
          <w:u w:val="single" w:color="auto"/>
          <w:color w:val="auto"/>
        </w:rPr>
        <w:t>Exhibit 31.2</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I, Maureen O’Connell, the principal financial officer of Scholastic Corporation, certify that:</w:t>
      </w:r>
    </w:p>
    <w:p>
      <w:pPr>
        <w:spacing w:after="0" w:line="158" w:lineRule="exact"/>
        <w:rPr>
          <w:sz w:val="20"/>
          <w:szCs w:val="20"/>
          <w:color w:val="auto"/>
        </w:rPr>
      </w:pPr>
    </w:p>
    <w:p>
      <w:pPr>
        <w:ind w:left="920" w:hanging="453"/>
        <w:spacing w:after="0"/>
        <w:tabs>
          <w:tab w:leader="none" w:pos="9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Scholastic Corporation;</w:t>
      </w:r>
    </w:p>
    <w:p>
      <w:pPr>
        <w:spacing w:after="0" w:line="225" w:lineRule="exact"/>
        <w:rPr>
          <w:rFonts w:ascii="Arial" w:cs="Arial" w:eastAsia="Arial" w:hAnsi="Arial"/>
          <w:sz w:val="18"/>
          <w:szCs w:val="18"/>
          <w:color w:val="auto"/>
        </w:rPr>
      </w:pPr>
    </w:p>
    <w:p>
      <w:pPr>
        <w:jc w:val="both"/>
        <w:ind w:left="920" w:right="280" w:hanging="453"/>
        <w:spacing w:after="0" w:line="259" w:lineRule="auto"/>
        <w:tabs>
          <w:tab w:leader="none" w:pos="9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4" w:lineRule="exact"/>
        <w:rPr>
          <w:rFonts w:ascii="Arial" w:cs="Arial" w:eastAsia="Arial" w:hAnsi="Arial"/>
          <w:sz w:val="18"/>
          <w:szCs w:val="18"/>
          <w:color w:val="auto"/>
        </w:rPr>
      </w:pPr>
    </w:p>
    <w:p>
      <w:pPr>
        <w:ind w:left="920" w:right="240" w:hanging="453"/>
        <w:spacing w:after="0" w:line="332" w:lineRule="auto"/>
        <w:tabs>
          <w:tab w:leader="none" w:pos="9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9" w:lineRule="exact"/>
        <w:rPr>
          <w:rFonts w:ascii="Arial" w:cs="Arial" w:eastAsia="Arial" w:hAnsi="Arial"/>
          <w:sz w:val="16"/>
          <w:szCs w:val="16"/>
          <w:color w:val="auto"/>
        </w:rPr>
      </w:pPr>
    </w:p>
    <w:p>
      <w:pPr>
        <w:ind w:left="920" w:right="280" w:hanging="453"/>
        <w:spacing w:after="0" w:line="259" w:lineRule="auto"/>
        <w:tabs>
          <w:tab w:leader="none" w:pos="9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4" w:lineRule="exact"/>
        <w:rPr>
          <w:rFonts w:ascii="Arial" w:cs="Arial" w:eastAsia="Arial" w:hAnsi="Arial"/>
          <w:sz w:val="18"/>
          <w:szCs w:val="18"/>
          <w:color w:val="auto"/>
        </w:rPr>
      </w:pPr>
    </w:p>
    <w:p>
      <w:pPr>
        <w:ind w:left="1840" w:right="220" w:hanging="454"/>
        <w:spacing w:after="0" w:line="306" w:lineRule="auto"/>
        <w:tabs>
          <w:tab w:leader="none" w:pos="1840" w:val="left"/>
        </w:tabs>
        <w:numPr>
          <w:ilvl w:val="1"/>
          <w:numId w:val="22"/>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3" w:lineRule="exact"/>
        <w:rPr>
          <w:rFonts w:ascii="Arial" w:cs="Arial" w:eastAsia="Arial" w:hAnsi="Arial"/>
          <w:sz w:val="16"/>
          <w:szCs w:val="16"/>
          <w:color w:val="auto"/>
        </w:rPr>
      </w:pPr>
    </w:p>
    <w:p>
      <w:pPr>
        <w:ind w:left="1840" w:hanging="454"/>
        <w:spacing w:after="0" w:line="259" w:lineRule="auto"/>
        <w:tabs>
          <w:tab w:leader="none" w:pos="184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6" w:lineRule="exact"/>
        <w:rPr>
          <w:rFonts w:ascii="Arial" w:cs="Arial" w:eastAsia="Arial" w:hAnsi="Arial"/>
          <w:sz w:val="18"/>
          <w:szCs w:val="18"/>
          <w:color w:val="auto"/>
        </w:rPr>
      </w:pPr>
    </w:p>
    <w:p>
      <w:pPr>
        <w:jc w:val="both"/>
        <w:ind w:left="1840" w:right="80" w:hanging="454"/>
        <w:spacing w:after="0" w:line="370" w:lineRule="auto"/>
        <w:tabs>
          <w:tab w:leader="none" w:pos="1840" w:val="left"/>
        </w:tabs>
        <w:numPr>
          <w:ilvl w:val="1"/>
          <w:numId w:val="22"/>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8" w:lineRule="exact"/>
        <w:rPr>
          <w:rFonts w:ascii="Arial" w:cs="Arial" w:eastAsia="Arial" w:hAnsi="Arial"/>
          <w:sz w:val="15"/>
          <w:szCs w:val="15"/>
          <w:color w:val="auto"/>
        </w:rPr>
      </w:pPr>
    </w:p>
    <w:p>
      <w:pPr>
        <w:ind w:left="1840" w:right="80" w:hanging="454"/>
        <w:spacing w:after="0" w:line="306" w:lineRule="auto"/>
        <w:tabs>
          <w:tab w:leader="none" w:pos="1840" w:val="left"/>
        </w:tabs>
        <w:numPr>
          <w:ilvl w:val="1"/>
          <w:numId w:val="22"/>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0" w:lineRule="exact"/>
        <w:rPr>
          <w:rFonts w:ascii="Arial" w:cs="Arial" w:eastAsia="Arial" w:hAnsi="Arial"/>
          <w:sz w:val="16"/>
          <w:szCs w:val="16"/>
          <w:color w:val="auto"/>
        </w:rPr>
      </w:pPr>
    </w:p>
    <w:p>
      <w:pPr>
        <w:ind w:left="920" w:right="180" w:hanging="453"/>
        <w:spacing w:after="0" w:line="332" w:lineRule="auto"/>
        <w:tabs>
          <w:tab w:leader="none" w:pos="9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39" w:lineRule="exact"/>
        <w:rPr>
          <w:rFonts w:ascii="Arial" w:cs="Arial" w:eastAsia="Arial" w:hAnsi="Arial"/>
          <w:sz w:val="16"/>
          <w:szCs w:val="16"/>
          <w:color w:val="auto"/>
        </w:rPr>
      </w:pPr>
    </w:p>
    <w:p>
      <w:pPr>
        <w:ind w:left="1840" w:right="320" w:hanging="454"/>
        <w:spacing w:after="0" w:line="332" w:lineRule="auto"/>
        <w:tabs>
          <w:tab w:leader="none" w:pos="1840" w:val="left"/>
        </w:tabs>
        <w:numPr>
          <w:ilvl w:val="1"/>
          <w:numId w:val="2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1" w:lineRule="exact"/>
        <w:rPr>
          <w:rFonts w:ascii="Arial" w:cs="Arial" w:eastAsia="Arial" w:hAnsi="Arial"/>
          <w:sz w:val="16"/>
          <w:szCs w:val="16"/>
          <w:color w:val="auto"/>
        </w:rPr>
      </w:pPr>
    </w:p>
    <w:p>
      <w:pPr>
        <w:ind w:left="1840" w:right="20" w:hanging="454"/>
        <w:spacing w:after="0" w:line="268" w:lineRule="auto"/>
        <w:tabs>
          <w:tab w:leader="none" w:pos="184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Date: July 26, 2010</w:t>
      </w:r>
    </w:p>
    <w:p>
      <w:pPr>
        <w:spacing w:after="0" w:line="158" w:lineRule="exact"/>
        <w:rPr>
          <w:sz w:val="20"/>
          <w:szCs w:val="20"/>
          <w:color w:val="auto"/>
        </w:rPr>
      </w:pPr>
    </w:p>
    <w:p>
      <w:pPr>
        <w:ind w:left="5720"/>
        <w:spacing w:after="0"/>
        <w:rPr>
          <w:sz w:val="20"/>
          <w:szCs w:val="20"/>
          <w:color w:val="auto"/>
        </w:rPr>
      </w:pPr>
      <w:r>
        <w:rPr>
          <w:rFonts w:ascii="Arial" w:cs="Arial" w:eastAsia="Arial" w:hAnsi="Arial"/>
          <w:sz w:val="18"/>
          <w:szCs w:val="18"/>
          <w:u w:val="single" w:color="auto"/>
          <w:color w:val="auto"/>
        </w:rPr>
        <w:t>/s/ Maureen O’Connell</w:t>
      </w:r>
    </w:p>
    <w:p>
      <w:pPr>
        <w:spacing w:after="0" w:line="1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Maureen O’Connell</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Executive Vice President,</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Administrative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227965</wp:posOffset>
            </wp:positionV>
            <wp:extent cx="7267575" cy="38735"/>
            <wp:wrapNone/>
            <wp:docPr id="899" name="Picture 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9"/>
                    <pic:cNvPicPr>
                      <a:picLocks noChangeAspect="1" noChangeArrowheads="1"/>
                    </pic:cNvPicPr>
                  </pic:nvPicPr>
                  <pic:blipFill>
                    <a:blip r:embed="rId90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388" w:right="239" w:bottom="1440" w:gutter="0" w:footer="0" w:header="0"/>
        </w:sectPr>
      </w:pPr>
    </w:p>
    <w:bookmarkStart w:id="97" w:name="page98"/>
    <w:bookmarkEnd w:id="97"/>
    <w:p>
      <w:pPr>
        <w:jc w:val="right"/>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with Respect to the Annual Report on Form 10-K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 ended May 31, 2010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Scholastic Corporation</w:t>
      </w:r>
    </w:p>
    <w:p>
      <w:pPr>
        <w:spacing w:after="0" w:line="219" w:lineRule="exact"/>
        <w:rPr>
          <w:sz w:val="20"/>
          <w:szCs w:val="20"/>
          <w:color w:val="auto"/>
        </w:rPr>
      </w:pPr>
    </w:p>
    <w:p>
      <w:pPr>
        <w:ind w:right="160" w:firstLine="351"/>
        <w:spacing w:after="0" w:line="332" w:lineRule="auto"/>
        <w:rPr>
          <w:sz w:val="20"/>
          <w:szCs w:val="20"/>
          <w:color w:val="auto"/>
        </w:rPr>
      </w:pPr>
      <w:r>
        <w:rPr>
          <w:rFonts w:ascii="Arial" w:cs="Arial" w:eastAsia="Arial" w:hAnsi="Arial"/>
          <w:sz w:val="16"/>
          <w:szCs w:val="16"/>
          <w:color w:val="auto"/>
        </w:rPr>
        <w:t>Pursuant to Section 906 of the Sarbanes-Oxley Act of 2002 (subsections (a) and (b) of section 1350, chapter 63 of title 18, United States Code), each of the undersigned officers of Scholastic Corporation, a Delaware corporation (the “Company”), does hereby certify to the best of such officer’s knowledge, that:</w:t>
      </w:r>
    </w:p>
    <w:p>
      <w:pPr>
        <w:spacing w:after="0" w:line="153" w:lineRule="exact"/>
        <w:rPr>
          <w:sz w:val="20"/>
          <w:szCs w:val="20"/>
          <w:color w:val="auto"/>
        </w:rPr>
      </w:pPr>
    </w:p>
    <w:p>
      <w:pPr>
        <w:ind w:left="1160" w:right="500" w:hanging="571"/>
        <w:spacing w:after="0" w:line="268" w:lineRule="auto"/>
        <w:tabs>
          <w:tab w:leader="none" w:pos="11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Company’s Annual Report on Form 10-K for the year ended May 31, 2010 (the “Form 10-K”) fully complies with the requirements of Section 13(a) or 15(d) of the Securities Exchange Act of 1934, as amended; and</w:t>
      </w:r>
    </w:p>
    <w:p>
      <w:pPr>
        <w:spacing w:after="0" w:line="118" w:lineRule="exact"/>
        <w:rPr>
          <w:rFonts w:ascii="Arial" w:cs="Arial" w:eastAsia="Arial" w:hAnsi="Arial"/>
          <w:sz w:val="18"/>
          <w:szCs w:val="18"/>
          <w:color w:val="auto"/>
        </w:rPr>
      </w:pPr>
    </w:p>
    <w:p>
      <w:pPr>
        <w:ind w:left="1160" w:hanging="571"/>
        <w:spacing w:after="0"/>
        <w:tabs>
          <w:tab w:leader="none" w:pos="11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Information contained in the Form 10-K fairly presents, in all material respects, the financial condition and results of operations of the Company.</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5720" w:type="dxa"/>
            <w:vAlign w:val="bottom"/>
          </w:tcPr>
          <w:p>
            <w:pPr>
              <w:spacing w:after="0"/>
              <w:rPr>
                <w:sz w:val="20"/>
                <w:szCs w:val="20"/>
                <w:color w:val="auto"/>
              </w:rPr>
            </w:pPr>
            <w:r>
              <w:rPr>
                <w:rFonts w:ascii="Arial" w:cs="Arial" w:eastAsia="Arial" w:hAnsi="Arial"/>
                <w:sz w:val="18"/>
                <w:szCs w:val="18"/>
                <w:color w:val="auto"/>
              </w:rPr>
              <w:t>Dated: July 26, 2010</w:t>
            </w:r>
          </w:p>
        </w:tc>
        <w:tc>
          <w:tcPr>
            <w:tcW w:w="1680" w:type="dxa"/>
            <w:vAlign w:val="bottom"/>
            <w:gridSpan w:val="3"/>
          </w:tcPr>
          <w:p>
            <w:pPr>
              <w:spacing w:after="0"/>
              <w:rPr>
                <w:sz w:val="20"/>
                <w:szCs w:val="20"/>
                <w:color w:val="auto"/>
              </w:rPr>
            </w:pPr>
            <w:r>
              <w:rPr>
                <w:rFonts w:ascii="Arial" w:cs="Arial" w:eastAsia="Arial" w:hAnsi="Arial"/>
                <w:sz w:val="18"/>
                <w:szCs w:val="18"/>
                <w:color w:val="auto"/>
              </w:rPr>
              <w:t>/s/Richard Robinson</w:t>
            </w:r>
          </w:p>
        </w:tc>
      </w:tr>
      <w:tr>
        <w:trPr>
          <w:trHeight w:val="201"/>
        </w:trPr>
        <w:tc>
          <w:tcPr>
            <w:tcW w:w="5720" w:type="dxa"/>
            <w:vAlign w:val="bottom"/>
          </w:tcPr>
          <w:p>
            <w:pPr>
              <w:spacing w:after="0"/>
              <w:rPr>
                <w:sz w:val="17"/>
                <w:szCs w:val="17"/>
                <w:color w:val="auto"/>
              </w:rPr>
            </w:pPr>
          </w:p>
        </w:tc>
        <w:tc>
          <w:tcPr>
            <w:tcW w:w="14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Richard Robinson</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22"/>
        </w:trPr>
        <w:tc>
          <w:tcPr>
            <w:tcW w:w="5720" w:type="dxa"/>
            <w:vAlign w:val="bottom"/>
          </w:tcPr>
          <w:p>
            <w:pPr>
              <w:spacing w:after="0"/>
              <w:rPr>
                <w:sz w:val="19"/>
                <w:szCs w:val="19"/>
                <w:color w:val="auto"/>
              </w:rPr>
            </w:pPr>
          </w:p>
        </w:tc>
        <w:tc>
          <w:tcPr>
            <w:tcW w:w="1680" w:type="dxa"/>
            <w:vAlign w:val="bottom"/>
            <w:gridSpan w:val="3"/>
          </w:tcPr>
          <w:p>
            <w:pPr>
              <w:spacing w:after="0"/>
              <w:rPr>
                <w:sz w:val="20"/>
                <w:szCs w:val="20"/>
                <w:color w:val="auto"/>
              </w:rPr>
            </w:pPr>
            <w:r>
              <w:rPr>
                <w:rFonts w:ascii="Arial" w:cs="Arial" w:eastAsia="Arial" w:hAnsi="Arial"/>
                <w:sz w:val="18"/>
                <w:szCs w:val="18"/>
                <w:color w:val="auto"/>
                <w:w w:val="90"/>
              </w:rPr>
              <w:t>Chief Executive Officer</w:t>
            </w:r>
          </w:p>
        </w:tc>
      </w:tr>
      <w:tr>
        <w:trPr>
          <w:trHeight w:val="475"/>
        </w:trPr>
        <w:tc>
          <w:tcPr>
            <w:tcW w:w="5720" w:type="dxa"/>
            <w:vAlign w:val="bottom"/>
          </w:tcPr>
          <w:p>
            <w:pPr>
              <w:spacing w:after="0"/>
              <w:rPr>
                <w:sz w:val="20"/>
                <w:szCs w:val="20"/>
                <w:color w:val="auto"/>
              </w:rPr>
            </w:pPr>
            <w:r>
              <w:rPr>
                <w:rFonts w:ascii="Arial" w:cs="Arial" w:eastAsia="Arial" w:hAnsi="Arial"/>
                <w:sz w:val="18"/>
                <w:szCs w:val="18"/>
                <w:color w:val="auto"/>
              </w:rPr>
              <w:t>Dated: July 26, 2010</w:t>
            </w:r>
          </w:p>
        </w:tc>
        <w:tc>
          <w:tcPr>
            <w:tcW w:w="1680" w:type="dxa"/>
            <w:vAlign w:val="bottom"/>
            <w:gridSpan w:val="3"/>
          </w:tcPr>
          <w:p>
            <w:pPr>
              <w:spacing w:after="0"/>
              <w:rPr>
                <w:sz w:val="20"/>
                <w:szCs w:val="20"/>
                <w:color w:val="auto"/>
              </w:rPr>
            </w:pPr>
            <w:r>
              <w:rPr>
                <w:rFonts w:ascii="Arial" w:cs="Arial" w:eastAsia="Arial" w:hAnsi="Arial"/>
                <w:sz w:val="18"/>
                <w:szCs w:val="18"/>
                <w:color w:val="auto"/>
                <w:w w:val="95"/>
              </w:rPr>
              <w:t>/s/Maureen O’Connell</w:t>
            </w:r>
          </w:p>
        </w:tc>
      </w:tr>
      <w:tr>
        <w:trPr>
          <w:trHeight w:val="201"/>
        </w:trPr>
        <w:tc>
          <w:tcPr>
            <w:tcW w:w="5720" w:type="dxa"/>
            <w:vAlign w:val="bottom"/>
          </w:tcPr>
          <w:p>
            <w:pPr>
              <w:spacing w:after="0"/>
              <w:rPr>
                <w:sz w:val="17"/>
                <w:szCs w:val="17"/>
                <w:color w:val="auto"/>
              </w:rPr>
            </w:pPr>
          </w:p>
        </w:tc>
        <w:tc>
          <w:tcPr>
            <w:tcW w:w="1600" w:type="dxa"/>
            <w:vAlign w:val="bottom"/>
            <w:tcBorders>
              <w:top w:val="single" w:sz="8" w:color="auto"/>
            </w:tcBorders>
            <w:gridSpan w:val="2"/>
          </w:tcPr>
          <w:p>
            <w:pPr>
              <w:spacing w:after="0" w:line="201" w:lineRule="exact"/>
              <w:rPr>
                <w:sz w:val="20"/>
                <w:szCs w:val="20"/>
                <w:color w:val="auto"/>
              </w:rPr>
            </w:pPr>
            <w:r>
              <w:rPr>
                <w:rFonts w:ascii="Arial" w:cs="Arial" w:eastAsia="Arial" w:hAnsi="Arial"/>
                <w:sz w:val="18"/>
                <w:szCs w:val="18"/>
                <w:color w:val="auto"/>
              </w:rPr>
              <w:t>Maureen O’Connell</w:t>
            </w:r>
          </w:p>
        </w:tc>
        <w:tc>
          <w:tcPr>
            <w:tcW w:w="80" w:type="dxa"/>
            <w:vAlign w:val="bottom"/>
          </w:tcPr>
          <w:p>
            <w:pPr>
              <w:spacing w:after="0"/>
              <w:rPr>
                <w:sz w:val="17"/>
                <w:szCs w:val="17"/>
                <w:color w:val="auto"/>
              </w:rPr>
            </w:pPr>
          </w:p>
        </w:tc>
      </w:tr>
      <w:tr>
        <w:trPr>
          <w:trHeight w:val="222"/>
        </w:trPr>
        <w:tc>
          <w:tcPr>
            <w:tcW w:w="5720" w:type="dxa"/>
            <w:vAlign w:val="bottom"/>
          </w:tcPr>
          <w:p>
            <w:pPr>
              <w:spacing w:after="0"/>
              <w:rPr>
                <w:sz w:val="19"/>
                <w:szCs w:val="19"/>
                <w:color w:val="auto"/>
              </w:rPr>
            </w:pPr>
          </w:p>
        </w:tc>
        <w:tc>
          <w:tcPr>
            <w:tcW w:w="1680" w:type="dxa"/>
            <w:vAlign w:val="bottom"/>
            <w:gridSpan w:val="3"/>
          </w:tcPr>
          <w:p>
            <w:pPr>
              <w:spacing w:after="0"/>
              <w:rPr>
                <w:sz w:val="20"/>
                <w:szCs w:val="20"/>
                <w:color w:val="auto"/>
              </w:rPr>
            </w:pPr>
            <w:r>
              <w:rPr>
                <w:rFonts w:ascii="Arial" w:cs="Arial" w:eastAsia="Arial" w:hAnsi="Arial"/>
                <w:sz w:val="18"/>
                <w:szCs w:val="18"/>
                <w:color w:val="auto"/>
                <w:w w:val="93"/>
              </w:rPr>
              <w:t>Chief Financial Officer</w:t>
            </w:r>
          </w:p>
        </w:tc>
      </w:tr>
    </w:tbl>
    <w:p>
      <w:pPr>
        <w:spacing w:after="0" w:line="210" w:lineRule="exact"/>
        <w:rPr>
          <w:sz w:val="20"/>
          <w:szCs w:val="20"/>
          <w:color w:val="auto"/>
        </w:rPr>
      </w:pPr>
    </w:p>
    <w:p>
      <w:pPr>
        <w:ind w:right="200" w:firstLine="348"/>
        <w:spacing w:after="0" w:line="268" w:lineRule="auto"/>
        <w:rPr>
          <w:sz w:val="20"/>
          <w:szCs w:val="20"/>
          <w:color w:val="auto"/>
        </w:rPr>
      </w:pPr>
      <w:r>
        <w:rPr>
          <w:rFonts w:ascii="Arial" w:cs="Arial" w:eastAsia="Arial" w:hAnsi="Arial"/>
          <w:sz w:val="18"/>
          <w:szCs w:val="18"/>
          <w:color w:val="auto"/>
        </w:rPr>
        <w:t>The certification set forth above is being furnished as an exhibit solely pursuant to Section 906 of the Sarbanes-Oxley Act of 2002 and is not being filed as part of the Form 10-K or as a separate disclosure document of the Company or the certifying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121285</wp:posOffset>
            </wp:positionV>
            <wp:extent cx="7267575" cy="38735"/>
            <wp:wrapNone/>
            <wp:docPr id="900" name="Picture 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0"/>
                    <pic:cNvPicPr>
                      <a:picLocks noChangeAspect="1" noChangeArrowheads="1"/>
                    </pic:cNvPicPr>
                  </pic:nvPicPr>
                  <pic:blipFill>
                    <a:blip r:embed="rId90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1)"/>
      <w:numFmt w:val="decimal"/>
      <w:start w:val="1"/>
    </w:lvl>
  </w:abstractNum>
  <w:abstractNum w:abstractNumId="3">
    <w:nsid w:val="109CF92E"/>
    <w:multiLevelType w:val="hybridMultilevel"/>
    <w:lvl w:ilvl="0">
      <w:lvlJc w:val="left"/>
      <w:lvlText w:val="(%1)"/>
      <w:numFmt w:val="decimal"/>
      <w:start w:val="1"/>
    </w:lvl>
  </w:abstractNum>
  <w:abstractNum w:abstractNumId="4">
    <w:nsid w:val="DED7263"/>
    <w:multiLevelType w:val="hybridMultilevel"/>
    <w:lvl w:ilvl="0">
      <w:lvlJc w:val="left"/>
      <w:lvlText w:val="(%1)"/>
      <w:numFmt w:val="decimal"/>
      <w:start w:val="1"/>
    </w:lvl>
  </w:abstractNum>
  <w:abstractNum w:abstractNumId="5">
    <w:nsid w:val="7FDCC233"/>
    <w:multiLevelType w:val="hybridMultilevel"/>
    <w:lvl w:ilvl="0">
      <w:lvlJc w:val="left"/>
      <w:lvlText w:val="*"/>
      <w:numFmt w:val="bullet"/>
      <w:start w:val="1"/>
    </w:lvl>
  </w:abstractNum>
  <w:abstractNum w:abstractNumId="6">
    <w:nsid w:val="1BEFD79F"/>
    <w:multiLevelType w:val="hybridMultilevel"/>
    <w:lvl w:ilvl="0">
      <w:lvlJc w:val="left"/>
      <w:lvlText w:val="•"/>
      <w:numFmt w:val="bullet"/>
      <w:start w:val="1"/>
    </w:lvl>
  </w:abstractNum>
  <w:abstractNum w:abstractNumId="7">
    <w:nsid w:val="41A7C4C9"/>
    <w:multiLevelType w:val="hybridMultilevel"/>
    <w:lvl w:ilvl="0">
      <w:lvlJc w:val="left"/>
      <w:lvlText w:val="(%1)"/>
      <w:numFmt w:val="decimal"/>
      <w:start w:val="1"/>
    </w:lvl>
  </w:abstractNum>
  <w:abstractNum w:abstractNumId="8">
    <w:nsid w:val="6B68079A"/>
    <w:multiLevelType w:val="hybridMultilevel"/>
    <w:lvl w:ilvl="0">
      <w:lvlJc w:val="left"/>
      <w:lvlText w:val="(%1)"/>
      <w:numFmt w:val="decimal"/>
      <w:start w:val="1"/>
    </w:lvl>
  </w:abstractNum>
  <w:abstractNum w:abstractNumId="9">
    <w:nsid w:val="4E6AFB66"/>
    <w:multiLevelType w:val="hybridMultilevel"/>
    <w:lvl w:ilvl="0">
      <w:lvlJc w:val="left"/>
      <w:lvlText w:val="(%1)"/>
      <w:numFmt w:val="decimal"/>
      <w:start w:val="1"/>
    </w:lvl>
  </w:abstractNum>
  <w:abstractNum w:abstractNumId="10">
    <w:nsid w:val="25E45D32"/>
    <w:multiLevelType w:val="hybridMultilevel"/>
    <w:lvl w:ilvl="0">
      <w:lvlJc w:val="left"/>
      <w:lvlText w:val="%1."/>
      <w:numFmt w:val="decimal"/>
      <w:start w:val="1"/>
    </w:lvl>
  </w:abstractNum>
  <w:abstractNum w:abstractNumId="11">
    <w:nsid w:val="519B500D"/>
    <w:multiLevelType w:val="hybridMultilevel"/>
    <w:lvl w:ilvl="0">
      <w:lvlJc w:val="left"/>
      <w:lvlText w:val="•"/>
      <w:numFmt w:val="bullet"/>
      <w:start w:val="1"/>
    </w:lvl>
  </w:abstractNum>
  <w:abstractNum w:abstractNumId="12">
    <w:nsid w:val="431BD7B7"/>
    <w:multiLevelType w:val="hybridMultilevel"/>
    <w:lvl w:ilvl="0">
      <w:lvlJc w:val="left"/>
      <w:lvlText w:val="(%1)"/>
      <w:numFmt w:val="decimal"/>
      <w:start w:val="1"/>
    </w:lvl>
  </w:abstractNum>
  <w:abstractNum w:abstractNumId="13">
    <w:nsid w:val="3F2DBA31"/>
    <w:multiLevelType w:val="hybridMultilevel"/>
    <w:lvl w:ilvl="0">
      <w:lvlJc w:val="left"/>
      <w:lvlText w:val="(%1)"/>
      <w:numFmt w:val="decimal"/>
      <w:start w:val="1"/>
    </w:lvl>
  </w:abstractNum>
  <w:abstractNum w:abstractNumId="14">
    <w:nsid w:val="7C83E458"/>
    <w:multiLevelType w:val="hybridMultilevel"/>
    <w:lvl w:ilvl="0">
      <w:lvlJc w:val="left"/>
      <w:lvlText w:val="•"/>
      <w:numFmt w:val="bullet"/>
      <w:start w:val="1"/>
    </w:lvl>
    <w:lvl w:ilvl="1">
      <w:lvlJc w:val="left"/>
      <w:lvlText w:val="¡"/>
      <w:numFmt w:val="bullet"/>
      <w:start w:val="1"/>
    </w:lvl>
  </w:abstractNum>
  <w:abstractNum w:abstractNumId="15">
    <w:nsid w:val="257130A3"/>
    <w:multiLevelType w:val="hybridMultilevel"/>
    <w:lvl w:ilvl="0">
      <w:lvlJc w:val="left"/>
      <w:lvlText w:val="•"/>
      <w:numFmt w:val="bullet"/>
      <w:start w:val="1"/>
    </w:lvl>
  </w:abstractNum>
  <w:abstractNum w:abstractNumId="16">
    <w:nsid w:val="62BBD95A"/>
    <w:multiLevelType w:val="hybridMultilevel"/>
    <w:lvl w:ilvl="0">
      <w:lvlJc w:val="left"/>
      <w:lvlText w:val="%1"/>
      <w:numFmt w:val="decimal"/>
      <w:start w:val="32"/>
    </w:lvl>
  </w:abstractNum>
  <w:abstractNum w:abstractNumId="17">
    <w:nsid w:val="436C6125"/>
    <w:multiLevelType w:val="hybridMultilevel"/>
    <w:lvl w:ilvl="0">
      <w:lvlJc w:val="left"/>
      <w:lvlText w:val="*"/>
      <w:numFmt w:val="bullet"/>
      <w:start w:val="1"/>
    </w:lvl>
  </w:abstractNum>
  <w:abstractNum w:abstractNumId="18">
    <w:nsid w:val="628C895D"/>
    <w:multiLevelType w:val="hybridMultilevel"/>
    <w:lvl w:ilvl="0">
      <w:lvlJc w:val="left"/>
      <w:lvlText w:val="**"/>
      <w:numFmt w:val="bullet"/>
      <w:start w:val="1"/>
    </w:lvl>
  </w:abstractNum>
  <w:abstractNum w:abstractNumId="19">
    <w:nsid w:val="333AB105"/>
    <w:multiLevelType w:val="hybridMultilevel"/>
    <w:lvl w:ilvl="0">
      <w:lvlJc w:val="left"/>
      <w:lvlText w:val="(%1)"/>
      <w:numFmt w:val="decimal"/>
      <w:start w:val="1"/>
    </w:lvl>
  </w:abstractNum>
  <w:abstractNum w:abstractNumId="20">
    <w:nsid w:val="721DA317"/>
    <w:multiLevelType w:val="hybridMultilevel"/>
    <w:lvl w:ilvl="0">
      <w:lvlJc w:val="left"/>
      <w:lvlText w:val="%1."/>
      <w:numFmt w:val="decimal"/>
      <w:start w:val="1"/>
    </w:lvl>
    <w:lvl w:ilvl="1">
      <w:lvlJc w:val="left"/>
      <w:lvlText w:val="%2)"/>
      <w:numFmt w:val="lowerLetter"/>
      <w:start w:val="1"/>
    </w:lvl>
  </w:abstractNum>
  <w:abstractNum w:abstractNumId="21">
    <w:nsid w:val="2443A858"/>
    <w:multiLevelType w:val="hybridMultilevel"/>
    <w:lvl w:ilvl="0">
      <w:lvlJc w:val="left"/>
      <w:lvlText w:val="%1."/>
      <w:numFmt w:val="decimal"/>
      <w:start w:val="1"/>
    </w:lvl>
    <w:lvl w:ilvl="1">
      <w:lvlJc w:val="left"/>
      <w:lvlText w:val="%2)"/>
      <w:numFmt w:val="lowerLetter"/>
      <w:start w:val="1"/>
    </w:lvl>
  </w:abstractNum>
  <w:abstractNum w:abstractNumId="22">
    <w:nsid w:val="2D1D5A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jpe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jpeg"/><Relationship Id="rId121" Type="http://schemas.openxmlformats.org/officeDocument/2006/relationships/image" Target="media/image114.png"/><Relationship Id="rId122" Type="http://schemas.openxmlformats.org/officeDocument/2006/relationships/image" Target="media/image115.jpe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jpe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jpe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jpe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jpe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jpe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jpe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jpe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jpe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jpe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jpe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jpe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jpe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jpe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jpe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jpe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jpe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jpe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jpe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jpe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jpe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jpe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jpe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jpe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jpe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jpe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jpe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jpe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jpe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jpe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jpe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jpe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jpe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jpe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jpe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jpe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jpe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jpe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jpe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jpe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jpe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jpe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jpe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jpe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jpe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jpe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jpe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jpe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jpe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jpe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jpe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png"/><Relationship Id="rId762" Type="http://schemas.openxmlformats.org/officeDocument/2006/relationships/image" Target="media/image755.pn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png"/><Relationship Id="rId767" Type="http://schemas.openxmlformats.org/officeDocument/2006/relationships/image" Target="media/image760.jpeg"/><Relationship Id="rId768" Type="http://schemas.openxmlformats.org/officeDocument/2006/relationships/image" Target="media/image761.png"/><Relationship Id="rId769" Type="http://schemas.openxmlformats.org/officeDocument/2006/relationships/image" Target="media/image762.png"/><Relationship Id="rId770" Type="http://schemas.openxmlformats.org/officeDocument/2006/relationships/image" Target="media/image763.png"/><Relationship Id="rId771" Type="http://schemas.openxmlformats.org/officeDocument/2006/relationships/image" Target="media/image764.png"/><Relationship Id="rId772" Type="http://schemas.openxmlformats.org/officeDocument/2006/relationships/image" Target="media/image765.png"/><Relationship Id="rId773" Type="http://schemas.openxmlformats.org/officeDocument/2006/relationships/image" Target="media/image766.png"/><Relationship Id="rId774" Type="http://schemas.openxmlformats.org/officeDocument/2006/relationships/image" Target="media/image767.png"/><Relationship Id="rId775" Type="http://schemas.openxmlformats.org/officeDocument/2006/relationships/image" Target="media/image768.png"/><Relationship Id="rId776" Type="http://schemas.openxmlformats.org/officeDocument/2006/relationships/image" Target="media/image769.png"/><Relationship Id="rId777" Type="http://schemas.openxmlformats.org/officeDocument/2006/relationships/image" Target="media/image770.png"/><Relationship Id="rId778" Type="http://schemas.openxmlformats.org/officeDocument/2006/relationships/image" Target="media/image771.png"/><Relationship Id="rId779" Type="http://schemas.openxmlformats.org/officeDocument/2006/relationships/image" Target="media/image772.png"/><Relationship Id="rId780" Type="http://schemas.openxmlformats.org/officeDocument/2006/relationships/image" Target="media/image773.png"/><Relationship Id="rId781" Type="http://schemas.openxmlformats.org/officeDocument/2006/relationships/image" Target="media/image774.png"/><Relationship Id="rId782" Type="http://schemas.openxmlformats.org/officeDocument/2006/relationships/image" Target="media/image775.png"/><Relationship Id="rId783" Type="http://schemas.openxmlformats.org/officeDocument/2006/relationships/image" Target="media/image776.png"/><Relationship Id="rId784" Type="http://schemas.openxmlformats.org/officeDocument/2006/relationships/image" Target="media/image777.png"/><Relationship Id="rId785" Type="http://schemas.openxmlformats.org/officeDocument/2006/relationships/image" Target="media/image778.png"/><Relationship Id="rId786" Type="http://schemas.openxmlformats.org/officeDocument/2006/relationships/image" Target="media/image779.png"/><Relationship Id="rId787" Type="http://schemas.openxmlformats.org/officeDocument/2006/relationships/image" Target="media/image780.png"/><Relationship Id="rId788" Type="http://schemas.openxmlformats.org/officeDocument/2006/relationships/image" Target="media/image781.png"/><Relationship Id="rId789" Type="http://schemas.openxmlformats.org/officeDocument/2006/relationships/image" Target="media/image782.png"/><Relationship Id="rId790" Type="http://schemas.openxmlformats.org/officeDocument/2006/relationships/image" Target="media/image783.png"/><Relationship Id="rId791" Type="http://schemas.openxmlformats.org/officeDocument/2006/relationships/image" Target="media/image784.png"/><Relationship Id="rId792" Type="http://schemas.openxmlformats.org/officeDocument/2006/relationships/image" Target="media/image785.png"/><Relationship Id="rId793" Type="http://schemas.openxmlformats.org/officeDocument/2006/relationships/image" Target="media/image786.png"/><Relationship Id="rId794" Type="http://schemas.openxmlformats.org/officeDocument/2006/relationships/image" Target="media/image787.png"/><Relationship Id="rId795" Type="http://schemas.openxmlformats.org/officeDocument/2006/relationships/image" Target="media/image788.png"/><Relationship Id="rId796" Type="http://schemas.openxmlformats.org/officeDocument/2006/relationships/image" Target="media/image789.png"/><Relationship Id="rId797" Type="http://schemas.openxmlformats.org/officeDocument/2006/relationships/image" Target="media/image790.png"/><Relationship Id="rId798" Type="http://schemas.openxmlformats.org/officeDocument/2006/relationships/image" Target="media/image791.png"/><Relationship Id="rId799" Type="http://schemas.openxmlformats.org/officeDocument/2006/relationships/image" Target="media/image792.png"/><Relationship Id="rId800" Type="http://schemas.openxmlformats.org/officeDocument/2006/relationships/image" Target="media/image793.png"/><Relationship Id="rId801" Type="http://schemas.openxmlformats.org/officeDocument/2006/relationships/image" Target="media/image794.png"/><Relationship Id="rId802" Type="http://schemas.openxmlformats.org/officeDocument/2006/relationships/image" Target="media/image795.png"/><Relationship Id="rId803" Type="http://schemas.openxmlformats.org/officeDocument/2006/relationships/image" Target="media/image796.png"/><Relationship Id="rId804" Type="http://schemas.openxmlformats.org/officeDocument/2006/relationships/image" Target="media/image797.jpeg"/><Relationship Id="rId805" Type="http://schemas.openxmlformats.org/officeDocument/2006/relationships/image" Target="media/image798.png"/><Relationship Id="rId806" Type="http://schemas.openxmlformats.org/officeDocument/2006/relationships/image" Target="media/image799.png"/><Relationship Id="rId807" Type="http://schemas.openxmlformats.org/officeDocument/2006/relationships/image" Target="media/image800.png"/><Relationship Id="rId808" Type="http://schemas.openxmlformats.org/officeDocument/2006/relationships/image" Target="media/image801.jpeg"/><Relationship Id="rId809" Type="http://schemas.openxmlformats.org/officeDocument/2006/relationships/image" Target="media/image802.png"/><Relationship Id="rId810" Type="http://schemas.openxmlformats.org/officeDocument/2006/relationships/image" Target="media/image803.png"/><Relationship Id="rId811" Type="http://schemas.openxmlformats.org/officeDocument/2006/relationships/image" Target="media/image804.png"/><Relationship Id="rId812" Type="http://schemas.openxmlformats.org/officeDocument/2006/relationships/image" Target="media/image805.png"/><Relationship Id="rId813" Type="http://schemas.openxmlformats.org/officeDocument/2006/relationships/image" Target="media/image806.png"/><Relationship Id="rId814" Type="http://schemas.openxmlformats.org/officeDocument/2006/relationships/image" Target="media/image807.png"/><Relationship Id="rId815" Type="http://schemas.openxmlformats.org/officeDocument/2006/relationships/image" Target="media/image808.png"/><Relationship Id="rId816" Type="http://schemas.openxmlformats.org/officeDocument/2006/relationships/image" Target="media/image809.png"/><Relationship Id="rId817" Type="http://schemas.openxmlformats.org/officeDocument/2006/relationships/image" Target="media/image810.png"/><Relationship Id="rId818" Type="http://schemas.openxmlformats.org/officeDocument/2006/relationships/image" Target="media/image811.png"/><Relationship Id="rId819" Type="http://schemas.openxmlformats.org/officeDocument/2006/relationships/image" Target="media/image812.png"/><Relationship Id="rId820" Type="http://schemas.openxmlformats.org/officeDocument/2006/relationships/image" Target="media/image813.png"/><Relationship Id="rId821" Type="http://schemas.openxmlformats.org/officeDocument/2006/relationships/image" Target="media/image814.png"/><Relationship Id="rId822" Type="http://schemas.openxmlformats.org/officeDocument/2006/relationships/image" Target="media/image815.png"/><Relationship Id="rId823" Type="http://schemas.openxmlformats.org/officeDocument/2006/relationships/image" Target="media/image816.png"/><Relationship Id="rId824" Type="http://schemas.openxmlformats.org/officeDocument/2006/relationships/image" Target="media/image817.png"/><Relationship Id="rId825" Type="http://schemas.openxmlformats.org/officeDocument/2006/relationships/image" Target="media/image818.png"/><Relationship Id="rId826" Type="http://schemas.openxmlformats.org/officeDocument/2006/relationships/image" Target="media/image819.png"/><Relationship Id="rId827" Type="http://schemas.openxmlformats.org/officeDocument/2006/relationships/image" Target="media/image820.png"/><Relationship Id="rId828" Type="http://schemas.openxmlformats.org/officeDocument/2006/relationships/image" Target="media/image821.png"/><Relationship Id="rId829" Type="http://schemas.openxmlformats.org/officeDocument/2006/relationships/image" Target="media/image822.png"/><Relationship Id="rId830" Type="http://schemas.openxmlformats.org/officeDocument/2006/relationships/image" Target="media/image823.png"/><Relationship Id="rId831" Type="http://schemas.openxmlformats.org/officeDocument/2006/relationships/image" Target="media/image824.png"/><Relationship Id="rId832" Type="http://schemas.openxmlformats.org/officeDocument/2006/relationships/image" Target="media/image825.png"/><Relationship Id="rId833" Type="http://schemas.openxmlformats.org/officeDocument/2006/relationships/image" Target="media/image826.png"/><Relationship Id="rId834" Type="http://schemas.openxmlformats.org/officeDocument/2006/relationships/image" Target="media/image827.png"/><Relationship Id="rId835" Type="http://schemas.openxmlformats.org/officeDocument/2006/relationships/image" Target="media/image828.jpeg"/><Relationship Id="rId836" Type="http://schemas.openxmlformats.org/officeDocument/2006/relationships/image" Target="media/image829.png"/><Relationship Id="rId837" Type="http://schemas.openxmlformats.org/officeDocument/2006/relationships/image" Target="media/image830.png"/><Relationship Id="rId838" Type="http://schemas.openxmlformats.org/officeDocument/2006/relationships/image" Target="media/image831.png"/><Relationship Id="rId839" Type="http://schemas.openxmlformats.org/officeDocument/2006/relationships/image" Target="media/image832.png"/><Relationship Id="rId840" Type="http://schemas.openxmlformats.org/officeDocument/2006/relationships/image" Target="media/image833.png"/><Relationship Id="rId841" Type="http://schemas.openxmlformats.org/officeDocument/2006/relationships/image" Target="media/image834.png"/><Relationship Id="rId842" Type="http://schemas.openxmlformats.org/officeDocument/2006/relationships/image" Target="media/image835.png"/><Relationship Id="rId843" Type="http://schemas.openxmlformats.org/officeDocument/2006/relationships/image" Target="media/image836.png"/><Relationship Id="rId844" Type="http://schemas.openxmlformats.org/officeDocument/2006/relationships/image" Target="media/image837.png"/><Relationship Id="rId845" Type="http://schemas.openxmlformats.org/officeDocument/2006/relationships/image" Target="media/image838.png"/><Relationship Id="rId846" Type="http://schemas.openxmlformats.org/officeDocument/2006/relationships/image" Target="media/image839.png"/><Relationship Id="rId847" Type="http://schemas.openxmlformats.org/officeDocument/2006/relationships/image" Target="media/image840.png"/><Relationship Id="rId848" Type="http://schemas.openxmlformats.org/officeDocument/2006/relationships/image" Target="media/image841.jpeg"/><Relationship Id="rId849" Type="http://schemas.openxmlformats.org/officeDocument/2006/relationships/image" Target="media/image842.png"/><Relationship Id="rId850" Type="http://schemas.openxmlformats.org/officeDocument/2006/relationships/image" Target="media/image843.png"/><Relationship Id="rId851" Type="http://schemas.openxmlformats.org/officeDocument/2006/relationships/image" Target="media/image844.jpeg"/><Relationship Id="rId852" Type="http://schemas.openxmlformats.org/officeDocument/2006/relationships/image" Target="media/image845.png"/><Relationship Id="rId853" Type="http://schemas.openxmlformats.org/officeDocument/2006/relationships/image" Target="media/image846.png"/><Relationship Id="rId854" Type="http://schemas.openxmlformats.org/officeDocument/2006/relationships/image" Target="media/image847.jpeg"/><Relationship Id="rId855" Type="http://schemas.openxmlformats.org/officeDocument/2006/relationships/image" Target="media/image848.jpeg"/><Relationship Id="rId856" Type="http://schemas.openxmlformats.org/officeDocument/2006/relationships/image" Target="media/image849.png"/><Relationship Id="rId857" Type="http://schemas.openxmlformats.org/officeDocument/2006/relationships/image" Target="media/image850.png"/><Relationship Id="rId858" Type="http://schemas.openxmlformats.org/officeDocument/2006/relationships/image" Target="media/image851.jpeg"/><Relationship Id="rId859" Type="http://schemas.openxmlformats.org/officeDocument/2006/relationships/image" Target="media/image852.jpeg"/><Relationship Id="rId860" Type="http://schemas.openxmlformats.org/officeDocument/2006/relationships/image" Target="media/image853.png"/><Relationship Id="rId861" Type="http://schemas.openxmlformats.org/officeDocument/2006/relationships/image" Target="media/image854.png"/><Relationship Id="rId862" Type="http://schemas.openxmlformats.org/officeDocument/2006/relationships/image" Target="media/image855.png"/><Relationship Id="rId863" Type="http://schemas.openxmlformats.org/officeDocument/2006/relationships/image" Target="media/image856.jpeg"/><Relationship Id="rId864" Type="http://schemas.openxmlformats.org/officeDocument/2006/relationships/image" Target="media/image857.png"/><Relationship Id="rId865" Type="http://schemas.openxmlformats.org/officeDocument/2006/relationships/image" Target="media/image858.png"/><Relationship Id="rId866" Type="http://schemas.openxmlformats.org/officeDocument/2006/relationships/image" Target="media/image859.jpeg"/><Relationship Id="rId867" Type="http://schemas.openxmlformats.org/officeDocument/2006/relationships/image" Target="media/image860.png"/><Relationship Id="rId868" Type="http://schemas.openxmlformats.org/officeDocument/2006/relationships/image" Target="media/image861.png"/><Relationship Id="rId869" Type="http://schemas.openxmlformats.org/officeDocument/2006/relationships/image" Target="media/image862.jpeg"/><Relationship Id="rId870" Type="http://schemas.openxmlformats.org/officeDocument/2006/relationships/image" Target="media/image863.png"/><Relationship Id="rId871" Type="http://schemas.openxmlformats.org/officeDocument/2006/relationships/image" Target="media/image864.png"/><Relationship Id="rId872" Type="http://schemas.openxmlformats.org/officeDocument/2006/relationships/image" Target="media/image865.jpeg"/><Relationship Id="rId873" Type="http://schemas.openxmlformats.org/officeDocument/2006/relationships/image" Target="media/image866.png"/><Relationship Id="rId874" Type="http://schemas.openxmlformats.org/officeDocument/2006/relationships/image" Target="media/image867.png"/><Relationship Id="rId875" Type="http://schemas.openxmlformats.org/officeDocument/2006/relationships/image" Target="media/image868.jpeg"/><Relationship Id="rId876" Type="http://schemas.openxmlformats.org/officeDocument/2006/relationships/image" Target="media/image869.png"/><Relationship Id="rId877" Type="http://schemas.openxmlformats.org/officeDocument/2006/relationships/image" Target="media/image870.png"/><Relationship Id="rId878" Type="http://schemas.openxmlformats.org/officeDocument/2006/relationships/image" Target="media/image871.jpeg"/><Relationship Id="rId879" Type="http://schemas.openxmlformats.org/officeDocument/2006/relationships/image" Target="media/image872.png"/><Relationship Id="rId880" Type="http://schemas.openxmlformats.org/officeDocument/2006/relationships/image" Target="media/image873.png"/><Relationship Id="rId881" Type="http://schemas.openxmlformats.org/officeDocument/2006/relationships/image" Target="media/image874.png"/><Relationship Id="rId882" Type="http://schemas.openxmlformats.org/officeDocument/2006/relationships/image" Target="media/image875.png"/><Relationship Id="rId883" Type="http://schemas.openxmlformats.org/officeDocument/2006/relationships/image" Target="media/image876.png"/><Relationship Id="rId884" Type="http://schemas.openxmlformats.org/officeDocument/2006/relationships/image" Target="media/image877.png"/><Relationship Id="rId885" Type="http://schemas.openxmlformats.org/officeDocument/2006/relationships/image" Target="media/image878.png"/><Relationship Id="rId886" Type="http://schemas.openxmlformats.org/officeDocument/2006/relationships/image" Target="media/image879.png"/><Relationship Id="rId887" Type="http://schemas.openxmlformats.org/officeDocument/2006/relationships/image" Target="media/image880.png"/><Relationship Id="rId888" Type="http://schemas.openxmlformats.org/officeDocument/2006/relationships/image" Target="media/image881.png"/><Relationship Id="rId889" Type="http://schemas.openxmlformats.org/officeDocument/2006/relationships/image" Target="media/image882.png"/><Relationship Id="rId890" Type="http://schemas.openxmlformats.org/officeDocument/2006/relationships/image" Target="media/image883.jpeg"/><Relationship Id="rId891" Type="http://schemas.openxmlformats.org/officeDocument/2006/relationships/image" Target="media/image884.png"/><Relationship Id="rId892" Type="http://schemas.openxmlformats.org/officeDocument/2006/relationships/image" Target="media/image885.png"/><Relationship Id="rId893" Type="http://schemas.openxmlformats.org/officeDocument/2006/relationships/image" Target="media/image886.png"/><Relationship Id="rId894" Type="http://schemas.openxmlformats.org/officeDocument/2006/relationships/image" Target="media/image887.jpeg"/><Relationship Id="rId895" Type="http://schemas.openxmlformats.org/officeDocument/2006/relationships/image" Target="media/image888.png"/><Relationship Id="rId896" Type="http://schemas.openxmlformats.org/officeDocument/2006/relationships/image" Target="media/image889.png"/><Relationship Id="rId897" Type="http://schemas.openxmlformats.org/officeDocument/2006/relationships/image" Target="media/image890.jpeg"/><Relationship Id="rId898" Type="http://schemas.openxmlformats.org/officeDocument/2006/relationships/image" Target="media/image891.png"/><Relationship Id="rId899" Type="http://schemas.openxmlformats.org/officeDocument/2006/relationships/image" Target="media/image892.png"/><Relationship Id="rId900" Type="http://schemas.openxmlformats.org/officeDocument/2006/relationships/image" Target="media/image893.png"/><Relationship Id="rId901" Type="http://schemas.openxmlformats.org/officeDocument/2006/relationships/image" Target="media/image894.jpeg"/><Relationship Id="rId902" Type="http://schemas.openxmlformats.org/officeDocument/2006/relationships/image" Target="media/image895.png"/><Relationship Id="rId903" Type="http://schemas.openxmlformats.org/officeDocument/2006/relationships/image" Target="media/image896.png"/><Relationship Id="rId904" Type="http://schemas.openxmlformats.org/officeDocument/2006/relationships/image" Target="media/image897.png"/><Relationship Id="rId905" Type="http://schemas.openxmlformats.org/officeDocument/2006/relationships/image" Target="media/image898.png"/><Relationship Id="rId906" Type="http://schemas.openxmlformats.org/officeDocument/2006/relationships/image" Target="media/image899.png"/><Relationship Id="rId907" Type="http://schemas.openxmlformats.org/officeDocument/2006/relationships/image" Target="media/image90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2019-12-10T08:51:12Z</dcterms:created>
  <dcterms:modified xsi:type="dcterms:W3CDTF">2019-12-10T08:51:12Z</dcterms:modified>
</cp:coreProperties>
</file>