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2841625</wp:posOffset>
            </wp:positionH>
            <wp:positionV relativeFrom="page">
              <wp:posOffset>157480</wp:posOffset>
            </wp:positionV>
            <wp:extent cx="188658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86585" cy="240030"/>
                    </a:xfrm>
                    <a:prstGeom prst="rect">
                      <a:avLst/>
                    </a:prstGeom>
                    <a:noFill/>
                  </pic:spPr>
                </pic:pic>
              </a:graphicData>
            </a:graphic>
          </wp:anchor>
        </w:drawing>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20"/>
                <w:szCs w:val="20"/>
                <w:color w:val="auto"/>
              </w:rPr>
            </w:pPr>
            <w:r>
              <w:rPr>
                <w:rFonts w:ascii="Arial" w:cs="Arial" w:eastAsia="Arial" w:hAnsi="Arial"/>
                <w:sz w:val="18"/>
                <w:szCs w:val="18"/>
                <w:color w:val="auto"/>
                <w:w w:val="92"/>
              </w:rPr>
              <w:t>For the quarterly period ended February 29, 2012</w:t>
            </w:r>
          </w:p>
        </w:tc>
        <w:tc>
          <w:tcPr>
            <w:tcW w:w="5920" w:type="dxa"/>
            <w:vAlign w:val="bottom"/>
          </w:tcPr>
          <w:p>
            <w:pPr>
              <w:ind w:left="2900"/>
              <w:spacing w:after="0"/>
              <w:rPr>
                <w:sz w:val="20"/>
                <w:szCs w:val="20"/>
                <w:color w:val="auto"/>
              </w:rPr>
            </w:pPr>
            <w:r>
              <w:rPr>
                <w:rFonts w:ascii="Arial" w:cs="Arial" w:eastAsia="Arial" w:hAnsi="Arial"/>
                <w:sz w:val="18"/>
                <w:szCs w:val="18"/>
                <w:color w:val="auto"/>
              </w:rPr>
              <w:t>Commission File No. 000-19860</w:t>
            </w:r>
          </w:p>
        </w:tc>
      </w:tr>
      <w:tr>
        <w:trPr>
          <w:trHeight w:val="466"/>
        </w:trPr>
        <w:tc>
          <w:tcPr>
            <w:tcW w:w="3680" w:type="dxa"/>
            <w:vAlign w:val="bottom"/>
          </w:tcPr>
          <w:p>
            <w:pPr>
              <w:spacing w:after="0"/>
              <w:rPr>
                <w:sz w:val="24"/>
                <w:szCs w:val="24"/>
                <w:color w:val="auto"/>
              </w:rPr>
            </w:pPr>
          </w:p>
        </w:tc>
        <w:tc>
          <w:tcPr>
            <w:tcW w:w="5920" w:type="dxa"/>
            <w:vAlign w:val="bottom"/>
          </w:tcPr>
          <w:p>
            <w:pPr>
              <w:jc w:val="center"/>
              <w:ind w:right="175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680" w:type="dxa"/>
            <w:vAlign w:val="bottom"/>
          </w:tcPr>
          <w:p>
            <w:pPr>
              <w:spacing w:after="0"/>
              <w:rPr>
                <w:sz w:val="19"/>
                <w:szCs w:val="19"/>
                <w:color w:val="auto"/>
              </w:rPr>
            </w:pPr>
          </w:p>
        </w:tc>
        <w:tc>
          <w:tcPr>
            <w:tcW w:w="5920" w:type="dxa"/>
            <w:vAlign w:val="bottom"/>
          </w:tcPr>
          <w:p>
            <w:pPr>
              <w:jc w:val="center"/>
              <w:ind w:right="175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680" w:type="dxa"/>
            <w:vAlign w:val="bottom"/>
          </w:tcPr>
          <w:p>
            <w:pPr>
              <w:ind w:left="660"/>
              <w:spacing w:after="0"/>
              <w:rPr>
                <w:sz w:val="20"/>
                <w:szCs w:val="20"/>
                <w:color w:val="auto"/>
              </w:rPr>
            </w:pPr>
            <w:r>
              <w:rPr>
                <w:rFonts w:ascii="Arial" w:cs="Arial" w:eastAsia="Arial" w:hAnsi="Arial"/>
                <w:sz w:val="18"/>
                <w:szCs w:val="18"/>
                <w:b w:val="1"/>
                <w:bCs w:val="1"/>
                <w:color w:val="auto"/>
              </w:rPr>
              <w:t>Delaware</w:t>
            </w:r>
          </w:p>
        </w:tc>
        <w:tc>
          <w:tcPr>
            <w:tcW w:w="592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5920" w:type="dxa"/>
            <w:vAlign w:val="bottom"/>
          </w:tcPr>
          <w:p>
            <w:pPr>
              <w:jc w:val="center"/>
              <w:ind w:left="341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5920" w:type="dxa"/>
            <w:vAlign w:val="bottom"/>
          </w:tcPr>
          <w:p>
            <w:pPr>
              <w:spacing w:after="0"/>
              <w:rPr>
                <w:sz w:val="19"/>
                <w:szCs w:val="19"/>
                <w:color w:val="auto"/>
              </w:rPr>
            </w:pPr>
          </w:p>
        </w:tc>
      </w:tr>
      <w:tr>
        <w:trPr>
          <w:trHeight w:val="358"/>
        </w:trPr>
        <w:tc>
          <w:tcPr>
            <w:tcW w:w="368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592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5920" w:type="dxa"/>
            <w:vAlign w:val="bottom"/>
          </w:tcPr>
          <w:p>
            <w:pPr>
              <w:jc w:val="center"/>
              <w:ind w:left="341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94"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841"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4580" w:space="720"/>
            <w:col w:w="6160"/>
          </w:cols>
          <w:pgMar w:left="240" w:top="841" w:right="199" w:bottom="1440" w:gutter="0" w:footer="0" w:header="0"/>
          <w:type w:val="continuous"/>
        </w:sectPr>
      </w:pP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3"/>
              </w:rPr>
              <w:t>Title</w:t>
            </w:r>
          </w:p>
        </w:tc>
        <w:tc>
          <w:tcPr>
            <w:tcW w:w="28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5"/>
              </w:rPr>
              <w:t>of each class</w:t>
            </w:r>
          </w:p>
        </w:tc>
        <w:tc>
          <w:tcPr>
            <w:tcW w:w="282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86"/>
              </w:rPr>
              <w:t>as of February 29, 2012</w:t>
            </w:r>
          </w:p>
        </w:tc>
        <w:tc>
          <w:tcPr>
            <w:tcW w:w="1440" w:type="dxa"/>
            <w:vAlign w:val="bottom"/>
          </w:tcPr>
          <w:p>
            <w:pPr>
              <w:spacing w:after="0"/>
              <w:rPr>
                <w:sz w:val="19"/>
                <w:szCs w:val="19"/>
                <w:color w:val="auto"/>
              </w:rPr>
            </w:pPr>
          </w:p>
        </w:tc>
      </w:tr>
      <w:tr>
        <w:trPr>
          <w:trHeight w:val="110"/>
        </w:trPr>
        <w:tc>
          <w:tcPr>
            <w:tcW w:w="1440" w:type="dxa"/>
            <w:vAlign w:val="bottom"/>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282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r>
      <w:tr>
        <w:trPr>
          <w:trHeight w:val="458"/>
        </w:trPr>
        <w:tc>
          <w:tcPr>
            <w:tcW w:w="144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5680" w:type="dxa"/>
            <w:vAlign w:val="bottom"/>
            <w:gridSpan w:val="2"/>
          </w:tcPr>
          <w:p>
            <w:pPr>
              <w:jc w:val="right"/>
              <w:ind w:right="952"/>
              <w:spacing w:after="0"/>
              <w:rPr>
                <w:sz w:val="20"/>
                <w:szCs w:val="20"/>
                <w:color w:val="auto"/>
              </w:rPr>
            </w:pPr>
            <w:r>
              <w:rPr>
                <w:rFonts w:ascii="Arial" w:cs="Arial" w:eastAsia="Arial" w:hAnsi="Arial"/>
                <w:sz w:val="18"/>
                <w:szCs w:val="18"/>
                <w:color w:val="auto"/>
              </w:rPr>
              <w:t>29,438,575</w:t>
            </w:r>
          </w:p>
        </w:tc>
        <w:tc>
          <w:tcPr>
            <w:tcW w:w="1440" w:type="dxa"/>
            <w:vAlign w:val="bottom"/>
          </w:tcPr>
          <w:p>
            <w:pPr>
              <w:spacing w:after="0"/>
              <w:rPr>
                <w:sz w:val="24"/>
                <w:szCs w:val="24"/>
                <w:color w:val="auto"/>
              </w:rPr>
            </w:pPr>
          </w:p>
        </w:tc>
      </w:tr>
      <w:tr>
        <w:trPr>
          <w:trHeight w:val="222"/>
        </w:trPr>
        <w:tc>
          <w:tcPr>
            <w:tcW w:w="144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8"/>
              </w:rPr>
              <w:t>Class A Stock, $.01 par value</w:t>
            </w:r>
          </w:p>
        </w:tc>
        <w:tc>
          <w:tcPr>
            <w:tcW w:w="5680" w:type="dxa"/>
            <w:vAlign w:val="bottom"/>
            <w:gridSpan w:val="2"/>
          </w:tcPr>
          <w:p>
            <w:pPr>
              <w:jc w:val="right"/>
              <w:ind w:right="992"/>
              <w:spacing w:after="0"/>
              <w:rPr>
                <w:sz w:val="20"/>
                <w:szCs w:val="20"/>
                <w:color w:val="auto"/>
              </w:rPr>
            </w:pPr>
            <w:r>
              <w:rPr>
                <w:rFonts w:ascii="Arial" w:cs="Arial" w:eastAsia="Arial" w:hAnsi="Arial"/>
                <w:sz w:val="18"/>
                <w:szCs w:val="18"/>
                <w:color w:val="auto"/>
              </w:rPr>
              <w:t>1,656,200</w:t>
            </w:r>
          </w:p>
        </w:tc>
        <w:tc>
          <w:tcPr>
            <w:tcW w:w="1440" w:type="dxa"/>
            <w:vAlign w:val="bottom"/>
          </w:tcPr>
          <w:p>
            <w:pPr>
              <w:spacing w:after="0"/>
              <w:rPr>
                <w:sz w:val="19"/>
                <w:szCs w:val="19"/>
                <w:color w:val="auto"/>
              </w:rPr>
            </w:pPr>
          </w:p>
        </w:tc>
      </w:tr>
      <w:tr>
        <w:trPr>
          <w:trHeight w:val="432"/>
        </w:trPr>
        <w:tc>
          <w:tcPr>
            <w:tcW w:w="1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20" w:type="dxa"/>
            <w:vAlign w:val="bottom"/>
          </w:tcPr>
          <w:p>
            <w:pPr>
              <w:jc w:val="right"/>
              <w:ind w:right="1312"/>
              <w:spacing w:after="0"/>
              <w:rPr>
                <w:sz w:val="20"/>
                <w:szCs w:val="20"/>
                <w:color w:val="auto"/>
              </w:rPr>
            </w:pPr>
            <w:r>
              <w:rPr>
                <w:rFonts w:ascii="Arial" w:cs="Arial" w:eastAsia="Arial" w:hAnsi="Arial"/>
                <w:sz w:val="18"/>
                <w:szCs w:val="18"/>
                <w:color w:val="auto"/>
              </w:rPr>
              <w:t>1</w:t>
            </w:r>
          </w:p>
        </w:tc>
        <w:tc>
          <w:tcPr>
            <w:tcW w:w="28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5"/>
        </w:trPr>
        <w:tc>
          <w:tcPr>
            <w:tcW w:w="14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61"/>
        </w:trPr>
        <w:tc>
          <w:tcPr>
            <w:tcW w:w="1440" w:type="dxa"/>
            <w:vAlign w:val="bottom"/>
            <w:shd w:val="clear" w:color="auto" w:fill="808080"/>
          </w:tcPr>
          <w:p>
            <w:pPr>
              <w:spacing w:after="0"/>
              <w:rPr>
                <w:sz w:val="5"/>
                <w:szCs w:val="5"/>
                <w:color w:val="auto"/>
              </w:rPr>
            </w:pPr>
          </w:p>
        </w:tc>
        <w:tc>
          <w:tcPr>
            <w:tcW w:w="290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28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41"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FEBRUARY 29,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Arial" w:cs="Arial" w:eastAsia="Arial" w:hAnsi="Arial"/>
                <w:sz w:val="18"/>
                <w:szCs w:val="18"/>
                <w:b w:val="1"/>
                <w:bCs w:val="1"/>
                <w:color w:val="auto"/>
                <w:w w:val="97"/>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94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0940" w:type="dxa"/>
            <w:vAlign w:val="bottom"/>
            <w:gridSpan w:val="17"/>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18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(Unaudited)</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(Unaudited)</w:t>
              </w:r>
            </w:hyperlink>
          </w:p>
        </w:tc>
        <w:tc>
          <w:tcPr>
            <w:tcW w:w="700" w:type="dxa"/>
            <w:vAlign w:val="bottom"/>
            <w:tcBorders>
              <w:top w:val="single" w:sz="8" w:color="0000EE"/>
            </w:tcBorders>
            <w:gridSpan w:val="3"/>
          </w:tcPr>
          <w:p>
            <w:pPr>
              <w:spacing w:after="0"/>
              <w:rPr>
                <w:sz w:val="24"/>
                <w:szCs w:val="24"/>
                <w:color w:val="auto"/>
              </w:rPr>
            </w:pPr>
          </w:p>
        </w:tc>
        <w:tc>
          <w:tcPr>
            <w:tcW w:w="4720" w:type="dxa"/>
            <w:vAlign w:val="bottom"/>
            <w:gridSpan w:val="3"/>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(Unaudited)</w:t>
              </w:r>
            </w:hyperlink>
          </w:p>
        </w:tc>
        <w:tc>
          <w:tcPr>
            <w:tcW w:w="5480" w:type="dxa"/>
            <w:vAlign w:val="bottom"/>
            <w:gridSpan w:val="7"/>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380" w:type="dxa"/>
            <w:vAlign w:val="bottom"/>
            <w:gridSpan w:val="2"/>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18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18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918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940" w:type="dxa"/>
            <w:vAlign w:val="bottom"/>
            <w:gridSpan w:val="17"/>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91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918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60" w:type="dxa"/>
            <w:vAlign w:val="bottom"/>
            <w:gridSpan w:val="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Signatures</w:t>
              </w:r>
            </w:hyperlink>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200" w:type="dxa"/>
            <w:vAlign w:val="bottom"/>
            <w:gridSpan w:val="8"/>
          </w:tcPr>
          <w:p>
            <w:pPr>
              <w:ind w:left="39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w w:val="98"/>
              </w:rPr>
              <w:t>Three months ended</w:t>
            </w:r>
          </w:p>
        </w:tc>
        <w:tc>
          <w:tcPr>
            <w:tcW w:w="360" w:type="dxa"/>
            <w:vAlign w:val="bottom"/>
          </w:tcPr>
          <w:p>
            <w:pPr>
              <w:spacing w:after="0"/>
              <w:rPr>
                <w:sz w:val="19"/>
                <w:szCs w:val="19"/>
                <w:color w:val="auto"/>
              </w:rPr>
            </w:pPr>
          </w:p>
        </w:tc>
        <w:tc>
          <w:tcPr>
            <w:tcW w:w="228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Nine months ended</w:t>
            </w:r>
          </w:p>
        </w:tc>
      </w:tr>
      <w:tr>
        <w:trPr>
          <w:trHeight w:val="365"/>
        </w:trPr>
        <w:tc>
          <w:tcPr>
            <w:tcW w:w="5860" w:type="dxa"/>
            <w:vAlign w:val="bottom"/>
          </w:tcPr>
          <w:p>
            <w:pPr>
              <w:spacing w:after="0"/>
              <w:rPr>
                <w:sz w:val="24"/>
                <w:szCs w:val="24"/>
                <w:color w:val="auto"/>
              </w:rPr>
            </w:pPr>
          </w:p>
        </w:tc>
        <w:tc>
          <w:tcPr>
            <w:tcW w:w="15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February 29,</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February 28,</w:t>
            </w: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29,</w:t>
            </w: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28,</w:t>
            </w:r>
          </w:p>
        </w:tc>
      </w:tr>
      <w:tr>
        <w:trPr>
          <w:trHeight w:val="365"/>
        </w:trPr>
        <w:tc>
          <w:tcPr>
            <w:tcW w:w="5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2011</w:t>
            </w:r>
          </w:p>
        </w:tc>
      </w:tr>
      <w:tr>
        <w:trPr>
          <w:trHeight w:val="110"/>
        </w:trPr>
        <w:tc>
          <w:tcPr>
            <w:tcW w:w="5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6"/>
        </w:trPr>
        <w:tc>
          <w:tcPr>
            <w:tcW w:w="58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467.0</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rPr>
              <w:t>384.3</w:t>
            </w:r>
          </w:p>
        </w:tc>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1,470.3</w:t>
            </w:r>
          </w:p>
        </w:tc>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1,342.6</w:t>
            </w:r>
          </w:p>
        </w:tc>
      </w:tr>
      <w:tr>
        <w:trPr>
          <w:trHeight w:val="358"/>
        </w:trPr>
        <w:tc>
          <w:tcPr>
            <w:tcW w:w="58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Cost of goods sold (exclusive of depreciation and amortization)</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219.6</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193.8</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665.7</w:t>
            </w:r>
          </w:p>
        </w:tc>
        <w:tc>
          <w:tcPr>
            <w:tcW w:w="3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632.3</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w w:val="94"/>
              </w:rPr>
              <w:t>Selling, general and administrative expenses (exclusive of depreciation and</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86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235.5</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198.1</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636.1</w:t>
            </w:r>
          </w:p>
        </w:tc>
        <w:tc>
          <w:tcPr>
            <w:tcW w:w="3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597.2</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12.6</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46.6</w:t>
            </w:r>
          </w:p>
        </w:tc>
        <w:tc>
          <w:tcPr>
            <w:tcW w:w="3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43.4</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Loss on leases and asset impairments</w:t>
            </w:r>
          </w:p>
        </w:tc>
        <w:tc>
          <w:tcPr>
            <w:tcW w:w="5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586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5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w:t>
            </w:r>
          </w:p>
        </w:tc>
      </w:tr>
      <w:tr>
        <w:trPr>
          <w:trHeight w:val="110"/>
        </w:trPr>
        <w:tc>
          <w:tcPr>
            <w:tcW w:w="5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6"/>
        </w:trPr>
        <w:tc>
          <w:tcPr>
            <w:tcW w:w="58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478.9</w:t>
            </w:r>
          </w:p>
        </w:tc>
        <w:tc>
          <w:tcPr>
            <w:tcW w:w="36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414.3</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1,375.4</w:t>
            </w:r>
          </w:p>
        </w:tc>
        <w:tc>
          <w:tcPr>
            <w:tcW w:w="3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1,289.8</w:t>
            </w:r>
          </w:p>
        </w:tc>
      </w:tr>
      <w:tr>
        <w:trPr>
          <w:trHeight w:val="110"/>
        </w:trPr>
        <w:tc>
          <w:tcPr>
            <w:tcW w:w="5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(11.9)</w:t>
            </w:r>
          </w:p>
        </w:tc>
        <w:tc>
          <w:tcPr>
            <w:tcW w:w="3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(30.0)</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94.9</w:t>
            </w:r>
          </w:p>
        </w:tc>
        <w:tc>
          <w:tcPr>
            <w:tcW w:w="3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52.8</w:t>
            </w:r>
          </w:p>
        </w:tc>
      </w:tr>
      <w:tr>
        <w:trPr>
          <w:trHeight w:val="358"/>
        </w:trPr>
        <w:tc>
          <w:tcPr>
            <w:tcW w:w="586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2"/>
        </w:trPr>
        <w:tc>
          <w:tcPr>
            <w:tcW w:w="586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54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11.7</w:t>
            </w:r>
          </w:p>
        </w:tc>
      </w:tr>
      <w:tr>
        <w:trPr>
          <w:trHeight w:val="110"/>
        </w:trPr>
        <w:tc>
          <w:tcPr>
            <w:tcW w:w="5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16"/>
        </w:trPr>
        <w:tc>
          <w:tcPr>
            <w:tcW w:w="5860" w:type="dxa"/>
            <w:vAlign w:val="bottom"/>
          </w:tcPr>
          <w:p>
            <w:pPr>
              <w:spacing w:after="0"/>
              <w:rPr>
                <w:sz w:val="20"/>
                <w:szCs w:val="20"/>
                <w:color w:val="auto"/>
              </w:rPr>
            </w:pPr>
            <w:r>
              <w:rPr>
                <w:rFonts w:ascii="Arial" w:cs="Arial" w:eastAsia="Arial" w:hAnsi="Arial"/>
                <w:sz w:val="18"/>
                <w:szCs w:val="18"/>
                <w:b w:val="1"/>
                <w:bCs w:val="1"/>
                <w:color w:val="auto"/>
              </w:rPr>
              <w:t>Earnings (loss) from continuing operations before income taxes</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(15.8)</w:t>
            </w:r>
          </w:p>
        </w:tc>
        <w:tc>
          <w:tcPr>
            <w:tcW w:w="3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(33.9)</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83.2</w:t>
            </w:r>
          </w:p>
        </w:tc>
        <w:tc>
          <w:tcPr>
            <w:tcW w:w="3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40.7</w:t>
            </w:r>
          </w:p>
        </w:tc>
      </w:tr>
      <w:tr>
        <w:trPr>
          <w:trHeight w:val="365"/>
        </w:trPr>
        <w:tc>
          <w:tcPr>
            <w:tcW w:w="5860" w:type="dxa"/>
            <w:vAlign w:val="bottom"/>
          </w:tcPr>
          <w:p>
            <w:pPr>
              <w:ind w:left="160"/>
              <w:spacing w:after="0"/>
              <w:rPr>
                <w:sz w:val="20"/>
                <w:szCs w:val="20"/>
                <w:color w:val="auto"/>
              </w:rPr>
            </w:pPr>
            <w:r>
              <w:rPr>
                <w:rFonts w:ascii="Arial" w:cs="Arial" w:eastAsia="Arial" w:hAnsi="Arial"/>
                <w:sz w:val="18"/>
                <w:szCs w:val="18"/>
                <w:color w:val="auto"/>
              </w:rPr>
              <w:t>Provision (benefit) for income taxes</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34.9</w:t>
            </w:r>
          </w:p>
        </w:tc>
        <w:tc>
          <w:tcPr>
            <w:tcW w:w="3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21.5</w:t>
            </w:r>
          </w:p>
        </w:tc>
      </w:tr>
      <w:tr>
        <w:trPr>
          <w:trHeight w:val="110"/>
        </w:trPr>
        <w:tc>
          <w:tcPr>
            <w:tcW w:w="5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5860" w:type="dxa"/>
            <w:vAlign w:val="bottom"/>
          </w:tcPr>
          <w:p>
            <w:pPr>
              <w:spacing w:after="0"/>
              <w:rPr>
                <w:sz w:val="20"/>
                <w:szCs w:val="20"/>
                <w:color w:val="auto"/>
              </w:rPr>
            </w:pPr>
            <w:r>
              <w:rPr>
                <w:rFonts w:ascii="Arial" w:cs="Arial" w:eastAsia="Arial" w:hAnsi="Arial"/>
                <w:sz w:val="18"/>
                <w:szCs w:val="18"/>
                <w:b w:val="1"/>
                <w:bCs w:val="1"/>
                <w:color w:val="auto"/>
              </w:rPr>
              <w:t>Earnings (loss) from continuing operations</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(9.9)</w:t>
            </w:r>
          </w:p>
        </w:tc>
        <w:tc>
          <w:tcPr>
            <w:tcW w:w="3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(24.0)</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48.3</w:t>
            </w:r>
          </w:p>
        </w:tc>
        <w:tc>
          <w:tcPr>
            <w:tcW w:w="36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19.2</w:t>
            </w:r>
          </w:p>
        </w:tc>
      </w:tr>
      <w:tr>
        <w:trPr>
          <w:trHeight w:val="365"/>
        </w:trPr>
        <w:tc>
          <w:tcPr>
            <w:tcW w:w="586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54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(0.4)</w:t>
            </w:r>
          </w:p>
        </w:tc>
        <w:tc>
          <w:tcPr>
            <w:tcW w:w="3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(2.9)</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110"/>
        </w:trPr>
        <w:tc>
          <w:tcPr>
            <w:tcW w:w="5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58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(10.3)</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(25.1)</w:t>
            </w:r>
          </w:p>
        </w:tc>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45.4</w:t>
            </w:r>
          </w:p>
        </w:tc>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14.6</w:t>
            </w:r>
          </w:p>
        </w:tc>
      </w:tr>
      <w:tr>
        <w:trPr>
          <w:trHeight w:val="110"/>
        </w:trPr>
        <w:tc>
          <w:tcPr>
            <w:tcW w:w="5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5860" w:type="dxa"/>
            <w:vAlign w:val="bottom"/>
          </w:tcPr>
          <w:p>
            <w:pPr>
              <w:spacing w:after="0"/>
              <w:rPr>
                <w:sz w:val="20"/>
                <w:szCs w:val="20"/>
                <w:color w:val="auto"/>
              </w:rPr>
            </w:pPr>
            <w:r>
              <w:rPr>
                <w:rFonts w:ascii="Arial" w:cs="Arial" w:eastAsia="Arial" w:hAnsi="Arial"/>
                <w:sz w:val="18"/>
                <w:szCs w:val="18"/>
                <w:b w:val="1"/>
                <w:bCs w:val="1"/>
                <w:color w:val="auto"/>
                <w:w w:val="91"/>
              </w:rPr>
              <w:t>Basic and diluted earnings (loss) per Share of Class A and Common Stock</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8"/>
        </w:trPr>
        <w:tc>
          <w:tcPr>
            <w:tcW w:w="5860" w:type="dxa"/>
            <w:vAlign w:val="bottom"/>
          </w:tcPr>
          <w:p>
            <w:pPr>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5860" w:type="dxa"/>
            <w:vAlign w:val="bottom"/>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(0.32)</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(0.77)</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1.54</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0.56</w:t>
            </w:r>
          </w:p>
        </w:tc>
      </w:tr>
      <w:tr>
        <w:trPr>
          <w:trHeight w:val="358"/>
        </w:trPr>
        <w:tc>
          <w:tcPr>
            <w:tcW w:w="586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(0.09)</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16"/>
        </w:trPr>
        <w:tc>
          <w:tcPr>
            <w:tcW w:w="58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(0.33)</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(0.81)</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1.45</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5860" w:type="dxa"/>
            <w:vAlign w:val="bottom"/>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(0.32)</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(0.77)</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1.52</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0.55</w:t>
            </w:r>
          </w:p>
        </w:tc>
      </w:tr>
      <w:tr>
        <w:trPr>
          <w:trHeight w:val="358"/>
        </w:trPr>
        <w:tc>
          <w:tcPr>
            <w:tcW w:w="586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(0.09)</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22"/>
        </w:trPr>
        <w:tc>
          <w:tcPr>
            <w:tcW w:w="58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(0.33)</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(0.81)</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1.43</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0.42</w:t>
            </w:r>
          </w:p>
        </w:tc>
      </w:tr>
      <w:tr>
        <w:trPr>
          <w:trHeight w:val="365"/>
        </w:trPr>
        <w:tc>
          <w:tcPr>
            <w:tcW w:w="586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0.125</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0.100</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0.325</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0.275</w:t>
            </w:r>
          </w:p>
        </w:tc>
      </w:tr>
      <w:tr>
        <w:trPr>
          <w:trHeight w:val="110"/>
        </w:trPr>
        <w:tc>
          <w:tcPr>
            <w:tcW w:w="5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125" w:right="2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2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February 29, 2012</w:t>
            </w:r>
          </w:p>
        </w:tc>
        <w:tc>
          <w:tcPr>
            <w:tcW w:w="300" w:type="dxa"/>
            <w:vAlign w:val="bottom"/>
          </w:tcPr>
          <w:p>
            <w:pPr>
              <w:spacing w:after="0"/>
              <w:rPr>
                <w:sz w:val="19"/>
                <w:szCs w:val="19"/>
                <w:color w:val="auto"/>
              </w:rPr>
            </w:pPr>
          </w:p>
        </w:tc>
        <w:tc>
          <w:tcPr>
            <w:tcW w:w="1400" w:type="dxa"/>
            <w:vAlign w:val="bottom"/>
          </w:tcPr>
          <w:p>
            <w:pPr>
              <w:jc w:val="right"/>
              <w:ind w:right="272"/>
              <w:spacing w:after="0"/>
              <w:rPr>
                <w:sz w:val="20"/>
                <w:szCs w:val="20"/>
                <w:color w:val="auto"/>
              </w:rPr>
            </w:pPr>
            <w:r>
              <w:rPr>
                <w:rFonts w:ascii="Arial" w:cs="Arial" w:eastAsia="Arial" w:hAnsi="Arial"/>
                <w:sz w:val="18"/>
                <w:szCs w:val="18"/>
                <w:b w:val="1"/>
                <w:bCs w:val="1"/>
                <w:color w:val="auto"/>
                <w:w w:val="92"/>
              </w:rPr>
              <w:t>May 31, 2011</w:t>
            </w:r>
          </w:p>
        </w:tc>
        <w:tc>
          <w:tcPr>
            <w:tcW w:w="17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28, 2011</w:t>
            </w: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7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76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1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105.3</w:t>
            </w:r>
          </w:p>
        </w:tc>
        <w:tc>
          <w:tcPr>
            <w:tcW w:w="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476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271.5</w:t>
            </w:r>
          </w:p>
        </w:tc>
        <w:tc>
          <w:tcPr>
            <w:tcW w:w="30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220.3</w:t>
            </w:r>
          </w:p>
        </w:tc>
        <w:tc>
          <w:tcPr>
            <w:tcW w:w="7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476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397.2</w:t>
            </w:r>
          </w:p>
        </w:tc>
        <w:tc>
          <w:tcPr>
            <w:tcW w:w="30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308.7</w:t>
            </w:r>
          </w:p>
        </w:tc>
        <w:tc>
          <w:tcPr>
            <w:tcW w:w="7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6"/>
        </w:trPr>
        <w:tc>
          <w:tcPr>
            <w:tcW w:w="47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56.2</w:t>
            </w:r>
          </w:p>
        </w:tc>
        <w:tc>
          <w:tcPr>
            <w:tcW w:w="7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47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14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75.4</w:t>
            </w:r>
          </w:p>
        </w:tc>
        <w:tc>
          <w:tcPr>
            <w:tcW w:w="30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57.1</w:t>
            </w:r>
          </w:p>
        </w:tc>
        <w:tc>
          <w:tcPr>
            <w:tcW w:w="7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2"/>
        </w:trPr>
        <w:tc>
          <w:tcPr>
            <w:tcW w:w="476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214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9"/>
                <w:szCs w:val="19"/>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7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0"/>
        </w:trPr>
        <w:tc>
          <w:tcPr>
            <w:tcW w:w="47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assets</w:t>
            </w:r>
          </w:p>
        </w:tc>
        <w:tc>
          <w:tcPr>
            <w:tcW w:w="110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921.7</w:t>
            </w:r>
          </w:p>
        </w:tc>
        <w:tc>
          <w:tcPr>
            <w:tcW w:w="60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758.1</w:t>
            </w:r>
          </w:p>
        </w:tc>
        <w:tc>
          <w:tcPr>
            <w:tcW w:w="6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807.7</w:t>
            </w:r>
          </w:p>
        </w:tc>
      </w:tr>
      <w:tr>
        <w:trPr>
          <w:trHeight w:val="358"/>
        </w:trPr>
        <w:tc>
          <w:tcPr>
            <w:tcW w:w="574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326.2</w:t>
            </w:r>
          </w:p>
        </w:tc>
        <w:tc>
          <w:tcPr>
            <w:tcW w:w="6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339.0</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337.5</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119.8</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117.7</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113.4</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36.7</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35.5</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37.2</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8.1</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162.9</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154.2</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158.3</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16.6</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19.8</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20.2</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Noncurrent deferred income taxes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20.2</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20.2</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33.7</w:t>
            </w: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110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34.7</w:t>
            </w:r>
          </w:p>
        </w:tc>
        <w:tc>
          <w:tcPr>
            <w:tcW w:w="60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35.1</w:t>
            </w:r>
          </w:p>
        </w:tc>
        <w:tc>
          <w:tcPr>
            <w:tcW w:w="6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38.1</w:t>
            </w:r>
          </w:p>
        </w:tc>
      </w:tr>
      <w:tr>
        <w:trPr>
          <w:trHeight w:val="110"/>
        </w:trPr>
        <w:tc>
          <w:tcPr>
            <w:tcW w:w="57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1,646.2</w:t>
            </w:r>
          </w:p>
        </w:tc>
        <w:tc>
          <w:tcPr>
            <w:tcW w:w="60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1,487.0</w:t>
            </w:r>
          </w:p>
        </w:tc>
        <w:tc>
          <w:tcPr>
            <w:tcW w:w="6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1,554.2</w:t>
            </w:r>
          </w:p>
        </w:tc>
      </w:tr>
      <w:tr>
        <w:trPr>
          <w:trHeight w:val="110"/>
        </w:trPr>
        <w:tc>
          <w:tcPr>
            <w:tcW w:w="57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58"/>
        </w:trPr>
        <w:tc>
          <w:tcPr>
            <w:tcW w:w="57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w w:val="99"/>
              </w:rPr>
              <w:t>Lines of credit, short-term debt and current portion of long-term debt</w:t>
            </w: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12.6</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43.5</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49.5</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0.5</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160.1</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120.1</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162.6</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84.4</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35.4</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62.2</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78.5</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49.1</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66.2</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209.1</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173.3</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166.6</w:t>
            </w: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10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6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110"/>
        </w:trPr>
        <w:tc>
          <w:tcPr>
            <w:tcW w:w="57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574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liabilities</w:t>
            </w:r>
          </w:p>
        </w:tc>
        <w:tc>
          <w:tcPr>
            <w:tcW w:w="11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547.0</w:t>
            </w:r>
          </w:p>
        </w:tc>
        <w:tc>
          <w:tcPr>
            <w:tcW w:w="6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422.7</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508.6</w:t>
            </w:r>
          </w:p>
        </w:tc>
      </w:tr>
      <w:tr>
        <w:trPr>
          <w:trHeight w:val="358"/>
        </w:trPr>
        <w:tc>
          <w:tcPr>
            <w:tcW w:w="57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152.7</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159.9</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170.6</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56.1</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55.0</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54.7</w:t>
            </w: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10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105.1</w:t>
            </w:r>
          </w:p>
        </w:tc>
        <w:tc>
          <w:tcPr>
            <w:tcW w:w="60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109.4</w:t>
            </w:r>
          </w:p>
        </w:tc>
        <w:tc>
          <w:tcPr>
            <w:tcW w:w="6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118.8</w:t>
            </w:r>
          </w:p>
        </w:tc>
      </w:tr>
      <w:tr>
        <w:trPr>
          <w:trHeight w:val="110"/>
        </w:trPr>
        <w:tc>
          <w:tcPr>
            <w:tcW w:w="57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574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noncurrent liabilities</w:t>
            </w:r>
          </w:p>
        </w:tc>
        <w:tc>
          <w:tcPr>
            <w:tcW w:w="11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313.9</w:t>
            </w:r>
          </w:p>
        </w:tc>
        <w:tc>
          <w:tcPr>
            <w:tcW w:w="6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324.3</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344.1</w:t>
            </w:r>
          </w:p>
        </w:tc>
      </w:tr>
      <w:tr>
        <w:trPr>
          <w:trHeight w:val="365"/>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1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358"/>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585.0</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576.6</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574.1</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10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(52.4)</w:t>
            </w:r>
          </w:p>
        </w:tc>
        <w:tc>
          <w:tcPr>
            <w:tcW w:w="60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(53.9)</w:t>
            </w: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670.9</w:t>
            </w:r>
          </w:p>
        </w:tc>
        <w:tc>
          <w:tcPr>
            <w:tcW w:w="6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635.8</w:t>
            </w:r>
          </w:p>
        </w:tc>
        <w:tc>
          <w:tcPr>
            <w:tcW w:w="66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614.2</w:t>
            </w: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110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(418.6)</w:t>
            </w:r>
          </w:p>
        </w:tc>
        <w:tc>
          <w:tcPr>
            <w:tcW w:w="60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(418.9)</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(419.6)</w:t>
            </w:r>
          </w:p>
        </w:tc>
      </w:tr>
      <w:tr>
        <w:trPr>
          <w:trHeight w:val="110"/>
        </w:trPr>
        <w:tc>
          <w:tcPr>
            <w:tcW w:w="57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74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stockholders’ equity</w:t>
            </w:r>
          </w:p>
        </w:tc>
        <w:tc>
          <w:tcPr>
            <w:tcW w:w="11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785.3</w:t>
            </w:r>
          </w:p>
        </w:tc>
        <w:tc>
          <w:tcPr>
            <w:tcW w:w="60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740.0</w:t>
            </w:r>
          </w:p>
        </w:tc>
        <w:tc>
          <w:tcPr>
            <w:tcW w:w="66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701.5</w:t>
            </w:r>
          </w:p>
        </w:tc>
      </w:tr>
      <w:tr>
        <w:trPr>
          <w:trHeight w:val="110"/>
        </w:trPr>
        <w:tc>
          <w:tcPr>
            <w:tcW w:w="57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10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1,646.2</w:t>
            </w:r>
          </w:p>
        </w:tc>
        <w:tc>
          <w:tcPr>
            <w:tcW w:w="60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1,487.0</w:t>
            </w:r>
          </w:p>
        </w:tc>
        <w:tc>
          <w:tcPr>
            <w:tcW w:w="6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1,554.2</w:t>
            </w:r>
          </w:p>
        </w:tc>
      </w:tr>
      <w:tr>
        <w:trPr>
          <w:trHeight w:val="110"/>
        </w:trPr>
        <w:tc>
          <w:tcPr>
            <w:tcW w:w="57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539"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Nine months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7720" w:type="dxa"/>
            <w:vAlign w:val="bottom"/>
          </w:tcPr>
          <w:p>
            <w:pPr>
              <w:spacing w:after="0"/>
              <w:rPr>
                <w:sz w:val="19"/>
                <w:szCs w:val="19"/>
                <w:color w:val="auto"/>
              </w:rPr>
            </w:pPr>
          </w:p>
        </w:tc>
        <w:tc>
          <w:tcPr>
            <w:tcW w:w="19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February 29, 2012</w:t>
            </w:r>
          </w:p>
        </w:tc>
        <w:tc>
          <w:tcPr>
            <w:tcW w:w="17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28, 2011</w:t>
            </w:r>
          </w:p>
        </w:tc>
        <w:tc>
          <w:tcPr>
            <w:tcW w:w="20" w:type="dxa"/>
            <w:vAlign w:val="bottom"/>
          </w:tcPr>
          <w:p>
            <w:pPr>
              <w:spacing w:after="0"/>
              <w:rPr>
                <w:sz w:val="19"/>
                <w:szCs w:val="19"/>
                <w:color w:val="auto"/>
              </w:rPr>
            </w:pPr>
          </w:p>
        </w:tc>
      </w:tr>
      <w:tr>
        <w:trPr>
          <w:trHeight w:val="110"/>
        </w:trPr>
        <w:tc>
          <w:tcPr>
            <w:tcW w:w="7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72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45.4</w:t>
            </w:r>
          </w:p>
        </w:tc>
        <w:tc>
          <w:tcPr>
            <w:tcW w:w="92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r>
      <w:tr>
        <w:trPr>
          <w:trHeight w:val="222"/>
        </w:trPr>
        <w:tc>
          <w:tcPr>
            <w:tcW w:w="772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8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110"/>
        </w:trPr>
        <w:tc>
          <w:tcPr>
            <w:tcW w:w="7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7720" w:type="dxa"/>
            <w:vAlign w:val="bottom"/>
          </w:tcPr>
          <w:p>
            <w:pPr>
              <w:ind w:left="320"/>
              <w:spacing w:after="0"/>
              <w:rPr>
                <w:sz w:val="20"/>
                <w:szCs w:val="20"/>
                <w:color w:val="auto"/>
              </w:rPr>
            </w:pPr>
            <w:r>
              <w:rPr>
                <w:rFonts w:ascii="Arial" w:cs="Arial" w:eastAsia="Arial" w:hAnsi="Arial"/>
                <w:sz w:val="18"/>
                <w:szCs w:val="18"/>
                <w:color w:val="auto"/>
              </w:rPr>
              <w:t>Earnings (loss) from continuing operations</w:t>
            </w:r>
          </w:p>
        </w:tc>
        <w:tc>
          <w:tcPr>
            <w:tcW w:w="80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48.3</w:t>
            </w:r>
          </w:p>
        </w:tc>
        <w:tc>
          <w:tcPr>
            <w:tcW w:w="9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24"/>
                <w:szCs w:val="24"/>
                <w:color w:val="auto"/>
              </w:rPr>
            </w:pPr>
          </w:p>
        </w:tc>
      </w:tr>
      <w:tr>
        <w:trPr>
          <w:trHeight w:val="358"/>
        </w:trPr>
        <w:tc>
          <w:tcPr>
            <w:tcW w:w="7720" w:type="dxa"/>
            <w:vAlign w:val="bottom"/>
          </w:tcPr>
          <w:p>
            <w:pPr>
              <w:spacing w:after="0"/>
              <w:rPr>
                <w:sz w:val="20"/>
                <w:szCs w:val="20"/>
                <w:color w:val="auto"/>
              </w:rPr>
            </w:pPr>
            <w:r>
              <w:rPr>
                <w:rFonts w:ascii="Arial" w:cs="Arial" w:eastAsia="Arial" w:hAnsi="Arial"/>
                <w:sz w:val="18"/>
                <w:szCs w:val="18"/>
                <w:color w:val="auto"/>
                <w:w w:val="92"/>
              </w:rPr>
              <w:t>Adjustments to reconcile earnings from continuing operations to net cash provided by (used in) operating</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720" w:type="dxa"/>
            <w:vAlign w:val="bottom"/>
          </w:tcPr>
          <w:p>
            <w:pPr>
              <w:ind w:left="160"/>
              <w:spacing w:after="0"/>
              <w:rPr>
                <w:sz w:val="20"/>
                <w:szCs w:val="20"/>
                <w:color w:val="auto"/>
              </w:rPr>
            </w:pPr>
            <w:r>
              <w:rPr>
                <w:rFonts w:ascii="Arial" w:cs="Arial" w:eastAsia="Arial" w:hAnsi="Arial"/>
                <w:sz w:val="18"/>
                <w:szCs w:val="18"/>
                <w:color w:val="auto"/>
              </w:rPr>
              <w:t>activities of continuing operations:</w:t>
            </w: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Provision for losses on inventory</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18.0</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Provision for losses on royalty</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36.4</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46.6</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Loss on subleases</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Non-cash writeoff related to impairment</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72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(57.6)</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(107.2)</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8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8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8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(5.8)</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38.3</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Other accrued expenses</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38.2</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49.1</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25.4</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r>
      <w:tr>
        <w:trPr>
          <w:trHeight w:val="216"/>
        </w:trPr>
        <w:tc>
          <w:tcPr>
            <w:tcW w:w="772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8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22"/>
        </w:trPr>
        <w:tc>
          <w:tcPr>
            <w:tcW w:w="772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80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110"/>
        </w:trPr>
        <w:tc>
          <w:tcPr>
            <w:tcW w:w="7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72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80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85.8</w:t>
            </w:r>
          </w:p>
        </w:tc>
        <w:tc>
          <w:tcPr>
            <w:tcW w:w="9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137.5</w:t>
            </w:r>
          </w:p>
        </w:tc>
        <w:tc>
          <w:tcPr>
            <w:tcW w:w="20" w:type="dxa"/>
            <w:vAlign w:val="bottom"/>
          </w:tcPr>
          <w:p>
            <w:pPr>
              <w:spacing w:after="0"/>
              <w:rPr>
                <w:sz w:val="24"/>
                <w:szCs w:val="24"/>
                <w:color w:val="auto"/>
              </w:rPr>
            </w:pPr>
          </w:p>
        </w:tc>
      </w:tr>
      <w:tr>
        <w:trPr>
          <w:trHeight w:val="110"/>
        </w:trPr>
        <w:tc>
          <w:tcPr>
            <w:tcW w:w="7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772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 of continuing operations</w:t>
            </w:r>
          </w:p>
        </w:tc>
        <w:tc>
          <w:tcPr>
            <w:tcW w:w="80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134.1</w:t>
            </w:r>
          </w:p>
        </w:tc>
        <w:tc>
          <w:tcPr>
            <w:tcW w:w="9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156.7</w:t>
            </w:r>
          </w:p>
        </w:tc>
        <w:tc>
          <w:tcPr>
            <w:tcW w:w="20" w:type="dxa"/>
            <w:vAlign w:val="bottom"/>
          </w:tcPr>
          <w:p>
            <w:pPr>
              <w:spacing w:after="0"/>
              <w:rPr>
                <w:sz w:val="24"/>
                <w:szCs w:val="24"/>
                <w:color w:val="auto"/>
              </w:rPr>
            </w:pPr>
          </w:p>
        </w:tc>
      </w:tr>
      <w:tr>
        <w:trPr>
          <w:trHeight w:val="222"/>
        </w:trPr>
        <w:tc>
          <w:tcPr>
            <w:tcW w:w="772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8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110"/>
        </w:trPr>
        <w:tc>
          <w:tcPr>
            <w:tcW w:w="7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772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80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132.8</w:t>
            </w:r>
          </w:p>
        </w:tc>
        <w:tc>
          <w:tcPr>
            <w:tcW w:w="9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24"/>
                <w:szCs w:val="24"/>
                <w:color w:val="auto"/>
              </w:rPr>
            </w:pPr>
          </w:p>
        </w:tc>
      </w:tr>
      <w:tr>
        <w:trPr>
          <w:trHeight w:val="358"/>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72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8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(39.7)</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8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(33.0)</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Arial" w:cs="Arial" w:eastAsia="Arial" w:hAnsi="Arial"/>
                <w:sz w:val="18"/>
                <w:szCs w:val="18"/>
                <w:color w:val="auto"/>
              </w:rPr>
              <w:t>Repayment of loan from investee</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Arial" w:cs="Arial" w:eastAsia="Arial" w:hAnsi="Arial"/>
                <w:sz w:val="18"/>
                <w:szCs w:val="18"/>
                <w:color w:val="auto"/>
              </w:rPr>
              <w:t>Land acquisition</w:t>
            </w:r>
          </w:p>
        </w:tc>
        <w:tc>
          <w:tcPr>
            <w:tcW w:w="80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r>
      <w:tr>
        <w:trPr>
          <w:trHeight w:val="222"/>
        </w:trPr>
        <w:tc>
          <w:tcPr>
            <w:tcW w:w="7720" w:type="dxa"/>
            <w:vAlign w:val="bottom"/>
          </w:tcPr>
          <w:p>
            <w:pPr>
              <w:ind w:left="160"/>
              <w:spacing w:after="0"/>
              <w:rPr>
                <w:sz w:val="20"/>
                <w:szCs w:val="20"/>
                <w:color w:val="auto"/>
              </w:rPr>
            </w:pPr>
            <w:r>
              <w:rPr>
                <w:rFonts w:ascii="Arial" w:cs="Arial" w:eastAsia="Arial" w:hAnsi="Arial"/>
                <w:sz w:val="18"/>
                <w:szCs w:val="18"/>
                <w:color w:val="auto"/>
              </w:rPr>
              <w:t>Acquisition-related payments (net of cash received of $0.1 and $2.5, respectively)</w:t>
            </w:r>
          </w:p>
        </w:tc>
        <w:tc>
          <w:tcPr>
            <w:tcW w:w="8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r>
      <w:tr>
        <w:trPr>
          <w:trHeight w:val="110"/>
        </w:trPr>
        <w:tc>
          <w:tcPr>
            <w:tcW w:w="77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7720" w:type="dxa"/>
            <w:vAlign w:val="bottom"/>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(78.0)</w:t>
            </w:r>
          </w:p>
        </w:tc>
        <w:tc>
          <w:tcPr>
            <w:tcW w:w="9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4"/>
                <w:szCs w:val="24"/>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720" w:type="dxa"/>
            <w:vAlign w:val="bottom"/>
          </w:tcPr>
          <w:p>
            <w:pPr>
              <w:ind w:left="5680"/>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7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77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Nine months ended</w:t>
            </w:r>
          </w:p>
        </w:tc>
        <w:tc>
          <w:tcPr>
            <w:tcW w:w="820" w:type="dxa"/>
            <w:vAlign w:val="bottom"/>
          </w:tcPr>
          <w:p>
            <w:pPr>
              <w:spacing w:after="0"/>
              <w:rPr>
                <w:sz w:val="18"/>
                <w:szCs w:val="18"/>
                <w:color w:val="auto"/>
              </w:rPr>
            </w:pPr>
          </w:p>
        </w:tc>
      </w:tr>
      <w:tr>
        <w:trPr>
          <w:trHeight w:val="228"/>
        </w:trPr>
        <w:tc>
          <w:tcPr>
            <w:tcW w:w="6240" w:type="dxa"/>
            <w:vAlign w:val="bottom"/>
          </w:tcPr>
          <w:p>
            <w:pPr>
              <w:spacing w:after="0"/>
              <w:rPr>
                <w:sz w:val="19"/>
                <w:szCs w:val="19"/>
                <w:color w:val="auto"/>
              </w:rPr>
            </w:pPr>
          </w:p>
        </w:tc>
        <w:tc>
          <w:tcPr>
            <w:tcW w:w="34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February 29, 2012</w:t>
            </w:r>
          </w:p>
        </w:tc>
        <w:tc>
          <w:tcPr>
            <w:tcW w:w="17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28, 2011</w:t>
            </w:r>
          </w:p>
        </w:tc>
      </w:tr>
      <w:tr>
        <w:trPr>
          <w:trHeight w:val="110"/>
        </w:trPr>
        <w:tc>
          <w:tcPr>
            <w:tcW w:w="62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9"/>
        </w:trPr>
        <w:tc>
          <w:tcPr>
            <w:tcW w:w="624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228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Borrowings under Credit Agreement and Revolver</w:t>
            </w:r>
          </w:p>
        </w:tc>
        <w:tc>
          <w:tcPr>
            <w:tcW w:w="228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28.8</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70.0</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Repayment of Credit Agreement and Revolver</w:t>
            </w:r>
          </w:p>
        </w:tc>
        <w:tc>
          <w:tcPr>
            <w:tcW w:w="228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(28.8)</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228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78.8</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92.3</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Repayment of lines of credit</w:t>
            </w:r>
          </w:p>
        </w:tc>
        <w:tc>
          <w:tcPr>
            <w:tcW w:w="228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(65.0)</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28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228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(166.9)</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228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9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2.6</w:t>
            </w: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228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(9.3)</w:t>
            </w:r>
          </w:p>
        </w:tc>
        <w:tc>
          <w:tcPr>
            <w:tcW w:w="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2"/>
        </w:trPr>
        <w:tc>
          <w:tcPr>
            <w:tcW w:w="6240" w:type="dxa"/>
            <w:vAlign w:val="bottom"/>
          </w:tcPr>
          <w:p>
            <w:pPr>
              <w:ind w:left="16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10"/>
        </w:trPr>
        <w:tc>
          <w:tcPr>
            <w:tcW w:w="62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58"/>
        </w:trPr>
        <w:tc>
          <w:tcPr>
            <w:tcW w:w="6240" w:type="dxa"/>
            <w:vAlign w:val="bottom"/>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2280" w:type="dxa"/>
            <w:vAlign w:val="bottom"/>
          </w:tcPr>
          <w:p>
            <w:pPr>
              <w:spacing w:after="0"/>
              <w:rPr>
                <w:sz w:val="24"/>
                <w:szCs w:val="24"/>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(47.6)</w:t>
            </w:r>
          </w:p>
        </w:tc>
        <w:tc>
          <w:tcPr>
            <w:tcW w:w="9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(209.5)</w:t>
            </w:r>
          </w:p>
        </w:tc>
      </w:tr>
      <w:tr>
        <w:trPr>
          <w:trHeight w:val="222"/>
        </w:trPr>
        <w:tc>
          <w:tcPr>
            <w:tcW w:w="624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228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92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3.3</w:t>
            </w:r>
          </w:p>
        </w:tc>
      </w:tr>
      <w:tr>
        <w:trPr>
          <w:trHeight w:val="110"/>
        </w:trPr>
        <w:tc>
          <w:tcPr>
            <w:tcW w:w="62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64"/>
        </w:trPr>
        <w:tc>
          <w:tcPr>
            <w:tcW w:w="62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8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9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365"/>
        </w:trPr>
        <w:tc>
          <w:tcPr>
            <w:tcW w:w="6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8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105.3</w:t>
            </w:r>
          </w:p>
        </w:tc>
        <w:tc>
          <w:tcPr>
            <w:tcW w:w="9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244.1</w:t>
            </w:r>
          </w:p>
        </w:tc>
      </w:tr>
      <w:tr>
        <w:trPr>
          <w:trHeight w:val="110"/>
        </w:trPr>
        <w:tc>
          <w:tcPr>
            <w:tcW w:w="62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464"/>
        </w:trPr>
        <w:tc>
          <w:tcPr>
            <w:tcW w:w="62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2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rPr>
              <w:t>111.8</w:t>
            </w:r>
          </w:p>
        </w:tc>
        <w:tc>
          <w:tcPr>
            <w:tcW w:w="920" w:type="dxa"/>
            <w:vAlign w:val="bottom"/>
          </w:tcPr>
          <w:p>
            <w:pPr>
              <w:jc w:val="right"/>
              <w:ind w:right="612"/>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90.7</w:t>
            </w:r>
          </w:p>
        </w:tc>
      </w:tr>
      <w:tr>
        <w:trPr>
          <w:trHeight w:val="110"/>
        </w:trPr>
        <w:tc>
          <w:tcPr>
            <w:tcW w:w="62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9420" w:firstLine="8"/>
        <w:spacing w:after="0" w:line="605"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Principles of consolidation</w:t>
      </w:r>
    </w:p>
    <w:p>
      <w:pPr>
        <w:spacing w:after="0" w:line="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condensed consolidated financial statements include the accounts of Scholastic Corporation (the “Corporation”) and all wholly-owned and majority-owned subsidiaries (collectively, “Scholastic” or the “Company”). Intercompany transactions are eliminated in consolidation.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2011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2011 relate to the twelve-month period ended May 31, 2011.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Reportable Segments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August 31, 2011, the Company determined that its reportable segment structure is now comprised of five reportable segments:</w:t>
      </w:r>
    </w:p>
    <w:p>
      <w:pPr>
        <w:spacing w:after="0" w:line="262" w:lineRule="exact"/>
        <w:rPr>
          <w:sz w:val="20"/>
          <w:szCs w:val="20"/>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Children’s Book Publishing and Distribution</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Educational Technology and Services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Classroom and Supplemental Materials Publishing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Media, Licensing and Advertising</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International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has presented segment data in prior periods consistent with this change in reportable segments.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Company closed or sold several operations during fiscal 2009, fiscal 2010 and the first quarter of fiscal 2012, and presently holds for sale one facility. During the first quarter of fiscal 2012, the Company ceased operations in its direct-to-home catalog business specializing in toys. This business was a separate reporting unit included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and is now classified as a discontinued operation in the Company’s financial statements. See Note 3, “Discontinued Operations,” for additional information concerning discontinued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In the current fiscal quarter, 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were higher than normal due to improved sales in the trade channels. Typically, school-based book club and book fair revenues are greatest in the second and fourth quarters of the fiscal year, while revenues from the sale of instructional materials and educational technology products and services are highest in the first and fourth quarters. The Company typically experiences losses from operations in the first and third quarters of each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including; but not limited to:</w:t>
      </w:r>
    </w:p>
    <w:p>
      <w:pPr>
        <w:spacing w:after="0" w:line="239" w:lineRule="exact"/>
        <w:rPr>
          <w:sz w:val="20"/>
          <w:szCs w:val="20"/>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 returns and allowances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and other post-retirement obligations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profits for book fair operations during interim periods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taxes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Royalty advance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reward programs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testing for goodwill, intangibles and other long-lived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condensed consolidated balance sheets include restricted cash of $1.6, $0.5 and $1.1 at February 29, 2012, May 31, 2011 and February 28, 2011, respectively, which is reported in “Other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2011, the FASB issued an update to the authoritative guidance related to fair value measurements. The amendments will add new disclosures, with a particular focus on Level 3 measurements. The objective of these amendments is to improve the comparability of fair value measurements presented and disclosed in financial statements prepared in accordance with U.S. generally accepted accounting principles (“GAAP”) and International Financial Reporting Standards (“IFRS”). The disclosure amendments in this update are to be applied prospectively and are effective during interim and annual periods beginning after December 15, 2011.</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June 2011, the FASB issued an update related to the reporting of other comprehensive income. The amendments require that all non-owner changes in stockholders’ equity be presented either in a single continuous statement of comprehensive income or in two separate but consecutive statements. The amendments also require the presentation on the face of the financial statements of reclassification adjustments for items that are reclassified from other comprehensive income to net income in the statements where the components of net income and the components of other comprehensive income are presented. The amendments are effective for fiscal years, and interim periods within those years, beginning after December 15, 2011. In December 2011, the FASB issued an update that effectively deferred the requirements related to the presentation of reclassification adjustments out of accumulated other comprehensive income. The amendments will be temporary to allow the FASB time to re-deliberate the presentation requirements for reclassifications out of accumulated other comprehensive income for annual and interim financial statements for public, private and non-profit entities.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2011, the FASB issued an update to the authoritative guidance related to goodwill impairment testing. The updated guidance gives companies the option to first perform a qualitative assessment to determine whether it is more likely than not that the fair value of a reporting unit is less than its carrying amount. The guidance provides companies with a revised list of examples of events and circumstances to consider, in their totality, to determine whether it is more likely than not that the fair value of a reporting unit is less than its carrying amount. If a company concludes that this is the case, it must perform the two-step test. Otherwise, a company can skip the two-step test. Companies are not required to perform the qualitative assessment and are permitted to skip the qualitative assessment for any reporting unit in any period and proceed directly to Step 1 of the test. A company that validates its conclusion by measuring fair value can resume performing the qualitative assessment in any subsequent period. The amendments are effective for annual and interim goodwill impairment tests performed for fiscal years beginning after December 15, 2011. Early adoption is permitted, and the Company expects to adopt the update for its annual impairment test in the fourth quarter of the current fiscal year.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On January 3, 2012, the Company acquired Learners Publishing, a Singapore-based publisher of supplemental learning materials for English-Language Learners, for $2.8, net of cash acquired. As a result of this transaction, the Company recorded $1.3 of goodwill. The Company has not completed its purchase accounting for this transaction. The results of operations of this business subsequent to the acquisition date are included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On February 8, 2012, the Company acquired the business and certain assets of Weekly Reader, a publisher of weekly educational classroom magazines designed for children in grades Pre-K–12, for $2.0 in cash and $4.5 in assumed liabilities. As a result of this transaction, the Company recorded $6.5 of goodwill. The Company has not completed its purchase accounting for this transaction and expects to recognize intangible assets, such as customer lists and trade names, acquired in the transaction. The results of operations of this business subsequent to the acquisition date are included in the </w:t>
      </w:r>
      <w:r>
        <w:rPr>
          <w:rFonts w:ascii="Arial" w:cs="Arial" w:eastAsia="Arial" w:hAnsi="Arial"/>
          <w:sz w:val="16"/>
          <w:szCs w:val="16"/>
          <w:i w:val="1"/>
          <w:iCs w:val="1"/>
          <w:color w:val="auto"/>
        </w:rPr>
        <w:t>Classroom and Supplemental Materials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w:t>
      </w:r>
      <w:r>
        <w:rPr>
          <w:rFonts w:ascii="Arial" w:cs="Arial" w:eastAsia="Arial" w:hAnsi="Arial"/>
          <w:sz w:val="16"/>
          <w:szCs w:val="16"/>
          <w:color w:val="auto"/>
        </w:rPr>
        <w:t>segment, and certain assets will benefit the</w:t>
      </w:r>
      <w:r>
        <w:rPr>
          <w:rFonts w:ascii="Arial" w:cs="Arial" w:eastAsia="Arial" w:hAnsi="Arial"/>
          <w:sz w:val="16"/>
          <w:szCs w:val="16"/>
          <w:i w:val="1"/>
          <w:iCs w:val="1"/>
          <w:color w:val="auto"/>
        </w:rPr>
        <w:t xml:space="preserve"> Children’s Book Publishing and Distribution </w:t>
      </w:r>
      <w:r>
        <w:rPr>
          <w:rFonts w:ascii="Arial" w:cs="Arial" w:eastAsia="Arial" w:hAnsi="Arial"/>
          <w:sz w:val="16"/>
          <w:szCs w:val="16"/>
          <w:color w:val="auto"/>
        </w:rPr>
        <w:t>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continuously evaluates its portfolio of businesses for both impairment and economic viability. The Company monitors the expected cash proceeds to be realized from the disposition of discontinued operations’ assets, and adjusts asset values accordingly. In the first quarter of fiscal 2012, the Company ceased operations in its direct-to-home catalog business specializing in toys. This business was a separate reporting unit included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The current fiscal year loss before income taxes includes lease costs associated with a vacant facility which formerly served the Company’s direct-to-home toy catalog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8"/>
              </w:rPr>
              <w:t>Three months ended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5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February 29,</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February 28,</w:t>
            </w: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29,</w:t>
            </w: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28,</w:t>
            </w:r>
          </w:p>
        </w:tc>
        <w:tc>
          <w:tcPr>
            <w:tcW w:w="20" w:type="dxa"/>
            <w:vAlign w:val="bottom"/>
          </w:tcPr>
          <w:p>
            <w:pPr>
              <w:spacing w:after="0"/>
              <w:rPr>
                <w:sz w:val="18"/>
                <w:szCs w:val="18"/>
                <w:color w:val="auto"/>
              </w:rPr>
            </w:pPr>
          </w:p>
        </w:tc>
      </w:tr>
      <w:tr>
        <w:trPr>
          <w:trHeight w:val="228"/>
        </w:trPr>
        <w:tc>
          <w:tcPr>
            <w:tcW w:w="4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8"/>
                <w:szCs w:val="18"/>
                <w:color w:val="auto"/>
              </w:rPr>
              <w:t>Revenues</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8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9.3</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840" w:type="dxa"/>
            <w:vAlign w:val="bottom"/>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85"/>
              </w:rPr>
              <w:t>17.7</w:t>
            </w:r>
          </w:p>
        </w:tc>
        <w:tc>
          <w:tcPr>
            <w:tcW w:w="20" w:type="dxa"/>
            <w:vAlign w:val="bottom"/>
          </w:tcPr>
          <w:p>
            <w:pPr>
              <w:spacing w:after="0"/>
              <w:rPr>
                <w:sz w:val="24"/>
                <w:szCs w:val="24"/>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Non-cash impairment</w:t>
            </w:r>
          </w:p>
        </w:tc>
        <w:tc>
          <w:tcPr>
            <w:tcW w:w="148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(3.4)</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48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880" w:type="dxa"/>
            <w:vAlign w:val="bottom"/>
          </w:tcPr>
          <w:p>
            <w:pPr>
              <w:spacing w:after="0"/>
              <w:rPr>
                <w:sz w:val="18"/>
                <w:szCs w:val="18"/>
                <w:color w:val="auto"/>
              </w:rPr>
            </w:pPr>
          </w:p>
        </w:tc>
        <w:tc>
          <w:tcPr>
            <w:tcW w:w="500" w:type="dxa"/>
            <w:vAlign w:val="bottom"/>
          </w:tcPr>
          <w:p>
            <w:pPr>
              <w:jc w:val="right"/>
              <w:ind w:right="52"/>
              <w:spacing w:after="0"/>
              <w:rPr>
                <w:sz w:val="20"/>
                <w:szCs w:val="20"/>
                <w:color w:val="auto"/>
              </w:rPr>
            </w:pPr>
            <w:r>
              <w:rPr>
                <w:rFonts w:ascii="Arial" w:cs="Arial" w:eastAsia="Arial" w:hAnsi="Arial"/>
                <w:sz w:val="18"/>
                <w:szCs w:val="18"/>
                <w:color w:val="auto"/>
                <w:w w:val="91"/>
              </w:rPr>
              <w:t>(1.7)</w:t>
            </w:r>
          </w:p>
        </w:tc>
        <w:tc>
          <w:tcPr>
            <w:tcW w:w="3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20" w:type="dxa"/>
            <w:vAlign w:val="bottom"/>
          </w:tcPr>
          <w:p>
            <w:pPr>
              <w:spacing w:after="0"/>
              <w:rPr>
                <w:sz w:val="18"/>
                <w:szCs w:val="18"/>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88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14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(0.4)</w:t>
            </w:r>
          </w:p>
        </w:tc>
        <w:tc>
          <w:tcPr>
            <w:tcW w:w="880" w:type="dxa"/>
            <w:vAlign w:val="bottom"/>
          </w:tcPr>
          <w:p>
            <w:pPr>
              <w:jc w:val="right"/>
              <w:ind w:right="55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(1.1)</w:t>
            </w:r>
          </w:p>
        </w:tc>
        <w:tc>
          <w:tcPr>
            <w:tcW w:w="36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(2.9)</w:t>
            </w:r>
          </w:p>
        </w:tc>
        <w:tc>
          <w:tcPr>
            <w:tcW w:w="8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(4.6)</w:t>
            </w:r>
          </w:p>
        </w:tc>
        <w:tc>
          <w:tcPr>
            <w:tcW w:w="20" w:type="dxa"/>
            <w:vAlign w:val="bottom"/>
          </w:tcPr>
          <w:p>
            <w:pPr>
              <w:spacing w:after="0"/>
              <w:rPr>
                <w:sz w:val="24"/>
                <w:szCs w:val="24"/>
                <w:color w:val="auto"/>
              </w:rPr>
            </w:pPr>
          </w:p>
        </w:tc>
      </w:tr>
      <w:tr>
        <w:trPr>
          <w:trHeight w:val="110"/>
        </w:trPr>
        <w:tc>
          <w:tcPr>
            <w:tcW w:w="49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920" w:type="dxa"/>
            <w:vAlign w:val="bottom"/>
          </w:tcPr>
          <w:p>
            <w:pPr>
              <w:spacing w:after="0"/>
              <w:rPr>
                <w:sz w:val="24"/>
                <w:szCs w:val="24"/>
                <w:color w:val="auto"/>
              </w:rPr>
            </w:pPr>
          </w:p>
        </w:tc>
        <w:tc>
          <w:tcPr>
            <w:tcW w:w="1480" w:type="dxa"/>
            <w:vAlign w:val="bottom"/>
          </w:tcPr>
          <w:p>
            <w:pPr>
              <w:jc w:val="right"/>
              <w:ind w:right="552"/>
              <w:spacing w:after="0"/>
              <w:rPr>
                <w:sz w:val="20"/>
                <w:szCs w:val="20"/>
                <w:color w:val="auto"/>
              </w:rPr>
            </w:pPr>
            <w:r>
              <w:rPr>
                <w:rFonts w:ascii="Arial" w:cs="Arial" w:eastAsia="Arial" w:hAnsi="Arial"/>
                <w:sz w:val="18"/>
                <w:szCs w:val="18"/>
                <w:color w:val="auto"/>
              </w:rPr>
              <w:t>9</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9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308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February 29, 2012</w:t>
            </w:r>
          </w:p>
        </w:tc>
        <w:tc>
          <w:tcPr>
            <w:tcW w:w="162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May 31, 2011</w:t>
            </w:r>
          </w:p>
        </w:tc>
        <w:tc>
          <w:tcPr>
            <w:tcW w:w="18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28, 2011</w:t>
            </w:r>
          </w:p>
        </w:tc>
      </w:tr>
      <w:tr>
        <w:trPr>
          <w:trHeight w:val="110"/>
        </w:trPr>
        <w:tc>
          <w:tcPr>
            <w:tcW w:w="48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09"/>
        </w:trPr>
        <w:tc>
          <w:tcPr>
            <w:tcW w:w="48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2"/>
              <w:spacing w:after="0"/>
              <w:rPr>
                <w:sz w:val="20"/>
                <w:szCs w:val="20"/>
                <w:color w:val="auto"/>
              </w:rPr>
            </w:pPr>
            <w:r>
              <w:rPr>
                <w:rFonts w:ascii="Arial" w:cs="Arial" w:eastAsia="Arial" w:hAnsi="Arial"/>
                <w:sz w:val="18"/>
                <w:szCs w:val="18"/>
                <w:color w:val="auto"/>
              </w:rPr>
              <w:t>0.0</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Inventories, net</w:t>
            </w:r>
          </w:p>
        </w:tc>
        <w:tc>
          <w:tcPr>
            <w:tcW w:w="2040" w:type="dxa"/>
            <w:vAlign w:val="bottom"/>
          </w:tcPr>
          <w:p>
            <w:pPr>
              <w:spacing w:after="0"/>
              <w:rPr>
                <w:sz w:val="18"/>
                <w:szCs w:val="18"/>
                <w:color w:val="auto"/>
              </w:rPr>
            </w:pPr>
          </w:p>
        </w:tc>
        <w:tc>
          <w:tcPr>
            <w:tcW w:w="1040" w:type="dxa"/>
            <w:vAlign w:val="bottom"/>
          </w:tcPr>
          <w:p>
            <w:pPr>
              <w:jc w:val="right"/>
              <w:ind w:right="532"/>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1.3</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Other assets</w:t>
            </w:r>
          </w:p>
        </w:tc>
        <w:tc>
          <w:tcPr>
            <w:tcW w:w="2040" w:type="dxa"/>
            <w:vAlign w:val="bottom"/>
          </w:tcPr>
          <w:p>
            <w:pPr>
              <w:spacing w:after="0"/>
              <w:rPr>
                <w:sz w:val="19"/>
                <w:szCs w:val="19"/>
                <w:color w:val="auto"/>
              </w:rPr>
            </w:pPr>
          </w:p>
        </w:tc>
        <w:tc>
          <w:tcPr>
            <w:tcW w:w="1040" w:type="dxa"/>
            <w:vAlign w:val="bottom"/>
          </w:tcPr>
          <w:p>
            <w:pPr>
              <w:jc w:val="right"/>
              <w:ind w:right="532"/>
              <w:spacing w:after="0"/>
              <w:rPr>
                <w:sz w:val="20"/>
                <w:szCs w:val="20"/>
                <w:color w:val="auto"/>
              </w:rPr>
            </w:pPr>
            <w:r>
              <w:rPr>
                <w:rFonts w:ascii="Arial" w:cs="Arial" w:eastAsia="Arial" w:hAnsi="Arial"/>
                <w:sz w:val="18"/>
                <w:szCs w:val="18"/>
                <w:color w:val="auto"/>
              </w:rPr>
              <w:t>9.3</w:t>
            </w:r>
          </w:p>
        </w:tc>
        <w:tc>
          <w:tcPr>
            <w:tcW w:w="780" w:type="dxa"/>
            <w:vAlign w:val="bottom"/>
          </w:tcPr>
          <w:p>
            <w:pPr>
              <w:spacing w:after="0"/>
              <w:rPr>
                <w:sz w:val="19"/>
                <w:szCs w:val="19"/>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9.2</w:t>
            </w:r>
          </w:p>
        </w:tc>
        <w:tc>
          <w:tcPr>
            <w:tcW w:w="94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9.5</w:t>
            </w:r>
          </w:p>
        </w:tc>
      </w:tr>
      <w:tr>
        <w:trPr>
          <w:trHeight w:val="110"/>
        </w:trPr>
        <w:tc>
          <w:tcPr>
            <w:tcW w:w="48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4880" w:type="dxa"/>
            <w:vAlign w:val="bottom"/>
          </w:tcPr>
          <w:p>
            <w:pPr>
              <w:ind w:left="160"/>
              <w:spacing w:after="0"/>
              <w:rPr>
                <w:sz w:val="20"/>
                <w:szCs w:val="20"/>
                <w:color w:val="auto"/>
              </w:rPr>
            </w:pPr>
            <w:r>
              <w:rPr>
                <w:rFonts w:ascii="Arial" w:cs="Arial" w:eastAsia="Arial" w:hAnsi="Arial"/>
                <w:sz w:val="18"/>
                <w:szCs w:val="18"/>
                <w:b w:val="1"/>
                <w:bCs w:val="1"/>
                <w:color w:val="auto"/>
              </w:rPr>
              <w:t>Current assets of discontinued operations</w:t>
            </w:r>
          </w:p>
        </w:tc>
        <w:tc>
          <w:tcPr>
            <w:tcW w:w="20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32"/>
              <w:spacing w:after="0"/>
              <w:rPr>
                <w:sz w:val="20"/>
                <w:szCs w:val="20"/>
                <w:color w:val="auto"/>
              </w:rPr>
            </w:pPr>
            <w:r>
              <w:rPr>
                <w:rFonts w:ascii="Arial" w:cs="Arial" w:eastAsia="Arial" w:hAnsi="Arial"/>
                <w:sz w:val="18"/>
                <w:szCs w:val="18"/>
                <w:b w:val="1"/>
                <w:bCs w:val="1"/>
                <w:color w:val="auto"/>
              </w:rPr>
              <w:t>9.3</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rPr>
              <w:t>10.5</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10.8</w:t>
            </w:r>
          </w:p>
        </w:tc>
      </w:tr>
      <w:tr>
        <w:trPr>
          <w:trHeight w:val="110"/>
        </w:trPr>
        <w:tc>
          <w:tcPr>
            <w:tcW w:w="48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58"/>
        </w:trPr>
        <w:tc>
          <w:tcPr>
            <w:tcW w:w="4880" w:type="dxa"/>
            <w:vAlign w:val="bottom"/>
          </w:tcPr>
          <w:p>
            <w:pPr>
              <w:spacing w:after="0"/>
              <w:rPr>
                <w:sz w:val="20"/>
                <w:szCs w:val="20"/>
                <w:color w:val="auto"/>
              </w:rPr>
            </w:pPr>
            <w:r>
              <w:rPr>
                <w:rFonts w:ascii="Arial" w:cs="Arial" w:eastAsia="Arial" w:hAnsi="Arial"/>
                <w:sz w:val="18"/>
                <w:szCs w:val="18"/>
                <w:color w:val="auto"/>
              </w:rPr>
              <w:t>Accounts payable</w:t>
            </w:r>
          </w:p>
        </w:tc>
        <w:tc>
          <w:tcPr>
            <w:tcW w:w="2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2"/>
              <w:spacing w:after="0"/>
              <w:rPr>
                <w:sz w:val="20"/>
                <w:szCs w:val="20"/>
                <w:color w:val="auto"/>
              </w:rPr>
            </w:pPr>
            <w:r>
              <w:rPr>
                <w:rFonts w:ascii="Arial" w:cs="Arial" w:eastAsia="Arial" w:hAnsi="Arial"/>
                <w:sz w:val="18"/>
                <w:szCs w:val="18"/>
                <w:color w:val="auto"/>
              </w:rPr>
              <w:t>0.0</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0.2</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0.4</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40" w:type="dxa"/>
            <w:vAlign w:val="bottom"/>
          </w:tcPr>
          <w:p>
            <w:pPr>
              <w:spacing w:after="0"/>
              <w:rPr>
                <w:sz w:val="19"/>
                <w:szCs w:val="19"/>
                <w:color w:val="auto"/>
              </w:rPr>
            </w:pPr>
          </w:p>
        </w:tc>
        <w:tc>
          <w:tcPr>
            <w:tcW w:w="1040" w:type="dxa"/>
            <w:vAlign w:val="bottom"/>
          </w:tcPr>
          <w:p>
            <w:pPr>
              <w:jc w:val="right"/>
              <w:ind w:right="532"/>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19"/>
                <w:szCs w:val="19"/>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color w:val="auto"/>
              </w:rPr>
              <w:t>0.6</w:t>
            </w:r>
          </w:p>
        </w:tc>
        <w:tc>
          <w:tcPr>
            <w:tcW w:w="94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0.6</w:t>
            </w:r>
          </w:p>
        </w:tc>
      </w:tr>
      <w:tr>
        <w:trPr>
          <w:trHeight w:val="110"/>
        </w:trPr>
        <w:tc>
          <w:tcPr>
            <w:tcW w:w="48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464"/>
        </w:trPr>
        <w:tc>
          <w:tcPr>
            <w:tcW w:w="488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0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32"/>
              <w:spacing w:after="0"/>
              <w:rPr>
                <w:sz w:val="20"/>
                <w:szCs w:val="20"/>
                <w:color w:val="auto"/>
              </w:rPr>
            </w:pPr>
            <w:r>
              <w:rPr>
                <w:rFonts w:ascii="Arial" w:cs="Arial" w:eastAsia="Arial" w:hAnsi="Arial"/>
                <w:sz w:val="18"/>
                <w:szCs w:val="18"/>
                <w:b w:val="1"/>
                <w:bCs w:val="1"/>
                <w:color w:val="auto"/>
              </w:rPr>
              <w:t>1.2</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rPr>
              <w:t>0.8</w:t>
            </w: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1.0</w:t>
            </w:r>
          </w:p>
        </w:tc>
      </w:tr>
      <w:tr>
        <w:trPr>
          <w:trHeight w:val="110"/>
        </w:trPr>
        <w:tc>
          <w:tcPr>
            <w:tcW w:w="48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The Company categorizes its businesses into five reportable segments: </w:t>
      </w:r>
      <w:r>
        <w:rPr>
          <w:rFonts w:ascii="Arial" w:cs="Arial" w:eastAsia="Arial" w:hAnsi="Arial"/>
          <w:sz w:val="16"/>
          <w:szCs w:val="16"/>
          <w:i w:val="1"/>
          <w:iCs w:val="1"/>
          <w:color w:val="auto"/>
        </w:rPr>
        <w:t>Children’s Book Publishing and Distribution; Educational Technology and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Classroom and Supplemental Materials Publishing; Media, Licensing and Advertising; </w:t>
      </w:r>
      <w:r>
        <w:rPr>
          <w:rFonts w:ascii="Arial" w:cs="Arial" w:eastAsia="Arial" w:hAnsi="Arial"/>
          <w:sz w:val="16"/>
          <w:szCs w:val="16"/>
          <w:color w:val="auto"/>
        </w:rPr>
        <w:t>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88"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media</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interactive products in the United States through school-based book clubs and book fairs and the trade channel. This segment is comprised of three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ind w:left="540" w:right="400"/>
        <w:spacing w:after="0" w:line="259" w:lineRule="auto"/>
        <w:rPr>
          <w:sz w:val="20"/>
          <w:szCs w:val="20"/>
          <w:color w:val="auto"/>
        </w:rPr>
      </w:pPr>
      <w:r>
        <w:rPr>
          <w:rFonts w:ascii="Arial" w:cs="Arial" w:eastAsia="Arial" w:hAnsi="Arial"/>
          <w:sz w:val="18"/>
          <w:szCs w:val="18"/>
          <w:i w:val="1"/>
          <w:iCs w:val="1"/>
          <w:color w:val="auto"/>
        </w:rPr>
        <w:t xml:space="preserve">Educational Technology and Services </w:t>
      </w:r>
      <w:r>
        <w:rPr>
          <w:rFonts w:ascii="Arial" w:cs="Arial" w:eastAsia="Arial" w:hAnsi="Arial"/>
          <w:sz w:val="18"/>
          <w:szCs w:val="18"/>
          <w:color w:val="auto"/>
        </w:rPr>
        <w:t>includes the production and distribution to schools of curriculum-based learning technology and materials for</w:t>
      </w:r>
      <w:r>
        <w:rPr>
          <w:rFonts w:ascii="Arial" w:cs="Arial" w:eastAsia="Arial" w:hAnsi="Arial"/>
          <w:sz w:val="18"/>
          <w:szCs w:val="18"/>
          <w:i w:val="1"/>
          <w:iCs w:val="1"/>
          <w:color w:val="auto"/>
        </w:rPr>
        <w:t xml:space="preserve"> </w:t>
      </w:r>
      <w:r>
        <w:rPr>
          <w:rFonts w:ascii="Arial" w:cs="Arial" w:eastAsia="Arial" w:hAnsi="Arial"/>
          <w:sz w:val="18"/>
          <w:szCs w:val="18"/>
          <w:color w:val="auto"/>
        </w:rPr>
        <w:t>grades pre-kindergarten to 12 in the United States, together with related implementation and assessment services and school consulting services. This segment is comprised of one operating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ind w:left="540" w:right="380"/>
        <w:spacing w:after="0" w:line="259" w:lineRule="auto"/>
        <w:rPr>
          <w:sz w:val="20"/>
          <w:szCs w:val="20"/>
          <w:color w:val="auto"/>
        </w:rPr>
      </w:pPr>
      <w:r>
        <w:rPr>
          <w:rFonts w:ascii="Arial" w:cs="Arial" w:eastAsia="Arial" w:hAnsi="Arial"/>
          <w:sz w:val="18"/>
          <w:szCs w:val="18"/>
          <w:i w:val="1"/>
          <w:iCs w:val="1"/>
          <w:color w:val="auto"/>
        </w:rPr>
        <w:t xml:space="preserve">Classroom and Supplemental Materials Publishing </w:t>
      </w:r>
      <w:r>
        <w:rPr>
          <w:rFonts w:ascii="Arial" w:cs="Arial" w:eastAsia="Arial" w:hAnsi="Arial"/>
          <w:sz w:val="18"/>
          <w:szCs w:val="18"/>
          <w:color w:val="auto"/>
        </w:rPr>
        <w:t>includes the publication and distribution to schools and libraries of children’s books, classroom</w:t>
      </w:r>
      <w:r>
        <w:rPr>
          <w:rFonts w:ascii="Arial" w:cs="Arial" w:eastAsia="Arial" w:hAnsi="Arial"/>
          <w:sz w:val="18"/>
          <w:szCs w:val="18"/>
          <w:i w:val="1"/>
          <w:iCs w:val="1"/>
          <w:color w:val="auto"/>
        </w:rPr>
        <w:t xml:space="preserve"> </w:t>
      </w:r>
      <w:r>
        <w:rPr>
          <w:rFonts w:ascii="Arial" w:cs="Arial" w:eastAsia="Arial" w:hAnsi="Arial"/>
          <w:sz w:val="18"/>
          <w:szCs w:val="18"/>
          <w:color w:val="auto"/>
        </w:rPr>
        <w:t>magazines, supplemental classroom materials and print and on-line reference and non-fiction products for grades pre-kindergarten to 12 in the United States. This segment is comprised of two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consumer promotions and merchandising and advertising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sponsorship programs. This segment is comprised of two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export and foreign rights businesses. This segment is comprised of two operating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90"/>
              </w:rPr>
              <w:t>Children’s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Book</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Educational</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Classroom and</w:t>
            </w:r>
          </w:p>
        </w:tc>
        <w:tc>
          <w:tcPr>
            <w:tcW w:w="16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1"/>
              </w:rPr>
              <w:t>Media,</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Publishing</w:t>
            </w:r>
          </w:p>
        </w:tc>
        <w:tc>
          <w:tcPr>
            <w:tcW w:w="160" w:type="dxa"/>
            <w:vAlign w:val="bottom"/>
          </w:tcPr>
          <w:p>
            <w:pPr>
              <w:spacing w:after="0"/>
              <w:rPr>
                <w:sz w:val="12"/>
                <w:szCs w:val="12"/>
                <w:color w:val="auto"/>
              </w:rPr>
            </w:pPr>
          </w:p>
        </w:tc>
        <w:tc>
          <w:tcPr>
            <w:tcW w:w="8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3"/>
              </w:rPr>
              <w:t>Technology</w:t>
            </w:r>
          </w:p>
        </w:tc>
        <w:tc>
          <w:tcPr>
            <w:tcW w:w="14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16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Licensing</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gridSpan w:val="2"/>
            <w:vMerge w:val="restart"/>
          </w:tcPr>
          <w:p>
            <w:pPr>
              <w:jc w:val="right"/>
              <w:ind w:right="113"/>
              <w:spacing w:after="0"/>
              <w:rPr>
                <w:sz w:val="20"/>
                <w:szCs w:val="20"/>
                <w:color w:val="auto"/>
              </w:rPr>
            </w:pPr>
            <w:r>
              <w:rPr>
                <w:rFonts w:ascii="Arial" w:cs="Arial" w:eastAsia="Arial" w:hAnsi="Arial"/>
                <w:sz w:val="14"/>
                <w:szCs w:val="14"/>
                <w:b w:val="1"/>
                <w:bCs w:val="1"/>
                <w:color w:val="auto"/>
                <w:w w:val="98"/>
              </w:rPr>
              <w:t>International</w:t>
            </w:r>
            <w:r>
              <w:rPr>
                <w:rFonts w:ascii="Arial" w:cs="Arial" w:eastAsia="Arial" w:hAnsi="Arial"/>
                <w:sz w:val="22"/>
                <w:szCs w:val="22"/>
                <w:b w:val="1"/>
                <w:bCs w:val="1"/>
                <w:color w:val="auto"/>
                <w:w w:val="98"/>
                <w:vertAlign w:val="superscript"/>
              </w:rPr>
              <w:t>(1)</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4"/>
                <w:szCs w:val="14"/>
                <w:color w:val="auto"/>
              </w:rPr>
            </w:pPr>
          </w:p>
        </w:tc>
        <w:tc>
          <w:tcPr>
            <w:tcW w:w="880" w:type="dxa"/>
            <w:vAlign w:val="bottom"/>
          </w:tcPr>
          <w:p>
            <w:pPr>
              <w:jc w:val="center"/>
              <w:ind w:right="152"/>
              <w:spacing w:after="0"/>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4"/>
                <w:szCs w:val="14"/>
                <w:color w:val="auto"/>
              </w:rPr>
            </w:pPr>
          </w:p>
        </w:tc>
        <w:tc>
          <w:tcPr>
            <w:tcW w:w="100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Materials</w:t>
            </w:r>
          </w:p>
        </w:tc>
        <w:tc>
          <w:tcPr>
            <w:tcW w:w="160" w:type="dxa"/>
            <w:vAlign w:val="bottom"/>
          </w:tcPr>
          <w:p>
            <w:pPr>
              <w:spacing w:after="0"/>
              <w:rPr>
                <w:sz w:val="14"/>
                <w:szCs w:val="14"/>
                <w:color w:val="auto"/>
              </w:rPr>
            </w:pPr>
          </w:p>
        </w:tc>
        <w:tc>
          <w:tcPr>
            <w:tcW w:w="1000" w:type="dxa"/>
            <w:vAlign w:val="bottom"/>
          </w:tcPr>
          <w:p>
            <w:pPr>
              <w:jc w:val="center"/>
              <w:ind w:right="152"/>
              <w:spacing w:after="0"/>
              <w:rPr>
                <w:sz w:val="20"/>
                <w:szCs w:val="20"/>
                <w:color w:val="auto"/>
              </w:rPr>
            </w:pPr>
            <w:r>
              <w:rPr>
                <w:rFonts w:ascii="Arial" w:cs="Arial" w:eastAsia="Arial" w:hAnsi="Arial"/>
                <w:sz w:val="14"/>
                <w:szCs w:val="14"/>
                <w:b w:val="1"/>
                <w:bCs w:val="1"/>
                <w:color w:val="auto"/>
                <w:w w:val="88"/>
              </w:rPr>
              <w:t>and</w:t>
            </w:r>
          </w:p>
        </w:tc>
        <w:tc>
          <w:tcPr>
            <w:tcW w:w="116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95"/>
              </w:rPr>
              <w:t>Overhead</w:t>
            </w:r>
            <w:r>
              <w:rPr>
                <w:rFonts w:ascii="Arial" w:cs="Arial" w:eastAsia="Arial" w:hAnsi="Arial"/>
                <w:sz w:val="22"/>
                <w:szCs w:val="22"/>
                <w:b w:val="1"/>
                <w:bCs w:val="1"/>
                <w:color w:val="auto"/>
                <w:w w:val="95"/>
                <w:vertAlign w:val="superscript"/>
              </w:rPr>
              <w:t>(1)(4)</w:t>
            </w:r>
          </w:p>
        </w:tc>
        <w:tc>
          <w:tcPr>
            <w:tcW w:w="160" w:type="dxa"/>
            <w:vAlign w:val="bottom"/>
          </w:tcPr>
          <w:p>
            <w:pPr>
              <w:spacing w:after="0"/>
              <w:rPr>
                <w:sz w:val="14"/>
                <w:szCs w:val="14"/>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6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Distribution</w:t>
            </w:r>
            <w:r>
              <w:rPr>
                <w:rFonts w:ascii="Arial" w:cs="Arial" w:eastAsia="Arial" w:hAnsi="Arial"/>
                <w:sz w:val="22"/>
                <w:szCs w:val="22"/>
                <w:b w:val="1"/>
                <w:bCs w:val="1"/>
                <w:color w:val="auto"/>
                <w:w w:val="84"/>
                <w:vertAlign w:val="superscript"/>
              </w:rPr>
              <w:t>(1)</w:t>
            </w:r>
          </w:p>
        </w:tc>
        <w:tc>
          <w:tcPr>
            <w:tcW w:w="10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79"/>
              </w:rPr>
              <w:t>Services</w:t>
            </w:r>
            <w:r>
              <w:rPr>
                <w:rFonts w:ascii="Arial" w:cs="Arial" w:eastAsia="Arial" w:hAnsi="Arial"/>
                <w:sz w:val="22"/>
                <w:szCs w:val="22"/>
                <w:b w:val="1"/>
                <w:bCs w:val="1"/>
                <w:color w:val="auto"/>
                <w:w w:val="79"/>
                <w:vertAlign w:val="superscript"/>
              </w:rPr>
              <w:t>(1)(2)</w:t>
            </w:r>
          </w:p>
        </w:tc>
        <w:tc>
          <w:tcPr>
            <w:tcW w:w="11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0"/>
              </w:rPr>
              <w:t>Publishing</w:t>
            </w:r>
            <w:r>
              <w:rPr>
                <w:rFonts w:ascii="Arial" w:cs="Arial" w:eastAsia="Arial" w:hAnsi="Arial"/>
                <w:sz w:val="22"/>
                <w:szCs w:val="22"/>
                <w:b w:val="1"/>
                <w:bCs w:val="1"/>
                <w:color w:val="auto"/>
                <w:w w:val="80"/>
                <w:vertAlign w:val="superscript"/>
              </w:rPr>
              <w:t>(1) (3)</w:t>
            </w: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center"/>
              <w:ind w:right="132"/>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160" w:type="dxa"/>
            <w:vAlign w:val="bottom"/>
            <w:tcBorders>
              <w:bottom w:val="single" w:sz="8" w:color="808080"/>
            </w:tcBorders>
            <w:gridSpan w:val="2"/>
            <w:vMerge w:val="continue"/>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152"/>
              <w:spacing w:after="0"/>
              <w:rPr>
                <w:sz w:val="20"/>
                <w:szCs w:val="20"/>
                <w:color w:val="auto"/>
              </w:rPr>
            </w:pPr>
            <w:r>
              <w:rPr>
                <w:rFonts w:ascii="Arial" w:cs="Arial" w:eastAsia="Arial" w:hAnsi="Arial"/>
                <w:sz w:val="14"/>
                <w:szCs w:val="14"/>
                <w:b w:val="1"/>
                <w:bCs w:val="1"/>
                <w:color w:val="auto"/>
                <w:w w:val="82"/>
              </w:rPr>
              <w:t>Domestic</w:t>
            </w: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493"/>
              <w:spacing w:after="0"/>
              <w:rPr>
                <w:sz w:val="20"/>
                <w:szCs w:val="20"/>
                <w:color w:val="auto"/>
              </w:rPr>
            </w:pPr>
            <w:r>
              <w:rPr>
                <w:rFonts w:ascii="Arial" w:cs="Arial" w:eastAsia="Arial" w:hAnsi="Arial"/>
                <w:sz w:val="11"/>
                <w:szCs w:val="11"/>
                <w:b w:val="1"/>
                <w:bCs w:val="1"/>
                <w:color w:val="auto"/>
              </w:rPr>
              <w:t>(5)</w:t>
            </w:r>
          </w:p>
        </w:tc>
        <w:tc>
          <w:tcPr>
            <w:tcW w:w="2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680" w:type="dxa"/>
            <w:vAlign w:val="bottom"/>
          </w:tcPr>
          <w:p>
            <w:pPr>
              <w:spacing w:after="0"/>
              <w:rPr>
                <w:sz w:val="20"/>
                <w:szCs w:val="20"/>
                <w:color w:val="auto"/>
              </w:rPr>
            </w:pPr>
            <w:r>
              <w:rPr>
                <w:rFonts w:ascii="Arial" w:cs="Arial" w:eastAsia="Arial" w:hAnsi="Arial"/>
                <w:sz w:val="14"/>
                <w:szCs w:val="14"/>
                <w:b w:val="1"/>
                <w:bCs w:val="1"/>
                <w:color w:val="auto"/>
              </w:rPr>
              <w:t>February 29, 2012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6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266.0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40.0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38.2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17.2</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361.4</w:t>
            </w:r>
          </w:p>
        </w:tc>
        <w:tc>
          <w:tcPr>
            <w:tcW w:w="3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105.6</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467.0</w:t>
            </w:r>
          </w:p>
        </w:tc>
        <w:tc>
          <w:tcPr>
            <w:tcW w:w="0" w:type="dxa"/>
            <w:vAlign w:val="bottom"/>
          </w:tcPr>
          <w:p>
            <w:pPr>
              <w:spacing w:after="0"/>
              <w:rPr>
                <w:sz w:val="1"/>
                <w:szCs w:val="1"/>
                <w:color w:val="auto"/>
              </w:rPr>
            </w:pPr>
          </w:p>
        </w:tc>
      </w:tr>
      <w:tr>
        <w:trPr>
          <w:trHeight w:val="144"/>
        </w:trPr>
        <w:tc>
          <w:tcPr>
            <w:tcW w:w="26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40" w:type="dxa"/>
            <w:vAlign w:val="bottom"/>
          </w:tcPr>
          <w:p>
            <w:pPr>
              <w:spacing w:after="0"/>
              <w:rPr>
                <w:sz w:val="12"/>
                <w:szCs w:val="12"/>
                <w:color w:val="auto"/>
              </w:rPr>
            </w:pP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8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0.3</w:t>
            </w:r>
          </w:p>
        </w:tc>
        <w:tc>
          <w:tcPr>
            <w:tcW w:w="140" w:type="dxa"/>
            <w:vAlign w:val="bottom"/>
          </w:tcPr>
          <w:p>
            <w:pPr>
              <w:spacing w:after="0"/>
              <w:rPr>
                <w:sz w:val="12"/>
                <w:szCs w:val="12"/>
                <w:color w:val="auto"/>
              </w:rPr>
            </w:pPr>
          </w:p>
        </w:tc>
        <w:tc>
          <w:tcPr>
            <w:tcW w:w="10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10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2.3</w:t>
            </w:r>
          </w:p>
        </w:tc>
        <w:tc>
          <w:tcPr>
            <w:tcW w:w="340" w:type="dxa"/>
            <w:vAlign w:val="bottom"/>
          </w:tcPr>
          <w:p>
            <w:pPr>
              <w:spacing w:after="0"/>
              <w:rPr>
                <w:sz w:val="12"/>
                <w:szCs w:val="12"/>
                <w:color w:val="auto"/>
              </w:rPr>
            </w:pPr>
          </w:p>
        </w:tc>
        <w:tc>
          <w:tcPr>
            <w:tcW w:w="860" w:type="dxa"/>
            <w:vAlign w:val="bottom"/>
          </w:tcPr>
          <w:p>
            <w:pPr>
              <w:jc w:val="right"/>
              <w:ind w:right="73"/>
              <w:spacing w:after="0" w:line="144" w:lineRule="exact"/>
              <w:rPr>
                <w:sz w:val="20"/>
                <w:szCs w:val="20"/>
                <w:color w:val="auto"/>
              </w:rPr>
            </w:pPr>
            <w:r>
              <w:rPr>
                <w:rFonts w:ascii="Arial" w:cs="Arial" w:eastAsia="Arial" w:hAnsi="Arial"/>
                <w:sz w:val="14"/>
                <w:szCs w:val="14"/>
                <w:color w:val="auto"/>
              </w:rPr>
              <w:t>0.8</w:t>
            </w:r>
          </w:p>
        </w:tc>
        <w:tc>
          <w:tcPr>
            <w:tcW w:w="24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6"/>
        </w:trPr>
        <w:tc>
          <w:tcPr>
            <w:tcW w:w="26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2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9.1</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0"/>
        </w:trPr>
        <w:tc>
          <w:tcPr>
            <w:tcW w:w="26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2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1.5</w:t>
            </w:r>
          </w:p>
        </w:tc>
        <w:tc>
          <w:tcPr>
            <w:tcW w:w="46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11.4</w:t>
            </w:r>
          </w:p>
        </w:tc>
        <w:tc>
          <w:tcPr>
            <w:tcW w:w="34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Loss on leases and asset impairments</w:t>
            </w:r>
          </w:p>
        </w:tc>
        <w:tc>
          <w:tcPr>
            <w:tcW w:w="24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0.5</w:t>
            </w:r>
          </w:p>
        </w:tc>
        <w:tc>
          <w:tcPr>
            <w:tcW w:w="16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0.5</w:t>
            </w:r>
          </w:p>
        </w:tc>
        <w:tc>
          <w:tcPr>
            <w:tcW w:w="340" w:type="dxa"/>
            <w:vAlign w:val="bottom"/>
          </w:tcPr>
          <w:p>
            <w:pPr>
              <w:spacing w:after="0"/>
              <w:rPr>
                <w:sz w:val="12"/>
                <w:szCs w:val="12"/>
                <w:color w:val="auto"/>
              </w:rPr>
            </w:pPr>
          </w:p>
        </w:tc>
        <w:tc>
          <w:tcPr>
            <w:tcW w:w="8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24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11.8</w:t>
            </w:r>
          </w:p>
        </w:tc>
        <w:tc>
          <w:tcPr>
            <w:tcW w:w="16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w:t>
            </w:r>
          </w:p>
        </w:tc>
        <w:tc>
          <w:tcPr>
            <w:tcW w:w="14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(0.8)</w:t>
            </w:r>
          </w:p>
        </w:tc>
        <w:tc>
          <w:tcPr>
            <w:tcW w:w="4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(17.9)</w:t>
            </w:r>
          </w:p>
        </w:tc>
        <w:tc>
          <w:tcPr>
            <w:tcW w:w="16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(16.2)</w:t>
            </w:r>
          </w:p>
        </w:tc>
        <w:tc>
          <w:tcPr>
            <w:tcW w:w="340" w:type="dxa"/>
            <w:vAlign w:val="bottom"/>
          </w:tcPr>
          <w:p>
            <w:pPr>
              <w:spacing w:after="0"/>
              <w:rPr>
                <w:sz w:val="12"/>
                <w:szCs w:val="12"/>
                <w:color w:val="auto"/>
              </w:rPr>
            </w:pPr>
          </w:p>
        </w:tc>
        <w:tc>
          <w:tcPr>
            <w:tcW w:w="8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4.3</w:t>
            </w:r>
          </w:p>
        </w:tc>
        <w:tc>
          <w:tcPr>
            <w:tcW w:w="2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w w:val="92"/>
              </w:rPr>
              <w:t>Expenditures for long-lived assets including</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320"/>
              <w:spacing w:after="0"/>
              <w:rPr>
                <w:sz w:val="20"/>
                <w:szCs w:val="20"/>
                <w:color w:val="auto"/>
              </w:rPr>
            </w:pPr>
            <w:r>
              <w:rPr>
                <w:rFonts w:ascii="Arial" w:cs="Arial" w:eastAsia="Arial" w:hAnsi="Arial"/>
                <w:sz w:val="14"/>
                <w:szCs w:val="14"/>
                <w:color w:val="auto"/>
              </w:rPr>
              <w:t>royalty advances</w:t>
            </w:r>
          </w:p>
        </w:tc>
        <w:tc>
          <w:tcPr>
            <w:tcW w:w="24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11.7</w:t>
            </w:r>
          </w:p>
        </w:tc>
        <w:tc>
          <w:tcPr>
            <w:tcW w:w="16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46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34.0</w:t>
            </w:r>
          </w:p>
        </w:tc>
        <w:tc>
          <w:tcPr>
            <w:tcW w:w="34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5.1</w:t>
            </w:r>
          </w:p>
        </w:tc>
        <w:tc>
          <w:tcPr>
            <w:tcW w:w="24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44"/>
        </w:trPr>
        <w:tc>
          <w:tcPr>
            <w:tcW w:w="26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680" w:type="dxa"/>
            <w:vAlign w:val="bottom"/>
          </w:tcPr>
          <w:p>
            <w:pPr>
              <w:spacing w:after="0"/>
              <w:rPr>
                <w:sz w:val="20"/>
                <w:szCs w:val="20"/>
                <w:color w:val="auto"/>
              </w:rPr>
            </w:pPr>
            <w:r>
              <w:rPr>
                <w:rFonts w:ascii="Arial" w:cs="Arial" w:eastAsia="Arial" w:hAnsi="Arial"/>
                <w:sz w:val="14"/>
                <w:szCs w:val="14"/>
                <w:b w:val="1"/>
                <w:bCs w:val="1"/>
                <w:color w:val="auto"/>
              </w:rPr>
              <w:t>February 28, 2011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6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193.0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38.2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43.1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14.9</w:t>
            </w:r>
          </w:p>
        </w:tc>
        <w:tc>
          <w:tcPr>
            <w:tcW w:w="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289.2</w:t>
            </w:r>
          </w:p>
        </w:tc>
        <w:tc>
          <w:tcPr>
            <w:tcW w:w="3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95.1</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384.3</w:t>
            </w:r>
          </w:p>
        </w:tc>
        <w:tc>
          <w:tcPr>
            <w:tcW w:w="0" w:type="dxa"/>
            <w:vAlign w:val="bottom"/>
          </w:tcPr>
          <w:p>
            <w:pPr>
              <w:spacing w:after="0"/>
              <w:rPr>
                <w:sz w:val="1"/>
                <w:szCs w:val="1"/>
                <w:color w:val="auto"/>
              </w:rPr>
            </w:pPr>
          </w:p>
        </w:tc>
      </w:tr>
      <w:tr>
        <w:trPr>
          <w:trHeight w:val="144"/>
        </w:trPr>
        <w:tc>
          <w:tcPr>
            <w:tcW w:w="26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40" w:type="dxa"/>
            <w:vAlign w:val="bottom"/>
          </w:tcPr>
          <w:p>
            <w:pPr>
              <w:spacing w:after="0"/>
              <w:rPr>
                <w:sz w:val="12"/>
                <w:szCs w:val="12"/>
                <w:color w:val="auto"/>
              </w:rPr>
            </w:pP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4.7</w:t>
            </w:r>
          </w:p>
        </w:tc>
        <w:tc>
          <w:tcPr>
            <w:tcW w:w="160" w:type="dxa"/>
            <w:vAlign w:val="bottom"/>
          </w:tcPr>
          <w:p>
            <w:pPr>
              <w:spacing w:after="0"/>
              <w:rPr>
                <w:sz w:val="12"/>
                <w:szCs w:val="12"/>
                <w:color w:val="auto"/>
              </w:rPr>
            </w:pPr>
          </w:p>
        </w:tc>
        <w:tc>
          <w:tcPr>
            <w:tcW w:w="8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0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0.1</w:t>
            </w:r>
          </w:p>
        </w:tc>
        <w:tc>
          <w:tcPr>
            <w:tcW w:w="460" w:type="dxa"/>
            <w:vAlign w:val="bottom"/>
          </w:tcPr>
          <w:p>
            <w:pPr>
              <w:spacing w:after="0"/>
              <w:rPr>
                <w:sz w:val="12"/>
                <w:szCs w:val="12"/>
                <w:color w:val="auto"/>
              </w:rPr>
            </w:pPr>
          </w:p>
        </w:tc>
        <w:tc>
          <w:tcPr>
            <w:tcW w:w="7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5.8</w:t>
            </w:r>
          </w:p>
        </w:tc>
        <w:tc>
          <w:tcPr>
            <w:tcW w:w="340" w:type="dxa"/>
            <w:vAlign w:val="bottom"/>
          </w:tcPr>
          <w:p>
            <w:pPr>
              <w:spacing w:after="0"/>
              <w:rPr>
                <w:sz w:val="12"/>
                <w:szCs w:val="12"/>
                <w:color w:val="auto"/>
              </w:rPr>
            </w:pPr>
          </w:p>
        </w:tc>
        <w:tc>
          <w:tcPr>
            <w:tcW w:w="860" w:type="dxa"/>
            <w:vAlign w:val="bottom"/>
          </w:tcPr>
          <w:p>
            <w:pPr>
              <w:jc w:val="right"/>
              <w:ind w:right="73"/>
              <w:spacing w:after="0" w:line="144" w:lineRule="exact"/>
              <w:rPr>
                <w:sz w:val="20"/>
                <w:szCs w:val="20"/>
                <w:color w:val="auto"/>
              </w:rPr>
            </w:pPr>
            <w:r>
              <w:rPr>
                <w:rFonts w:ascii="Arial" w:cs="Arial" w:eastAsia="Arial" w:hAnsi="Arial"/>
                <w:sz w:val="14"/>
                <w:szCs w:val="14"/>
                <w:color w:val="auto"/>
              </w:rPr>
              <w:t>0.9</w:t>
            </w:r>
          </w:p>
        </w:tc>
        <w:tc>
          <w:tcPr>
            <w:tcW w:w="24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6"/>
        </w:trPr>
        <w:tc>
          <w:tcPr>
            <w:tcW w:w="26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2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8.3</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13.0</w:t>
            </w:r>
          </w:p>
        </w:tc>
        <w:tc>
          <w:tcPr>
            <w:tcW w:w="34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0"/>
        </w:trPr>
        <w:tc>
          <w:tcPr>
            <w:tcW w:w="26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24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5"/>
                <w:szCs w:val="15"/>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1.8</w:t>
            </w:r>
          </w:p>
        </w:tc>
        <w:tc>
          <w:tcPr>
            <w:tcW w:w="46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10.2</w:t>
            </w:r>
          </w:p>
        </w:tc>
        <w:tc>
          <w:tcPr>
            <w:tcW w:w="34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Loss on leases and asset impairments</w:t>
            </w:r>
          </w:p>
        </w:tc>
        <w:tc>
          <w:tcPr>
            <w:tcW w:w="24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60" w:type="dxa"/>
            <w:vAlign w:val="bottom"/>
          </w:tcPr>
          <w:p>
            <w:pPr>
              <w:jc w:val="right"/>
              <w:ind w:right="73"/>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24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w:t>
            </w:r>
          </w:p>
        </w:tc>
        <w:tc>
          <w:tcPr>
            <w:tcW w:w="16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w:t>
            </w:r>
          </w:p>
        </w:tc>
        <w:tc>
          <w:tcPr>
            <w:tcW w:w="460" w:type="dxa"/>
            <w:vAlign w:val="bottom"/>
          </w:tcPr>
          <w:p>
            <w:pPr>
              <w:spacing w:after="0"/>
              <w:rPr>
                <w:sz w:val="12"/>
                <w:szCs w:val="12"/>
                <w:color w:val="auto"/>
              </w:rPr>
            </w:pP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(13.1)</w:t>
            </w:r>
          </w:p>
        </w:tc>
        <w:tc>
          <w:tcPr>
            <w:tcW w:w="16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(28.6)</w:t>
            </w:r>
          </w:p>
        </w:tc>
        <w:tc>
          <w:tcPr>
            <w:tcW w:w="340" w:type="dxa"/>
            <w:vAlign w:val="bottom"/>
          </w:tcPr>
          <w:p>
            <w:pPr>
              <w:spacing w:after="0"/>
              <w:rPr>
                <w:sz w:val="12"/>
                <w:szCs w:val="12"/>
                <w:color w:val="auto"/>
              </w:rPr>
            </w:pPr>
          </w:p>
        </w:tc>
        <w:tc>
          <w:tcPr>
            <w:tcW w:w="8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w w:val="92"/>
              </w:rPr>
              <w:t>Expenditures for long-lived assets including</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680" w:type="dxa"/>
            <w:vAlign w:val="bottom"/>
          </w:tcPr>
          <w:p>
            <w:pPr>
              <w:ind w:left="320"/>
              <w:spacing w:after="0"/>
              <w:rPr>
                <w:sz w:val="20"/>
                <w:szCs w:val="20"/>
                <w:color w:val="auto"/>
              </w:rPr>
            </w:pPr>
            <w:r>
              <w:rPr>
                <w:rFonts w:ascii="Arial" w:cs="Arial" w:eastAsia="Arial" w:hAnsi="Arial"/>
                <w:sz w:val="14"/>
                <w:szCs w:val="14"/>
                <w:color w:val="auto"/>
              </w:rPr>
              <w:t>royalty advances</w:t>
            </w:r>
          </w:p>
        </w:tc>
        <w:tc>
          <w:tcPr>
            <w:tcW w:w="24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14"/>
                <w:szCs w:val="14"/>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1.6</w:t>
            </w:r>
          </w:p>
        </w:tc>
        <w:tc>
          <w:tcPr>
            <w:tcW w:w="460" w:type="dxa"/>
            <w:vAlign w:val="bottom"/>
          </w:tcPr>
          <w:p>
            <w:pPr>
              <w:spacing w:after="0"/>
              <w:rPr>
                <w:sz w:val="14"/>
                <w:szCs w:val="1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25.1</w:t>
            </w:r>
          </w:p>
        </w:tc>
        <w:tc>
          <w:tcPr>
            <w:tcW w:w="34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152"/>
              <w:spacing w:after="0"/>
              <w:rPr>
                <w:sz w:val="20"/>
                <w:szCs w:val="20"/>
                <w:color w:val="auto"/>
              </w:rPr>
            </w:pPr>
            <w:r>
              <w:rPr>
                <w:rFonts w:ascii="Arial" w:cs="Arial" w:eastAsia="Arial" w:hAnsi="Arial"/>
                <w:sz w:val="14"/>
                <w:szCs w:val="14"/>
                <w:b w:val="1"/>
                <w:bCs w:val="1"/>
                <w:color w:val="auto"/>
                <w:w w:val="90"/>
              </w:rPr>
              <w:t>Children’s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Book</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Educational</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Classroom and</w:t>
            </w:r>
          </w:p>
        </w:tc>
        <w:tc>
          <w:tcPr>
            <w:tcW w:w="18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1"/>
              </w:rPr>
              <w:t>Media,</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Publishing</w:t>
            </w:r>
          </w:p>
        </w:tc>
        <w:tc>
          <w:tcPr>
            <w:tcW w:w="180" w:type="dxa"/>
            <w:vAlign w:val="bottom"/>
          </w:tcPr>
          <w:p>
            <w:pPr>
              <w:spacing w:after="0"/>
              <w:rPr>
                <w:sz w:val="12"/>
                <w:szCs w:val="12"/>
                <w:color w:val="auto"/>
              </w:rPr>
            </w:pPr>
          </w:p>
        </w:tc>
        <w:tc>
          <w:tcPr>
            <w:tcW w:w="8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Technology</w:t>
            </w:r>
          </w:p>
        </w:tc>
        <w:tc>
          <w:tcPr>
            <w:tcW w:w="180" w:type="dxa"/>
            <w:vAlign w:val="bottom"/>
          </w:tcPr>
          <w:p>
            <w:pPr>
              <w:spacing w:after="0"/>
              <w:rPr>
                <w:sz w:val="12"/>
                <w:szCs w:val="12"/>
                <w:color w:val="auto"/>
              </w:rPr>
            </w:pPr>
          </w:p>
        </w:tc>
        <w:tc>
          <w:tcPr>
            <w:tcW w:w="9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Supplemental</w:t>
            </w:r>
          </w:p>
        </w:tc>
        <w:tc>
          <w:tcPr>
            <w:tcW w:w="18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Licensing</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2"/>
            <w:vMerge w:val="restart"/>
          </w:tcPr>
          <w:p>
            <w:pPr>
              <w:jc w:val="right"/>
              <w:ind w:right="93"/>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2"/>
                <w:szCs w:val="22"/>
                <w:b w:val="1"/>
                <w:bCs w:val="1"/>
                <w:color w:val="auto"/>
                <w:vertAlign w:val="superscript"/>
              </w:rPr>
              <w:t>(1)</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152"/>
              <w:spacing w:after="0"/>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4"/>
                <w:szCs w:val="14"/>
                <w:color w:val="auto"/>
              </w:rPr>
            </w:pPr>
          </w:p>
        </w:tc>
        <w:tc>
          <w:tcPr>
            <w:tcW w:w="84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4"/>
                <w:szCs w:val="14"/>
                <w:color w:val="auto"/>
              </w:rPr>
            </w:pPr>
          </w:p>
        </w:tc>
        <w:tc>
          <w:tcPr>
            <w:tcW w:w="98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Materials</w:t>
            </w:r>
          </w:p>
        </w:tc>
        <w:tc>
          <w:tcPr>
            <w:tcW w:w="180" w:type="dxa"/>
            <w:vAlign w:val="bottom"/>
          </w:tcPr>
          <w:p>
            <w:pPr>
              <w:spacing w:after="0"/>
              <w:rPr>
                <w:sz w:val="14"/>
                <w:szCs w:val="14"/>
                <w:color w:val="auto"/>
              </w:rPr>
            </w:pPr>
          </w:p>
        </w:tc>
        <w:tc>
          <w:tcPr>
            <w:tcW w:w="1000" w:type="dxa"/>
            <w:vAlign w:val="bottom"/>
          </w:tcPr>
          <w:p>
            <w:pPr>
              <w:jc w:val="center"/>
              <w:ind w:right="152"/>
              <w:spacing w:after="0"/>
              <w:rPr>
                <w:sz w:val="20"/>
                <w:szCs w:val="20"/>
                <w:color w:val="auto"/>
              </w:rPr>
            </w:pPr>
            <w:r>
              <w:rPr>
                <w:rFonts w:ascii="Arial" w:cs="Arial" w:eastAsia="Arial" w:hAnsi="Arial"/>
                <w:sz w:val="14"/>
                <w:szCs w:val="14"/>
                <w:b w:val="1"/>
                <w:bCs w:val="1"/>
                <w:color w:val="auto"/>
                <w:w w:val="88"/>
              </w:rPr>
              <w:t>and</w:t>
            </w:r>
          </w:p>
        </w:tc>
        <w:tc>
          <w:tcPr>
            <w:tcW w:w="116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95"/>
              </w:rPr>
              <w:t>Overhead</w:t>
            </w:r>
            <w:r>
              <w:rPr>
                <w:rFonts w:ascii="Arial" w:cs="Arial" w:eastAsia="Arial" w:hAnsi="Arial"/>
                <w:sz w:val="22"/>
                <w:szCs w:val="22"/>
                <w:b w:val="1"/>
                <w:bCs w:val="1"/>
                <w:color w:val="auto"/>
                <w:w w:val="95"/>
                <w:vertAlign w:val="superscript"/>
              </w:rPr>
              <w:t>(1)(4)</w:t>
            </w:r>
          </w:p>
        </w:tc>
        <w:tc>
          <w:tcPr>
            <w:tcW w:w="160" w:type="dxa"/>
            <w:vAlign w:val="bottom"/>
          </w:tcPr>
          <w:p>
            <w:pPr>
              <w:spacing w:after="0"/>
              <w:rPr>
                <w:sz w:val="14"/>
                <w:szCs w:val="1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6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Distribution</w:t>
            </w:r>
            <w:r>
              <w:rPr>
                <w:rFonts w:ascii="Arial" w:cs="Arial" w:eastAsia="Arial" w:hAnsi="Arial"/>
                <w:sz w:val="22"/>
                <w:szCs w:val="22"/>
                <w:b w:val="1"/>
                <w:bCs w:val="1"/>
                <w:color w:val="auto"/>
                <w:w w:val="84"/>
                <w:vertAlign w:val="superscript"/>
              </w:rPr>
              <w:t>(1)</w:t>
            </w:r>
          </w:p>
        </w:tc>
        <w:tc>
          <w:tcPr>
            <w:tcW w:w="102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79"/>
              </w:rPr>
              <w:t>Services</w:t>
            </w:r>
            <w:r>
              <w:rPr>
                <w:rFonts w:ascii="Arial" w:cs="Arial" w:eastAsia="Arial" w:hAnsi="Arial"/>
                <w:sz w:val="22"/>
                <w:szCs w:val="22"/>
                <w:b w:val="1"/>
                <w:bCs w:val="1"/>
                <w:color w:val="auto"/>
                <w:w w:val="79"/>
                <w:vertAlign w:val="superscript"/>
              </w:rPr>
              <w:t>(1)(2)</w:t>
            </w:r>
          </w:p>
        </w:tc>
        <w:tc>
          <w:tcPr>
            <w:tcW w:w="11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0"/>
              </w:rPr>
              <w:t>Publishing</w:t>
            </w:r>
            <w:r>
              <w:rPr>
                <w:rFonts w:ascii="Arial" w:cs="Arial" w:eastAsia="Arial" w:hAnsi="Arial"/>
                <w:sz w:val="22"/>
                <w:szCs w:val="22"/>
                <w:b w:val="1"/>
                <w:bCs w:val="1"/>
                <w:color w:val="auto"/>
                <w:w w:val="80"/>
                <w:vertAlign w:val="superscript"/>
              </w:rPr>
              <w:t>(1) (3)</w:t>
            </w:r>
          </w:p>
        </w:tc>
        <w:tc>
          <w:tcPr>
            <w:tcW w:w="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jc w:val="center"/>
              <w:ind w:right="132"/>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160" w:type="dxa"/>
            <w:vAlign w:val="bottom"/>
            <w:tcBorders>
              <w:bottom w:val="single" w:sz="8" w:color="808080"/>
            </w:tcBorders>
            <w:gridSpan w:val="2"/>
            <w:vMerge w:val="continue"/>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32"/>
              <w:spacing w:after="0"/>
              <w:rPr>
                <w:sz w:val="20"/>
                <w:szCs w:val="20"/>
                <w:color w:val="auto"/>
              </w:rPr>
            </w:pPr>
            <w:r>
              <w:rPr>
                <w:rFonts w:ascii="Arial" w:cs="Arial" w:eastAsia="Arial" w:hAnsi="Arial"/>
                <w:sz w:val="14"/>
                <w:szCs w:val="14"/>
                <w:b w:val="1"/>
                <w:bCs w:val="1"/>
                <w:color w:val="auto"/>
                <w:w w:val="82"/>
              </w:rPr>
              <w:t>Domestic</w:t>
            </w:r>
          </w:p>
        </w:tc>
        <w:tc>
          <w:tcPr>
            <w:tcW w:w="3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473"/>
              <w:spacing w:after="0"/>
              <w:rPr>
                <w:sz w:val="20"/>
                <w:szCs w:val="20"/>
                <w:color w:val="auto"/>
              </w:rPr>
            </w:pPr>
            <w:r>
              <w:rPr>
                <w:rFonts w:ascii="Arial" w:cs="Arial" w:eastAsia="Arial" w:hAnsi="Arial"/>
                <w:sz w:val="11"/>
                <w:szCs w:val="11"/>
                <w:b w:val="1"/>
                <w:bCs w:val="1"/>
                <w:color w:val="auto"/>
              </w:rPr>
              <w:t>(5)</w:t>
            </w: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680" w:type="dxa"/>
            <w:vAlign w:val="bottom"/>
          </w:tcPr>
          <w:p>
            <w:pPr>
              <w:spacing w:after="0"/>
              <w:rPr>
                <w:sz w:val="20"/>
                <w:szCs w:val="20"/>
                <w:color w:val="auto"/>
              </w:rPr>
            </w:pPr>
            <w:r>
              <w:rPr>
                <w:rFonts w:ascii="Arial" w:cs="Arial" w:eastAsia="Arial" w:hAnsi="Arial"/>
                <w:sz w:val="14"/>
                <w:szCs w:val="14"/>
                <w:b w:val="1"/>
                <w:bCs w:val="1"/>
                <w:color w:val="auto"/>
              </w:rPr>
              <w:t>February 29, 2012</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6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731.9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142.6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56.4</w:t>
            </w:r>
          </w:p>
        </w:tc>
        <w:tc>
          <w:tcPr>
            <w:tcW w:w="4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1,132.9</w:t>
            </w:r>
          </w:p>
        </w:tc>
        <w:tc>
          <w:tcPr>
            <w:tcW w:w="3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337.4</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1,470.3</w:t>
            </w:r>
          </w:p>
        </w:tc>
        <w:tc>
          <w:tcPr>
            <w:tcW w:w="0" w:type="dxa"/>
            <w:vAlign w:val="bottom"/>
          </w:tcPr>
          <w:p>
            <w:pPr>
              <w:spacing w:after="0"/>
              <w:rPr>
                <w:sz w:val="1"/>
                <w:szCs w:val="1"/>
                <w:color w:val="auto"/>
              </w:rPr>
            </w:pPr>
          </w:p>
        </w:tc>
      </w:tr>
      <w:tr>
        <w:trPr>
          <w:trHeight w:val="144"/>
        </w:trPr>
        <w:tc>
          <w:tcPr>
            <w:tcW w:w="26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40" w:type="dxa"/>
            <w:vAlign w:val="bottom"/>
          </w:tcPr>
          <w:p>
            <w:pPr>
              <w:spacing w:after="0"/>
              <w:rPr>
                <w:sz w:val="12"/>
                <w:szCs w:val="12"/>
                <w:color w:val="auto"/>
              </w:rPr>
            </w:pPr>
          </w:p>
        </w:tc>
        <w:tc>
          <w:tcPr>
            <w:tcW w:w="9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840" w:type="dxa"/>
            <w:vAlign w:val="bottom"/>
          </w:tcPr>
          <w:p>
            <w:pPr>
              <w:jc w:val="right"/>
              <w:ind w:right="32"/>
              <w:spacing w:after="0" w:line="144"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9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10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32"/>
              <w:spacing w:after="0" w:line="144" w:lineRule="exact"/>
              <w:rPr>
                <w:sz w:val="20"/>
                <w:szCs w:val="20"/>
                <w:color w:val="auto"/>
              </w:rPr>
            </w:pPr>
            <w:r>
              <w:rPr>
                <w:rFonts w:ascii="Arial" w:cs="Arial" w:eastAsia="Arial" w:hAnsi="Arial"/>
                <w:sz w:val="14"/>
                <w:szCs w:val="14"/>
                <w:color w:val="auto"/>
              </w:rPr>
              <w:t>5.5</w:t>
            </w:r>
          </w:p>
        </w:tc>
        <w:tc>
          <w:tcPr>
            <w:tcW w:w="360" w:type="dxa"/>
            <w:vAlign w:val="bottom"/>
          </w:tcPr>
          <w:p>
            <w:pPr>
              <w:spacing w:after="0"/>
              <w:rPr>
                <w:sz w:val="12"/>
                <w:szCs w:val="12"/>
                <w:color w:val="auto"/>
              </w:rPr>
            </w:pPr>
          </w:p>
        </w:tc>
        <w:tc>
          <w:tcPr>
            <w:tcW w:w="840" w:type="dxa"/>
            <w:vAlign w:val="bottom"/>
          </w:tcPr>
          <w:p>
            <w:pPr>
              <w:jc w:val="right"/>
              <w:ind w:right="53"/>
              <w:spacing w:after="0" w:line="144"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76"/>
        </w:trPr>
        <w:tc>
          <w:tcPr>
            <w:tcW w:w="26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2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11.9</w:t>
            </w:r>
          </w:p>
        </w:tc>
        <w:tc>
          <w:tcPr>
            <w:tcW w:w="18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0.9</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0.4</w:t>
            </w:r>
          </w:p>
        </w:tc>
        <w:tc>
          <w:tcPr>
            <w:tcW w:w="44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27.7</w:t>
            </w: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41.7</w:t>
            </w:r>
          </w:p>
        </w:tc>
        <w:tc>
          <w:tcPr>
            <w:tcW w:w="36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80"/>
        </w:trPr>
        <w:tc>
          <w:tcPr>
            <w:tcW w:w="26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2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9.0</w:t>
            </w:r>
          </w:p>
        </w:tc>
        <w:tc>
          <w:tcPr>
            <w:tcW w:w="18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5.1</w:t>
            </w:r>
          </w:p>
        </w:tc>
        <w:tc>
          <w:tcPr>
            <w:tcW w:w="44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34.6</w:t>
            </w:r>
          </w:p>
        </w:tc>
        <w:tc>
          <w:tcPr>
            <w:tcW w:w="36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Loss on leases and asset impairments</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0.5</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6.7</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70.6</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9.0</w:t>
            </w:r>
          </w:p>
        </w:tc>
        <w:tc>
          <w:tcPr>
            <w:tcW w:w="18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w:t>
            </w:r>
          </w:p>
        </w:tc>
        <w:tc>
          <w:tcPr>
            <w:tcW w:w="4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(59.8)</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64.1</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30.8</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2/29/12)</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597.1</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156.6</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153.3</w:t>
            </w:r>
          </w:p>
        </w:tc>
        <w:tc>
          <w:tcPr>
            <w:tcW w:w="1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38.2</w:t>
            </w:r>
          </w:p>
        </w:tc>
        <w:tc>
          <w:tcPr>
            <w:tcW w:w="4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397.4</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1,342.6</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294.3</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1,636.9</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Goodwill (at 2/29/12)</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22.7</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70.5</w:t>
            </w:r>
          </w:p>
        </w:tc>
        <w:tc>
          <w:tcPr>
            <w:tcW w:w="1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152.9</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10.0</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w w:val="92"/>
              </w:rPr>
              <w:t>Expenditures for long-lived assets including</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320"/>
              <w:spacing w:after="0" w:line="149" w:lineRule="exact"/>
              <w:rPr>
                <w:sz w:val="20"/>
                <w:szCs w:val="20"/>
                <w:color w:val="auto"/>
              </w:rPr>
            </w:pPr>
            <w:r>
              <w:rPr>
                <w:rFonts w:ascii="Arial" w:cs="Arial" w:eastAsia="Arial" w:hAnsi="Arial"/>
                <w:sz w:val="14"/>
                <w:szCs w:val="14"/>
                <w:color w:val="auto"/>
              </w:rPr>
              <w:t>royalty advances</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32.8</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18.0</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9.3</w:t>
            </w:r>
          </w:p>
        </w:tc>
        <w:tc>
          <w:tcPr>
            <w:tcW w:w="1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5.3</w:t>
            </w:r>
          </w:p>
        </w:tc>
        <w:tc>
          <w:tcPr>
            <w:tcW w:w="4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22.0</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87.4</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9.0</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72"/>
        </w:trPr>
        <w:tc>
          <w:tcPr>
            <w:tcW w:w="2680" w:type="dxa"/>
            <w:vAlign w:val="bottom"/>
          </w:tcPr>
          <w:p>
            <w:pPr>
              <w:ind w:left="160"/>
              <w:spacing w:after="0"/>
              <w:rPr>
                <w:sz w:val="20"/>
                <w:szCs w:val="20"/>
                <w:color w:val="auto"/>
              </w:rPr>
            </w:pPr>
            <w:r>
              <w:rPr>
                <w:rFonts w:ascii="Arial" w:cs="Arial" w:eastAsia="Arial" w:hAnsi="Arial"/>
                <w:sz w:val="14"/>
                <w:szCs w:val="14"/>
                <w:color w:val="auto"/>
              </w:rPr>
              <w:t>Long-lived assets (at 2/29/12)</w:t>
            </w:r>
          </w:p>
        </w:tc>
        <w:tc>
          <w:tcPr>
            <w:tcW w:w="24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173.7</w:t>
            </w:r>
          </w:p>
        </w:tc>
        <w:tc>
          <w:tcPr>
            <w:tcW w:w="18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98.5</w:t>
            </w:r>
          </w:p>
        </w:tc>
        <w:tc>
          <w:tcPr>
            <w:tcW w:w="18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88.3</w:t>
            </w:r>
          </w:p>
        </w:tc>
        <w:tc>
          <w:tcPr>
            <w:tcW w:w="18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19.7</w:t>
            </w:r>
          </w:p>
        </w:tc>
        <w:tc>
          <w:tcPr>
            <w:tcW w:w="44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242.8</w:t>
            </w:r>
          </w:p>
        </w:tc>
        <w:tc>
          <w:tcPr>
            <w:tcW w:w="1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623.0</w:t>
            </w:r>
          </w:p>
        </w:tc>
        <w:tc>
          <w:tcPr>
            <w:tcW w:w="36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67.6</w:t>
            </w:r>
          </w:p>
        </w:tc>
        <w:tc>
          <w:tcPr>
            <w:tcW w:w="26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690.6</w:t>
            </w:r>
          </w:p>
        </w:tc>
        <w:tc>
          <w:tcPr>
            <w:tcW w:w="0" w:type="dxa"/>
            <w:vAlign w:val="bottom"/>
          </w:tcPr>
          <w:p>
            <w:pPr>
              <w:spacing w:after="0"/>
              <w:rPr>
                <w:sz w:val="1"/>
                <w:szCs w:val="1"/>
                <w:color w:val="auto"/>
              </w:rPr>
            </w:pPr>
          </w:p>
        </w:tc>
      </w:tr>
      <w:tr>
        <w:trPr>
          <w:trHeight w:val="244"/>
        </w:trPr>
        <w:tc>
          <w:tcPr>
            <w:tcW w:w="26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680" w:type="dxa"/>
            <w:vAlign w:val="bottom"/>
          </w:tcPr>
          <w:p>
            <w:pPr>
              <w:spacing w:after="0"/>
              <w:rPr>
                <w:sz w:val="20"/>
                <w:szCs w:val="20"/>
                <w:color w:val="auto"/>
              </w:rPr>
            </w:pPr>
            <w:r>
              <w:rPr>
                <w:rFonts w:ascii="Arial" w:cs="Arial" w:eastAsia="Arial" w:hAnsi="Arial"/>
                <w:sz w:val="14"/>
                <w:szCs w:val="14"/>
                <w:b w:val="1"/>
                <w:bCs w:val="1"/>
                <w:color w:val="auto"/>
              </w:rPr>
              <w:t>February 28, 2011</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680" w:type="dxa"/>
            <w:vAlign w:val="bottom"/>
          </w:tcPr>
          <w:p>
            <w:pPr>
              <w:ind w:left="160"/>
              <w:spacing w:after="0"/>
              <w:rPr>
                <w:sz w:val="20"/>
                <w:szCs w:val="20"/>
                <w:color w:val="auto"/>
              </w:rPr>
            </w:pPr>
            <w:r>
              <w:rPr>
                <w:rFonts w:ascii="Arial" w:cs="Arial" w:eastAsia="Arial" w:hAnsi="Arial"/>
                <w:sz w:val="14"/>
                <w:szCs w:val="14"/>
                <w:color w:val="auto"/>
              </w:rPr>
              <w:t>Revenues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653.2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169.4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132.1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65.0</w:t>
            </w:r>
          </w:p>
        </w:tc>
        <w:tc>
          <w:tcPr>
            <w:tcW w:w="4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1,019.7</w:t>
            </w:r>
          </w:p>
        </w:tc>
        <w:tc>
          <w:tcPr>
            <w:tcW w:w="3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322.9</w:t>
            </w:r>
          </w:p>
        </w:tc>
        <w:tc>
          <w:tcPr>
            <w:tcW w:w="2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1,342.6</w:t>
            </w:r>
          </w:p>
        </w:tc>
        <w:tc>
          <w:tcPr>
            <w:tcW w:w="0" w:type="dxa"/>
            <w:vAlign w:val="bottom"/>
          </w:tcPr>
          <w:p>
            <w:pPr>
              <w:spacing w:after="0"/>
              <w:rPr>
                <w:sz w:val="1"/>
                <w:szCs w:val="1"/>
                <w:color w:val="auto"/>
              </w:rPr>
            </w:pPr>
          </w:p>
        </w:tc>
      </w:tr>
      <w:tr>
        <w:trPr>
          <w:trHeight w:val="144"/>
        </w:trPr>
        <w:tc>
          <w:tcPr>
            <w:tcW w:w="268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240" w:type="dxa"/>
            <w:vAlign w:val="bottom"/>
          </w:tcPr>
          <w:p>
            <w:pPr>
              <w:spacing w:after="0"/>
              <w:rPr>
                <w:sz w:val="12"/>
                <w:szCs w:val="12"/>
                <w:color w:val="auto"/>
              </w:rPr>
            </w:pPr>
          </w:p>
        </w:tc>
        <w:tc>
          <w:tcPr>
            <w:tcW w:w="9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9.0</w:t>
            </w:r>
          </w:p>
        </w:tc>
        <w:tc>
          <w:tcPr>
            <w:tcW w:w="180" w:type="dxa"/>
            <w:vAlign w:val="bottom"/>
          </w:tcPr>
          <w:p>
            <w:pPr>
              <w:spacing w:after="0"/>
              <w:rPr>
                <w:sz w:val="12"/>
                <w:szCs w:val="12"/>
                <w:color w:val="auto"/>
              </w:rPr>
            </w:pPr>
          </w:p>
        </w:tc>
        <w:tc>
          <w:tcPr>
            <w:tcW w:w="84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0.5</w:t>
            </w:r>
          </w:p>
        </w:tc>
        <w:tc>
          <w:tcPr>
            <w:tcW w:w="180" w:type="dxa"/>
            <w:vAlign w:val="bottom"/>
          </w:tcPr>
          <w:p>
            <w:pPr>
              <w:spacing w:after="0"/>
              <w:rPr>
                <w:sz w:val="12"/>
                <w:szCs w:val="12"/>
                <w:color w:val="auto"/>
              </w:rPr>
            </w:pPr>
          </w:p>
        </w:tc>
        <w:tc>
          <w:tcPr>
            <w:tcW w:w="9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0.5</w:t>
            </w:r>
          </w:p>
        </w:tc>
        <w:tc>
          <w:tcPr>
            <w:tcW w:w="180" w:type="dxa"/>
            <w:vAlign w:val="bottom"/>
          </w:tcPr>
          <w:p>
            <w:pPr>
              <w:spacing w:after="0"/>
              <w:rPr>
                <w:sz w:val="12"/>
                <w:szCs w:val="12"/>
                <w:color w:val="auto"/>
              </w:rPr>
            </w:pPr>
          </w:p>
        </w:tc>
        <w:tc>
          <w:tcPr>
            <w:tcW w:w="10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0.2</w:t>
            </w:r>
          </w:p>
        </w:tc>
        <w:tc>
          <w:tcPr>
            <w:tcW w:w="440" w:type="dxa"/>
            <w:vAlign w:val="bottom"/>
          </w:tcPr>
          <w:p>
            <w:pPr>
              <w:spacing w:after="0"/>
              <w:rPr>
                <w:sz w:val="12"/>
                <w:szCs w:val="12"/>
                <w:color w:val="auto"/>
              </w:rPr>
            </w:pPr>
          </w:p>
        </w:tc>
        <w:tc>
          <w:tcPr>
            <w:tcW w:w="72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32"/>
              <w:spacing w:after="0" w:line="144" w:lineRule="exact"/>
              <w:rPr>
                <w:sz w:val="20"/>
                <w:szCs w:val="20"/>
                <w:color w:val="auto"/>
              </w:rPr>
            </w:pPr>
            <w:r>
              <w:rPr>
                <w:rFonts w:ascii="Arial" w:cs="Arial" w:eastAsia="Arial" w:hAnsi="Arial"/>
                <w:sz w:val="14"/>
                <w:szCs w:val="14"/>
                <w:color w:val="auto"/>
              </w:rPr>
              <w:t>10.2</w:t>
            </w:r>
          </w:p>
        </w:tc>
        <w:tc>
          <w:tcPr>
            <w:tcW w:w="360" w:type="dxa"/>
            <w:vAlign w:val="bottom"/>
          </w:tcPr>
          <w:p>
            <w:pPr>
              <w:spacing w:after="0"/>
              <w:rPr>
                <w:sz w:val="12"/>
                <w:szCs w:val="12"/>
                <w:color w:val="auto"/>
              </w:rPr>
            </w:pPr>
          </w:p>
        </w:tc>
        <w:tc>
          <w:tcPr>
            <w:tcW w:w="840" w:type="dxa"/>
            <w:vAlign w:val="bottom"/>
          </w:tcPr>
          <w:p>
            <w:pPr>
              <w:jc w:val="right"/>
              <w:ind w:right="53"/>
              <w:spacing w:after="0" w:line="144" w:lineRule="exact"/>
              <w:rPr>
                <w:sz w:val="20"/>
                <w:szCs w:val="20"/>
                <w:color w:val="auto"/>
              </w:rPr>
            </w:pPr>
            <w:r>
              <w:rPr>
                <w:rFonts w:ascii="Arial" w:cs="Arial" w:eastAsia="Arial" w:hAnsi="Arial"/>
                <w:sz w:val="14"/>
                <w:szCs w:val="14"/>
                <w:color w:val="auto"/>
              </w:rPr>
              <w:t>2.4</w:t>
            </w:r>
          </w:p>
        </w:tc>
        <w:tc>
          <w:tcPr>
            <w:tcW w:w="260" w:type="dxa"/>
            <w:vAlign w:val="bottom"/>
          </w:tcPr>
          <w:p>
            <w:pPr>
              <w:spacing w:after="0"/>
              <w:rPr>
                <w:sz w:val="12"/>
                <w:szCs w:val="12"/>
                <w:color w:val="auto"/>
              </w:rPr>
            </w:pPr>
          </w:p>
        </w:tc>
        <w:tc>
          <w:tcPr>
            <w:tcW w:w="7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6"/>
        </w:trPr>
        <w:tc>
          <w:tcPr>
            <w:tcW w:w="268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2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11.6</w:t>
            </w:r>
          </w:p>
        </w:tc>
        <w:tc>
          <w:tcPr>
            <w:tcW w:w="18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0.5</w:t>
            </w:r>
          </w:p>
        </w:tc>
        <w:tc>
          <w:tcPr>
            <w:tcW w:w="44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25.2</w:t>
            </w: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39.3</w:t>
            </w:r>
          </w:p>
        </w:tc>
        <w:tc>
          <w:tcPr>
            <w:tcW w:w="36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80"/>
        </w:trPr>
        <w:tc>
          <w:tcPr>
            <w:tcW w:w="268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24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9.5</w:t>
            </w:r>
          </w:p>
        </w:tc>
        <w:tc>
          <w:tcPr>
            <w:tcW w:w="18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15.2</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5.1</w:t>
            </w:r>
          </w:p>
        </w:tc>
        <w:tc>
          <w:tcPr>
            <w:tcW w:w="440" w:type="dxa"/>
            <w:vAlign w:val="bottom"/>
          </w:tcPr>
          <w:p>
            <w:pPr>
              <w:spacing w:after="0"/>
              <w:rPr>
                <w:sz w:val="15"/>
                <w:szCs w:val="15"/>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33.3</w:t>
            </w:r>
          </w:p>
        </w:tc>
        <w:tc>
          <w:tcPr>
            <w:tcW w:w="360" w:type="dxa"/>
            <w:vAlign w:val="bottom"/>
          </w:tcPr>
          <w:p>
            <w:pPr>
              <w:spacing w:after="0"/>
              <w:rPr>
                <w:sz w:val="15"/>
                <w:szCs w:val="15"/>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5"/>
                <w:szCs w:val="15"/>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Loss on leases and asset impairments</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36.5</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29.4</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(0.6)</w:t>
            </w:r>
          </w:p>
        </w:tc>
        <w:tc>
          <w:tcPr>
            <w:tcW w:w="44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(41.6)</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31.1</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21.7</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2/28/11)</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483.6</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147.3</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150.5</w:t>
            </w:r>
          </w:p>
        </w:tc>
        <w:tc>
          <w:tcPr>
            <w:tcW w:w="1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40.4</w:t>
            </w:r>
          </w:p>
        </w:tc>
        <w:tc>
          <w:tcPr>
            <w:tcW w:w="4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433.5</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1,255.3</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288.1</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1,543.4</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rPr>
              <w:t>Goodwill (at 2/28/11)</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22.5</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67.4</w:t>
            </w:r>
          </w:p>
        </w:tc>
        <w:tc>
          <w:tcPr>
            <w:tcW w:w="1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w:t>
            </w:r>
          </w:p>
        </w:tc>
        <w:tc>
          <w:tcPr>
            <w:tcW w:w="4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149.6</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8.7</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49"/>
        </w:trPr>
        <w:tc>
          <w:tcPr>
            <w:tcW w:w="2680" w:type="dxa"/>
            <w:vAlign w:val="bottom"/>
          </w:tcPr>
          <w:p>
            <w:pPr>
              <w:ind w:left="160"/>
              <w:spacing w:after="0" w:line="149" w:lineRule="exact"/>
              <w:rPr>
                <w:sz w:val="20"/>
                <w:szCs w:val="20"/>
                <w:color w:val="auto"/>
              </w:rPr>
            </w:pPr>
            <w:r>
              <w:rPr>
                <w:rFonts w:ascii="Arial" w:cs="Arial" w:eastAsia="Arial" w:hAnsi="Arial"/>
                <w:sz w:val="14"/>
                <w:szCs w:val="14"/>
                <w:color w:val="auto"/>
                <w:w w:val="92"/>
              </w:rPr>
              <w:t>Expenditures for long-lived assets including</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320"/>
              <w:spacing w:after="0" w:line="149" w:lineRule="exact"/>
              <w:rPr>
                <w:sz w:val="20"/>
                <w:szCs w:val="20"/>
                <w:color w:val="auto"/>
              </w:rPr>
            </w:pPr>
            <w:r>
              <w:rPr>
                <w:rFonts w:ascii="Arial" w:cs="Arial" w:eastAsia="Arial" w:hAnsi="Arial"/>
                <w:sz w:val="14"/>
                <w:szCs w:val="14"/>
                <w:color w:val="auto"/>
              </w:rPr>
              <w:t>royalty advances</w:t>
            </w:r>
          </w:p>
        </w:tc>
        <w:tc>
          <w:tcPr>
            <w:tcW w:w="2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29.5</w:t>
            </w:r>
          </w:p>
        </w:tc>
        <w:tc>
          <w:tcPr>
            <w:tcW w:w="1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26.8</w:t>
            </w:r>
          </w:p>
        </w:tc>
        <w:tc>
          <w:tcPr>
            <w:tcW w:w="1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w:t>
            </w:r>
          </w:p>
        </w:tc>
        <w:tc>
          <w:tcPr>
            <w:tcW w:w="1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w:t>
            </w:r>
          </w:p>
        </w:tc>
        <w:tc>
          <w:tcPr>
            <w:tcW w:w="4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42.6</w:t>
            </w:r>
          </w:p>
        </w:tc>
        <w:tc>
          <w:tcPr>
            <w:tcW w:w="1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109.6</w:t>
            </w:r>
          </w:p>
        </w:tc>
        <w:tc>
          <w:tcPr>
            <w:tcW w:w="360" w:type="dxa"/>
            <w:vAlign w:val="bottom"/>
          </w:tcPr>
          <w:p>
            <w:pPr>
              <w:spacing w:after="0"/>
              <w:rPr>
                <w:sz w:val="12"/>
                <w:szCs w:val="12"/>
                <w:color w:val="auto"/>
              </w:rPr>
            </w:pP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8.7</w:t>
            </w:r>
          </w:p>
        </w:tc>
        <w:tc>
          <w:tcPr>
            <w:tcW w:w="26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172"/>
        </w:trPr>
        <w:tc>
          <w:tcPr>
            <w:tcW w:w="2680" w:type="dxa"/>
            <w:vAlign w:val="bottom"/>
          </w:tcPr>
          <w:p>
            <w:pPr>
              <w:ind w:left="160"/>
              <w:spacing w:after="0"/>
              <w:rPr>
                <w:sz w:val="20"/>
                <w:szCs w:val="20"/>
                <w:color w:val="auto"/>
              </w:rPr>
            </w:pPr>
            <w:r>
              <w:rPr>
                <w:rFonts w:ascii="Arial" w:cs="Arial" w:eastAsia="Arial" w:hAnsi="Arial"/>
                <w:sz w:val="14"/>
                <w:szCs w:val="14"/>
                <w:color w:val="auto"/>
              </w:rPr>
              <w:t>Long-lived assets (at 2/28/11)</w:t>
            </w:r>
          </w:p>
        </w:tc>
        <w:tc>
          <w:tcPr>
            <w:tcW w:w="24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177.9</w:t>
            </w:r>
          </w:p>
        </w:tc>
        <w:tc>
          <w:tcPr>
            <w:tcW w:w="18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97.7</w:t>
            </w:r>
          </w:p>
        </w:tc>
        <w:tc>
          <w:tcPr>
            <w:tcW w:w="18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81.2</w:t>
            </w:r>
          </w:p>
        </w:tc>
        <w:tc>
          <w:tcPr>
            <w:tcW w:w="18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19.5</w:t>
            </w:r>
          </w:p>
        </w:tc>
        <w:tc>
          <w:tcPr>
            <w:tcW w:w="440" w:type="dxa"/>
            <w:vAlign w:val="bottom"/>
          </w:tcPr>
          <w:p>
            <w:pPr>
              <w:spacing w:after="0"/>
              <w:rPr>
                <w:sz w:val="14"/>
                <w:szCs w:val="14"/>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247.2</w:t>
            </w:r>
          </w:p>
        </w:tc>
        <w:tc>
          <w:tcPr>
            <w:tcW w:w="16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623.5</w:t>
            </w:r>
          </w:p>
        </w:tc>
        <w:tc>
          <w:tcPr>
            <w:tcW w:w="36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74.4</w:t>
            </w:r>
          </w:p>
        </w:tc>
        <w:tc>
          <w:tcPr>
            <w:tcW w:w="26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697.9</w:t>
            </w:r>
          </w:p>
        </w:tc>
        <w:tc>
          <w:tcPr>
            <w:tcW w:w="0" w:type="dxa"/>
            <w:vAlign w:val="bottom"/>
          </w:tcPr>
          <w:p>
            <w:pPr>
              <w:spacing w:after="0"/>
              <w:rPr>
                <w:sz w:val="1"/>
                <w:szCs w:val="1"/>
                <w:color w:val="auto"/>
              </w:rPr>
            </w:pPr>
          </w:p>
        </w:tc>
      </w:tr>
      <w:tr>
        <w:trPr>
          <w:trHeight w:val="95"/>
        </w:trPr>
        <w:tc>
          <w:tcPr>
            <w:tcW w:w="2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18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 discussed under “Discontinued Operations” in Note 1, “Basis of Presentation,” the Company closed or sold several operations during fiscal 2009, fiscal 2010 and the first quarter of fiscal 2012 and presently holds for sale one facility. All of these businesses are classified as discontinued operations in the Company’s financial statements and, as such, are not reflected in this table.</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acquisition as of September 9, 2010.</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acquisition as of February 8, 2012.</w:t>
      </w:r>
    </w:p>
    <w:p>
      <w:pPr>
        <w:spacing w:after="0" w:line="157"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its facility located in Connecticut. Overhead also includes amounts previously allocated to the Media, Licensing and Advertising segment for the Company’s direct-to-home toy catalog business that was discontinued in the first quarter of fiscal 2012.</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acquisition as of January 3, 2012.</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and production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Carrying</w:t>
            </w:r>
          </w:p>
        </w:tc>
        <w:tc>
          <w:tcPr>
            <w:tcW w:w="420" w:type="dxa"/>
            <w:vAlign w:val="bottom"/>
          </w:tcPr>
          <w:p>
            <w:pPr>
              <w:spacing w:after="0"/>
              <w:rPr>
                <w:sz w:val="18"/>
                <w:szCs w:val="18"/>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b w:val="1"/>
                <w:bCs w:val="1"/>
                <w:color w:val="auto"/>
              </w:rPr>
              <w:t>Fair</w:t>
            </w:r>
          </w:p>
        </w:tc>
        <w:tc>
          <w:tcPr>
            <w:tcW w:w="11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Carrying</w:t>
            </w:r>
          </w:p>
        </w:tc>
        <w:tc>
          <w:tcPr>
            <w:tcW w:w="280" w:type="dxa"/>
            <w:vAlign w:val="bottom"/>
          </w:tcPr>
          <w:p>
            <w:pPr>
              <w:spacing w:after="0"/>
              <w:rPr>
                <w:sz w:val="18"/>
                <w:szCs w:val="18"/>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rPr>
              <w:t>Fair</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Carrying</w:t>
            </w:r>
          </w:p>
        </w:tc>
        <w:tc>
          <w:tcPr>
            <w:tcW w:w="280" w:type="dxa"/>
            <w:vAlign w:val="bottom"/>
          </w:tcPr>
          <w:p>
            <w:pPr>
              <w:spacing w:after="0"/>
              <w:rPr>
                <w:sz w:val="18"/>
                <w:szCs w:val="18"/>
                <w:color w:val="auto"/>
              </w:rPr>
            </w:pPr>
          </w:p>
        </w:tc>
        <w:tc>
          <w:tcPr>
            <w:tcW w:w="820" w:type="dxa"/>
            <w:vAlign w:val="bottom"/>
          </w:tcPr>
          <w:p>
            <w:pPr>
              <w:jc w:val="right"/>
              <w:ind w:right="312"/>
              <w:spacing w:after="0"/>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8"/>
                <w:szCs w:val="18"/>
                <w:color w:val="auto"/>
              </w:rPr>
            </w:pPr>
          </w:p>
        </w:tc>
      </w:tr>
      <w:tr>
        <w:trPr>
          <w:trHeight w:val="228"/>
        </w:trPr>
        <w:tc>
          <w:tcPr>
            <w:tcW w:w="4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95"/>
              </w:rPr>
              <w:t>Value</w:t>
            </w:r>
          </w:p>
        </w:tc>
        <w:tc>
          <w:tcPr>
            <w:tcW w:w="42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w w:val="95"/>
              </w:rPr>
              <w:t>Value</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gridSpan w:val="3"/>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gridSpan w:val="3"/>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3"/>
          </w:tcPr>
          <w:p>
            <w:pPr>
              <w:jc w:val="right"/>
              <w:ind w:right="392"/>
              <w:spacing w:after="0"/>
              <w:rPr>
                <w:sz w:val="20"/>
                <w:szCs w:val="20"/>
                <w:color w:val="auto"/>
              </w:rPr>
            </w:pPr>
            <w:r>
              <w:rPr>
                <w:rFonts w:ascii="Arial" w:cs="Arial" w:eastAsia="Arial" w:hAnsi="Arial"/>
                <w:sz w:val="18"/>
                <w:szCs w:val="18"/>
                <w:b w:val="1"/>
                <w:bCs w:val="1"/>
                <w:color w:val="auto"/>
                <w:w w:val="98"/>
              </w:rPr>
              <w:t>February 29, 2012</w:t>
            </w:r>
          </w:p>
        </w:tc>
        <w:tc>
          <w:tcPr>
            <w:tcW w:w="260" w:type="dxa"/>
            <w:vAlign w:val="bottom"/>
          </w:tcPr>
          <w:p>
            <w:pPr>
              <w:spacing w:after="0"/>
              <w:rPr>
                <w:sz w:val="24"/>
                <w:szCs w:val="24"/>
                <w:color w:val="auto"/>
              </w:rPr>
            </w:pPr>
          </w:p>
        </w:tc>
        <w:tc>
          <w:tcPr>
            <w:tcW w:w="202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May 31, 2011</w:t>
            </w:r>
          </w:p>
        </w:tc>
        <w:tc>
          <w:tcPr>
            <w:tcW w:w="280" w:type="dxa"/>
            <w:vAlign w:val="bottom"/>
          </w:tcPr>
          <w:p>
            <w:pPr>
              <w:spacing w:after="0"/>
              <w:rPr>
                <w:sz w:val="24"/>
                <w:szCs w:val="24"/>
                <w:color w:val="auto"/>
              </w:rPr>
            </w:pPr>
          </w:p>
        </w:tc>
        <w:tc>
          <w:tcPr>
            <w:tcW w:w="1980" w:type="dxa"/>
            <w:vAlign w:val="bottom"/>
            <w:gridSpan w:val="3"/>
          </w:tcPr>
          <w:p>
            <w:pPr>
              <w:jc w:val="right"/>
              <w:ind w:right="352"/>
              <w:spacing w:after="0"/>
              <w:rPr>
                <w:sz w:val="20"/>
                <w:szCs w:val="20"/>
                <w:color w:val="auto"/>
              </w:rPr>
            </w:pPr>
            <w:r>
              <w:rPr>
                <w:rFonts w:ascii="Arial" w:cs="Arial" w:eastAsia="Arial" w:hAnsi="Arial"/>
                <w:sz w:val="18"/>
                <w:szCs w:val="18"/>
                <w:b w:val="1"/>
                <w:bCs w:val="1"/>
                <w:color w:val="auto"/>
                <w:w w:val="99"/>
              </w:rPr>
              <w:t>February 28, 2011</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580" w:type="dxa"/>
            <w:vAlign w:val="bottom"/>
          </w:tcPr>
          <w:p>
            <w:pPr>
              <w:spacing w:after="0"/>
              <w:rPr>
                <w:sz w:val="20"/>
                <w:szCs w:val="20"/>
                <w:color w:val="auto"/>
              </w:rPr>
            </w:pPr>
            <w:r>
              <w:rPr>
                <w:rFonts w:ascii="Arial" w:cs="Arial" w:eastAsia="Arial" w:hAnsi="Arial"/>
                <w:sz w:val="18"/>
                <w:szCs w:val="18"/>
                <w:color w:val="auto"/>
                <w:w w:val="92"/>
              </w:rPr>
              <w:t>Lines of Credit (weighted average interest rates of 4.7%, 6.7%</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and 4.0%, respectively)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Loan Agreement:</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Term Loan (interest rates of n/a, 1.0% and 1.1%,</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Pr>
          <w:p>
            <w:pPr>
              <w:ind w:left="32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60.9</w:t>
            </w:r>
          </w:p>
        </w:tc>
        <w:tc>
          <w:tcPr>
            <w:tcW w:w="28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152.7</w:t>
            </w:r>
          </w:p>
        </w:tc>
        <w:tc>
          <w:tcPr>
            <w:tcW w:w="42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158.5</w:t>
            </w:r>
          </w:p>
        </w:tc>
        <w:tc>
          <w:tcPr>
            <w:tcW w:w="26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152.5</w:t>
            </w:r>
          </w:p>
        </w:tc>
        <w:tc>
          <w:tcPr>
            <w:tcW w:w="2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156.6</w:t>
            </w:r>
          </w:p>
        </w:tc>
        <w:tc>
          <w:tcPr>
            <w:tcW w:w="2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152.5</w:t>
            </w:r>
          </w:p>
        </w:tc>
        <w:tc>
          <w:tcPr>
            <w:tcW w:w="2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155.3</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165.3</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rPr>
              <w:t>171.1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rPr>
              <w:t>203.4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207.5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220.1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222.9</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580" w:type="dxa"/>
            <w:vAlign w:val="bottom"/>
          </w:tcPr>
          <w:p>
            <w:pPr>
              <w:spacing w:after="0"/>
              <w:rPr>
                <w:sz w:val="20"/>
                <w:szCs w:val="20"/>
                <w:color w:val="auto"/>
              </w:rPr>
            </w:pPr>
            <w:r>
              <w:rPr>
                <w:rFonts w:ascii="Arial" w:cs="Arial" w:eastAsia="Arial" w:hAnsi="Arial"/>
                <w:sz w:val="18"/>
                <w:szCs w:val="18"/>
                <w:color w:val="auto"/>
                <w:w w:val="99"/>
              </w:rPr>
              <w:t>Less lines of credit, short-term debt and current portion of</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58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8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152.7</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rPr>
              <w:t>158.5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rPr>
              <w:t>159.9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164.0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170.6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173.4</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w w:val="79"/>
              </w:rPr>
              <w:t>13</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Short-term debt’s carrying value approximates fair value. Fair value of the Loan Agreement approximates its carrying value due to its variable interest rate and consistent credit rating. Fair values of the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February 29, 2012, for the twelve-month periods ending February 28,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2013</w:t>
            </w:r>
          </w:p>
        </w:tc>
        <w:tc>
          <w:tcPr>
            <w:tcW w:w="2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12.6</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2014</w:t>
            </w:r>
          </w:p>
        </w:tc>
        <w:tc>
          <w:tcPr>
            <w:tcW w:w="238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152.7</w:t>
            </w:r>
          </w:p>
        </w:tc>
      </w:tr>
      <w:tr>
        <w:trPr>
          <w:trHeight w:val="110"/>
        </w:trPr>
        <w:tc>
          <w:tcPr>
            <w:tcW w:w="290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316"/>
        </w:trPr>
        <w:tc>
          <w:tcPr>
            <w:tcW w:w="290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3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165.3</w:t>
            </w:r>
          </w:p>
        </w:tc>
      </w:tr>
      <w:tr>
        <w:trPr>
          <w:trHeight w:val="110"/>
        </w:trPr>
        <w:tc>
          <w:tcPr>
            <w:tcW w:w="290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February 29, 2012, the Company’s domestic credit lines available under unsecured money market bid rate credit lines totaled $20.0. There were no outstanding borrowings under these credit lines at February 29, 2012, May 31, 2011 and February 28, 2011.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February 29, 2012, the Company had various local currency credit lines, with maximum available borrowings in amounts equivalent to $33.9, underwritten by banks primarily in the United States, Canada, Australia and the United Kingdom. These credit lines are typically available for overdraft borrowings or loans up to 364 days and may be renewed, if requested by the Company, at the sole option of the lender. Borrowings and weighted average interest rates for these lines of credit are presented in the table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was amended on August 16, 2010, and again on October 25, 2011. The October 25, 2011 amendment effectively extended the maturity of the Revolving Loan facility to June 1, 2014 from June 1, 2012 and provided for the repayment of the outstanding balance of the Term Loan on October 25, 2011.</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Loan Agreement, as amended, is a contractually committed unsecured credit facility that is scheduled to expire on June 1, 2014. The $325.0 Revolving Loan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920" w:right="180" w:hanging="453"/>
        <w:spacing w:after="0" w:line="25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26" w:lineRule="exact"/>
        <w:rPr>
          <w:rFonts w:ascii="Arial" w:cs="Arial" w:eastAsia="Arial" w:hAnsi="Arial"/>
          <w:sz w:val="18"/>
          <w:szCs w:val="18"/>
          <w:color w:val="auto"/>
        </w:rPr>
      </w:pPr>
    </w:p>
    <w:p>
      <w:pPr>
        <w:ind w:left="1900" w:hanging="96"/>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920" w:hanging="453"/>
        <w:spacing w:after="0" w:line="26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of February 29, 2012, the indicated spread on Base Rate Advances was 0.25% and the indicated spread on Eurodollar Rate Advances was 1.25%, both based on the Company’s prevailing consolidated debt to total capital ratio. There were no Revolving Loan Advances outstanding on February 29, 2012.</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to total capital ratio. At February 29, 2012, the facility fee rate was 0.25%.</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February 29, 2012, standby letters of credit outstanding under the Loan Agreement totaled $1.4. The Loan Agreement contains certain covenants, including interest coverage and leverage ratio tests and certain limitations on the amount of dividends and other distributions, and at February 29, 2012,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income (loss)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Three months ended</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Nine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360" w:type="dxa"/>
            <w:vAlign w:val="bottom"/>
          </w:tcPr>
          <w:p>
            <w:pPr>
              <w:spacing w:after="0"/>
              <w:rPr>
                <w:sz w:val="19"/>
                <w:szCs w:val="19"/>
                <w:color w:val="auto"/>
              </w:rPr>
            </w:pPr>
          </w:p>
        </w:tc>
        <w:tc>
          <w:tcPr>
            <w:tcW w:w="18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3"/>
              </w:rPr>
              <w:t>February 29, 2012</w:t>
            </w:r>
          </w:p>
        </w:tc>
        <w:tc>
          <w:tcPr>
            <w:tcW w:w="184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3"/>
              </w:rPr>
              <w:t>February 28, 2011</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February 29, 2012</w:t>
            </w:r>
          </w:p>
        </w:tc>
        <w:tc>
          <w:tcPr>
            <w:tcW w:w="14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February 28, 2011</w:t>
            </w:r>
          </w:p>
        </w:tc>
        <w:tc>
          <w:tcPr>
            <w:tcW w:w="20" w:type="dxa"/>
            <w:vAlign w:val="bottom"/>
          </w:tcPr>
          <w:p>
            <w:pPr>
              <w:spacing w:after="0"/>
              <w:rPr>
                <w:sz w:val="19"/>
                <w:szCs w:val="19"/>
                <w:color w:val="auto"/>
              </w:rPr>
            </w:pPr>
          </w:p>
        </w:tc>
      </w:tr>
      <w:tr>
        <w:trPr>
          <w:trHeight w:val="259"/>
        </w:trPr>
        <w:tc>
          <w:tcPr>
            <w:tcW w:w="436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r>
      <w:tr>
        <w:trPr>
          <w:trHeight w:val="464"/>
        </w:trPr>
        <w:tc>
          <w:tcPr>
            <w:tcW w:w="436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jc w:val="right"/>
              <w:ind w:right="34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500" w:type="dxa"/>
            <w:vAlign w:val="bottom"/>
          </w:tcPr>
          <w:p>
            <w:pPr>
              <w:jc w:val="right"/>
              <w:ind w:right="3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24"/>
                <w:szCs w:val="24"/>
                <w:color w:val="auto"/>
              </w:rPr>
            </w:pPr>
          </w:p>
        </w:tc>
        <w:tc>
          <w:tcPr>
            <w:tcW w:w="100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4360" w:type="dxa"/>
            <w:vAlign w:val="bottom"/>
          </w:tcPr>
          <w:p>
            <w:pPr>
              <w:spacing w:after="0"/>
              <w:rPr>
                <w:sz w:val="20"/>
                <w:szCs w:val="20"/>
                <w:color w:val="auto"/>
              </w:rPr>
            </w:pPr>
            <w:r>
              <w:rPr>
                <w:rFonts w:ascii="Arial" w:cs="Arial" w:eastAsia="Arial" w:hAnsi="Arial"/>
                <w:sz w:val="18"/>
                <w:szCs w:val="18"/>
                <w:color w:val="auto"/>
              </w:rPr>
              <w:t>Other comprehensive income (loss), net:</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3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360" w:type="dxa"/>
            <w:vAlign w:val="bottom"/>
          </w:tcPr>
          <w:p>
            <w:pPr>
              <w:ind w:left="160"/>
              <w:spacing w:after="0"/>
              <w:rPr>
                <w:sz w:val="20"/>
                <w:szCs w:val="20"/>
                <w:color w:val="auto"/>
              </w:rPr>
            </w:pPr>
            <w:r>
              <w:rPr>
                <w:rFonts w:ascii="Arial" w:cs="Arial" w:eastAsia="Arial" w:hAnsi="Arial"/>
                <w:sz w:val="18"/>
                <w:szCs w:val="18"/>
                <w:color w:val="auto"/>
              </w:rPr>
              <w:t>Pension and post-retirement adjustments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43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360" w:type="dxa"/>
            <w:vAlign w:val="bottom"/>
          </w:tcPr>
          <w:p>
            <w:pPr>
              <w:spacing w:after="0"/>
              <w:rPr>
                <w:sz w:val="20"/>
                <w:szCs w:val="20"/>
                <w:color w:val="auto"/>
              </w:rPr>
            </w:pPr>
            <w:r>
              <w:rPr>
                <w:rFonts w:ascii="Arial" w:cs="Arial" w:eastAsia="Arial" w:hAnsi="Arial"/>
                <w:sz w:val="18"/>
                <w:szCs w:val="18"/>
                <w:color w:val="auto"/>
              </w:rPr>
              <w:t>Total other comprehensive income (loss), net:</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9"/>
        </w:trPr>
        <w:tc>
          <w:tcPr>
            <w:tcW w:w="436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1340" w:type="dxa"/>
            <w:vAlign w:val="bottom"/>
            <w:tcBorders>
              <w:bottom w:val="single" w:sz="8" w:color="808080"/>
            </w:tcBorders>
            <w:gridSpan w:val="2"/>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gridSpan w:val="2"/>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1000" w:type="dxa"/>
            <w:vAlign w:val="bottom"/>
            <w:tcBorders>
              <w:bottom w:val="single" w:sz="8" w:color="808080"/>
            </w:tcBorders>
            <w:gridSpan w:val="2"/>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r>
      <w:tr>
        <w:trPr>
          <w:trHeight w:val="316"/>
        </w:trPr>
        <w:tc>
          <w:tcPr>
            <w:tcW w:w="4360" w:type="dxa"/>
            <w:vAlign w:val="bottom"/>
          </w:tcPr>
          <w:p>
            <w:pPr>
              <w:ind w:left="160"/>
              <w:spacing w:after="0"/>
              <w:rPr>
                <w:sz w:val="20"/>
                <w:szCs w:val="20"/>
                <w:color w:val="auto"/>
              </w:rPr>
            </w:pPr>
            <w:r>
              <w:rPr>
                <w:rFonts w:ascii="Arial" w:cs="Arial" w:eastAsia="Arial" w:hAnsi="Arial"/>
                <w:sz w:val="18"/>
                <w:szCs w:val="18"/>
                <w:color w:val="auto"/>
              </w:rPr>
              <w:t>Total comprehensive income (loss)</w:t>
            </w:r>
          </w:p>
        </w:tc>
        <w:tc>
          <w:tcPr>
            <w:tcW w:w="500" w:type="dxa"/>
            <w:vAlign w:val="bottom"/>
          </w:tcPr>
          <w:p>
            <w:pPr>
              <w:jc w:val="right"/>
              <w:ind w:right="34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500" w:type="dxa"/>
            <w:vAlign w:val="bottom"/>
          </w:tcPr>
          <w:p>
            <w:pPr>
              <w:jc w:val="right"/>
              <w:ind w:right="3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24"/>
                <w:szCs w:val="24"/>
                <w:color w:val="auto"/>
              </w:rPr>
            </w:pPr>
          </w:p>
        </w:tc>
        <w:tc>
          <w:tcPr>
            <w:tcW w:w="100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3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3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three and nine-month periods ended February 29, 2012 and February 28, 2011,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Three months ended</w:t>
            </w: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tcPr>
          <w:p>
            <w:pPr>
              <w:spacing w:after="0"/>
              <w:rPr>
                <w:sz w:val="19"/>
                <w:szCs w:val="19"/>
                <w:color w:val="auto"/>
              </w:rPr>
            </w:pPr>
          </w:p>
        </w:tc>
        <w:tc>
          <w:tcPr>
            <w:tcW w:w="18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February 29, 2012</w:t>
            </w:r>
          </w:p>
        </w:tc>
        <w:tc>
          <w:tcPr>
            <w:tcW w:w="184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February 28, 2011</w:t>
            </w:r>
          </w:p>
        </w:tc>
        <w:tc>
          <w:tcPr>
            <w:tcW w:w="18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February 29, 2012</w:t>
            </w:r>
          </w:p>
        </w:tc>
        <w:tc>
          <w:tcPr>
            <w:tcW w:w="17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28, 2011</w:t>
            </w:r>
          </w:p>
        </w:tc>
        <w:tc>
          <w:tcPr>
            <w:tcW w:w="0" w:type="dxa"/>
            <w:vAlign w:val="bottom"/>
          </w:tcPr>
          <w:p>
            <w:pPr>
              <w:spacing w:after="0"/>
              <w:rPr>
                <w:sz w:val="1"/>
                <w:szCs w:val="1"/>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4180" w:type="dxa"/>
            <w:vAlign w:val="bottom"/>
          </w:tcPr>
          <w:p>
            <w:pPr>
              <w:spacing w:after="0"/>
              <w:rPr>
                <w:sz w:val="20"/>
                <w:szCs w:val="20"/>
                <w:color w:val="auto"/>
              </w:rPr>
            </w:pPr>
            <w:r>
              <w:rPr>
                <w:rFonts w:ascii="Arial" w:cs="Arial" w:eastAsia="Arial" w:hAnsi="Arial"/>
                <w:sz w:val="18"/>
                <w:szCs w:val="18"/>
                <w:color w:val="auto"/>
                <w:w w:val="96"/>
              </w:rPr>
              <w:t>Earnings (loss) from continuing operations attributable</w:t>
            </w:r>
          </w:p>
        </w:tc>
        <w:tc>
          <w:tcPr>
            <w:tcW w:w="68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(9.9)</w:t>
            </w:r>
          </w:p>
        </w:tc>
        <w:tc>
          <w:tcPr>
            <w:tcW w:w="1000" w:type="dxa"/>
            <w:vAlign w:val="bottom"/>
            <w:vMerge w:val="restart"/>
          </w:tcPr>
          <w:p>
            <w:pPr>
              <w:jc w:val="right"/>
              <w:ind w:right="672"/>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(23.9)</w:t>
            </w:r>
          </w:p>
        </w:tc>
        <w:tc>
          <w:tcPr>
            <w:tcW w:w="64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rPr>
              <w:t>48.0</w:t>
            </w:r>
          </w:p>
        </w:tc>
        <w:tc>
          <w:tcPr>
            <w:tcW w:w="96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8"/>
                <w:szCs w:val="18"/>
                <w:color w:val="auto"/>
              </w:rPr>
              <w:t>to Class A and Common Shares</w:t>
            </w:r>
          </w:p>
        </w:tc>
        <w:tc>
          <w:tcPr>
            <w:tcW w:w="6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180" w:type="dxa"/>
            <w:vAlign w:val="bottom"/>
          </w:tcPr>
          <w:p>
            <w:pPr>
              <w:spacing w:after="0"/>
              <w:rPr>
                <w:sz w:val="20"/>
                <w:szCs w:val="20"/>
                <w:color w:val="auto"/>
              </w:rPr>
            </w:pPr>
            <w:r>
              <w:rPr>
                <w:rFonts w:ascii="Arial" w:cs="Arial" w:eastAsia="Arial" w:hAnsi="Arial"/>
                <w:sz w:val="18"/>
                <w:szCs w:val="18"/>
                <w:color w:val="auto"/>
              </w:rPr>
              <w:t>Earnings (loss) from discontinued operations</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8"/>
                <w:szCs w:val="18"/>
                <w:color w:val="auto"/>
                <w:w w:val="91"/>
              </w:rPr>
              <w:t>attributable to Class A and Common Shares, net of tax</w:t>
            </w:r>
          </w:p>
        </w:tc>
        <w:tc>
          <w:tcPr>
            <w:tcW w:w="6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100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180" w:type="dxa"/>
            <w:vAlign w:val="bottom"/>
          </w:tcPr>
          <w:p>
            <w:pPr>
              <w:spacing w:after="0"/>
              <w:rPr>
                <w:sz w:val="20"/>
                <w:szCs w:val="20"/>
                <w:color w:val="auto"/>
              </w:rPr>
            </w:pPr>
            <w:r>
              <w:rPr>
                <w:rFonts w:ascii="Arial" w:cs="Arial" w:eastAsia="Arial" w:hAnsi="Arial"/>
                <w:sz w:val="18"/>
                <w:szCs w:val="18"/>
                <w:color w:val="auto"/>
                <w:w w:val="95"/>
              </w:rPr>
              <w:t>Net income (loss) attributable to Class A and Common</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8"/>
                <w:szCs w:val="18"/>
                <w:color w:val="auto"/>
              </w:rPr>
              <w:t>Shares</w:t>
            </w:r>
          </w:p>
        </w:tc>
        <w:tc>
          <w:tcPr>
            <w:tcW w:w="6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100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(25.0)</w:t>
            </w:r>
          </w:p>
        </w:tc>
        <w:tc>
          <w:tcPr>
            <w:tcW w:w="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45.1</w:t>
            </w:r>
          </w:p>
        </w:tc>
        <w:tc>
          <w:tcPr>
            <w:tcW w:w="9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58"/>
        </w:trPr>
        <w:tc>
          <w:tcPr>
            <w:tcW w:w="4180" w:type="dxa"/>
            <w:vAlign w:val="bottom"/>
          </w:tcPr>
          <w:p>
            <w:pPr>
              <w:spacing w:after="0"/>
              <w:rPr>
                <w:sz w:val="20"/>
                <w:szCs w:val="20"/>
                <w:color w:val="auto"/>
              </w:rPr>
            </w:pPr>
            <w:r>
              <w:rPr>
                <w:rFonts w:ascii="Arial" w:cs="Arial" w:eastAsia="Arial" w:hAnsi="Arial"/>
                <w:sz w:val="18"/>
                <w:szCs w:val="18"/>
                <w:color w:val="auto"/>
                <w:w w:val="90"/>
              </w:rPr>
              <w:t>Weighted average Shares of Class A Stock and Common</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w w:val="95"/>
              </w:rPr>
              <w:t>Stock outstanding for basic earnings (loss) per share</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8"/>
                <w:szCs w:val="18"/>
                <w:color w:val="auto"/>
              </w:rPr>
              <w:t>(in millions)</w:t>
            </w:r>
          </w:p>
        </w:tc>
        <w:tc>
          <w:tcPr>
            <w:tcW w:w="6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10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30.9</w:t>
            </w:r>
          </w:p>
        </w:tc>
        <w:tc>
          <w:tcPr>
            <w:tcW w:w="6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9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358"/>
        </w:trPr>
        <w:tc>
          <w:tcPr>
            <w:tcW w:w="4180" w:type="dxa"/>
            <w:vAlign w:val="bottom"/>
          </w:tcPr>
          <w:p>
            <w:pPr>
              <w:spacing w:after="0"/>
              <w:rPr>
                <w:sz w:val="20"/>
                <w:szCs w:val="20"/>
                <w:color w:val="auto"/>
              </w:rPr>
            </w:pPr>
            <w:r>
              <w:rPr>
                <w:rFonts w:ascii="Arial" w:cs="Arial" w:eastAsia="Arial" w:hAnsi="Arial"/>
                <w:sz w:val="18"/>
                <w:szCs w:val="18"/>
                <w:color w:val="auto"/>
              </w:rPr>
              <w:t>Dilutive effect of Class A Stock and Common Stock</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rPr>
              <w:t>potentially issuable pursuant to stock-based</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8"/>
                <w:szCs w:val="18"/>
                <w:color w:val="auto"/>
              </w:rPr>
              <w:t>compensation plans (in millions)</w:t>
            </w:r>
          </w:p>
        </w:tc>
        <w:tc>
          <w:tcPr>
            <w:tcW w:w="6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9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358"/>
        </w:trPr>
        <w:tc>
          <w:tcPr>
            <w:tcW w:w="4180" w:type="dxa"/>
            <w:vAlign w:val="bottom"/>
          </w:tcPr>
          <w:p>
            <w:pPr>
              <w:spacing w:after="0"/>
              <w:rPr>
                <w:sz w:val="20"/>
                <w:szCs w:val="20"/>
                <w:color w:val="auto"/>
              </w:rPr>
            </w:pPr>
            <w:r>
              <w:rPr>
                <w:rFonts w:ascii="Arial" w:cs="Arial" w:eastAsia="Arial" w:hAnsi="Arial"/>
                <w:sz w:val="18"/>
                <w:szCs w:val="18"/>
                <w:color w:val="auto"/>
                <w:w w:val="92"/>
              </w:rPr>
              <w:t>Adjusted weighted average Shares of Class A Stock and</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color w:val="auto"/>
                <w:w w:val="93"/>
              </w:rPr>
              <w:t>Common Stock outstanding for diluted earnings (loss)</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8"/>
                <w:szCs w:val="18"/>
                <w:color w:val="auto"/>
              </w:rPr>
              <w:t>per share (in millions)</w:t>
            </w:r>
          </w:p>
        </w:tc>
        <w:tc>
          <w:tcPr>
            <w:tcW w:w="6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100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30.9</w:t>
            </w:r>
          </w:p>
        </w:tc>
        <w:tc>
          <w:tcPr>
            <w:tcW w:w="64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31.6</w:t>
            </w:r>
          </w:p>
        </w:tc>
        <w:tc>
          <w:tcPr>
            <w:tcW w:w="9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352"/>
        </w:trPr>
        <w:tc>
          <w:tcPr>
            <w:tcW w:w="418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Stock and</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60"/>
              <w:spacing w:after="0"/>
              <w:rPr>
                <w:sz w:val="20"/>
                <w:szCs w:val="20"/>
                <w:color w:val="auto"/>
              </w:rPr>
            </w:pPr>
            <w:r>
              <w:rPr>
                <w:rFonts w:ascii="Arial" w:cs="Arial" w:eastAsia="Arial" w:hAnsi="Arial"/>
                <w:sz w:val="18"/>
                <w:szCs w:val="18"/>
                <w:b w:val="1"/>
                <w:bCs w:val="1"/>
                <w:color w:val="auto"/>
              </w:rPr>
              <w:t>Common Stock:</w:t>
            </w: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Arial" w:cs="Arial" w:eastAsia="Arial" w:hAnsi="Arial"/>
                <w:sz w:val="18"/>
                <w:szCs w:val="18"/>
                <w:b w:val="1"/>
                <w:bCs w:val="1"/>
                <w:color w:val="auto"/>
              </w:rPr>
              <w:t>Basic earnings (loss) per share:</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4180" w:type="dxa"/>
            <w:vAlign w:val="bottom"/>
          </w:tcPr>
          <w:p>
            <w:pPr>
              <w:spacing w:after="0"/>
              <w:rPr>
                <w:sz w:val="20"/>
                <w:szCs w:val="20"/>
                <w:color w:val="auto"/>
              </w:rPr>
            </w:pPr>
            <w:r>
              <w:rPr>
                <w:rFonts w:ascii="Arial" w:cs="Arial" w:eastAsia="Arial" w:hAnsi="Arial"/>
                <w:sz w:val="18"/>
                <w:szCs w:val="18"/>
                <w:color w:val="auto"/>
              </w:rPr>
              <w:t>Earnings (loss) from continuing operations</w:t>
            </w:r>
          </w:p>
        </w:tc>
        <w:tc>
          <w:tcPr>
            <w:tcW w:w="6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(0.32)</w:t>
            </w:r>
          </w:p>
        </w:tc>
        <w:tc>
          <w:tcPr>
            <w:tcW w:w="100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(0.77)</w:t>
            </w:r>
          </w:p>
        </w:tc>
        <w:tc>
          <w:tcPr>
            <w:tcW w:w="6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1.54</w:t>
            </w:r>
          </w:p>
        </w:tc>
        <w:tc>
          <w:tcPr>
            <w:tcW w:w="96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Arial" w:cs="Arial" w:eastAsia="Arial" w:hAnsi="Arial"/>
                <w:sz w:val="18"/>
                <w:szCs w:val="18"/>
                <w:color w:val="auto"/>
                <w:w w:val="94"/>
              </w:rPr>
              <w:t>Earnings (loss) from discontinued operations, net of tax</w:t>
            </w:r>
          </w:p>
        </w:tc>
        <w:tc>
          <w:tcPr>
            <w:tcW w:w="6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(0.01)</w:t>
            </w:r>
          </w:p>
        </w:tc>
        <w:tc>
          <w:tcPr>
            <w:tcW w:w="100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(0.04)</w:t>
            </w:r>
          </w:p>
        </w:tc>
        <w:tc>
          <w:tcPr>
            <w:tcW w:w="6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(0.09)</w:t>
            </w:r>
          </w:p>
        </w:tc>
        <w:tc>
          <w:tcPr>
            <w:tcW w:w="96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(0.33)</w:t>
            </w:r>
          </w:p>
        </w:tc>
        <w:tc>
          <w:tcPr>
            <w:tcW w:w="100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(0.81)</w:t>
            </w:r>
          </w:p>
        </w:tc>
        <w:tc>
          <w:tcPr>
            <w:tcW w:w="6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1.45</w:t>
            </w:r>
          </w:p>
        </w:tc>
        <w:tc>
          <w:tcPr>
            <w:tcW w:w="96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0.43</w:t>
            </w: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180" w:type="dxa"/>
            <w:vAlign w:val="bottom"/>
          </w:tcPr>
          <w:p>
            <w:pPr>
              <w:spacing w:after="0"/>
              <w:rPr>
                <w:sz w:val="20"/>
                <w:szCs w:val="20"/>
                <w:color w:val="auto"/>
              </w:rPr>
            </w:pPr>
            <w:r>
              <w:rPr>
                <w:rFonts w:ascii="Arial" w:cs="Arial" w:eastAsia="Arial" w:hAnsi="Arial"/>
                <w:sz w:val="18"/>
                <w:szCs w:val="18"/>
                <w:color w:val="auto"/>
              </w:rPr>
              <w:t>Earnings (loss) from continuing operations</w:t>
            </w:r>
          </w:p>
        </w:tc>
        <w:tc>
          <w:tcPr>
            <w:tcW w:w="6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(0.32)</w:t>
            </w:r>
          </w:p>
        </w:tc>
        <w:tc>
          <w:tcPr>
            <w:tcW w:w="100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(0.77)</w:t>
            </w:r>
          </w:p>
        </w:tc>
        <w:tc>
          <w:tcPr>
            <w:tcW w:w="6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1.52</w:t>
            </w:r>
          </w:p>
        </w:tc>
        <w:tc>
          <w:tcPr>
            <w:tcW w:w="96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0.55</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Arial" w:cs="Arial" w:eastAsia="Arial" w:hAnsi="Arial"/>
                <w:sz w:val="18"/>
                <w:szCs w:val="18"/>
                <w:color w:val="auto"/>
                <w:w w:val="94"/>
              </w:rPr>
              <w:t>Earnings (loss) from discontinued operations, net of tax</w:t>
            </w:r>
          </w:p>
        </w:tc>
        <w:tc>
          <w:tcPr>
            <w:tcW w:w="6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(0.01)</w:t>
            </w:r>
          </w:p>
        </w:tc>
        <w:tc>
          <w:tcPr>
            <w:tcW w:w="100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(0.04)</w:t>
            </w:r>
          </w:p>
        </w:tc>
        <w:tc>
          <w:tcPr>
            <w:tcW w:w="6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(0.09)</w:t>
            </w:r>
          </w:p>
        </w:tc>
        <w:tc>
          <w:tcPr>
            <w:tcW w:w="96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(0.33)</w:t>
            </w:r>
          </w:p>
        </w:tc>
        <w:tc>
          <w:tcPr>
            <w:tcW w:w="1000" w:type="dxa"/>
            <w:vAlign w:val="bottom"/>
          </w:tcPr>
          <w:p>
            <w:pPr>
              <w:jc w:val="right"/>
              <w:ind w:right="67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(0.81)</w:t>
            </w:r>
          </w:p>
        </w:tc>
        <w:tc>
          <w:tcPr>
            <w:tcW w:w="6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auto"/>
              </w:rPr>
              <w:t>1.43</w:t>
            </w:r>
          </w:p>
        </w:tc>
        <w:tc>
          <w:tcPr>
            <w:tcW w:w="960" w:type="dxa"/>
            <w:vAlign w:val="bottom"/>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0.42</w:t>
            </w:r>
          </w:p>
        </w:tc>
        <w:tc>
          <w:tcPr>
            <w:tcW w:w="0" w:type="dxa"/>
            <w:vAlign w:val="bottom"/>
          </w:tcPr>
          <w:p>
            <w:pPr>
              <w:spacing w:after="0"/>
              <w:rPr>
                <w:sz w:val="1"/>
                <w:szCs w:val="1"/>
                <w:color w:val="auto"/>
              </w:rPr>
            </w:pPr>
          </w:p>
        </w:tc>
      </w:tr>
      <w:tr>
        <w:trPr>
          <w:trHeight w:val="110"/>
        </w:trPr>
        <w:tc>
          <w:tcPr>
            <w:tcW w:w="4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20" w:firstLine="8"/>
        <w:spacing w:after="0" w:line="268" w:lineRule="auto"/>
        <w:tabs>
          <w:tab w:leader="none" w:pos="1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three months ended February 29, 2012 and February 28, 2011, the Company experienced a loss from continuing operations and therefore did not report any dilutive share impact.</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periods of Net loss, dilutive earnings per share are not reported as the effect of the potentially dilutive shares becomes anti-dilutive.</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 period in which the Company reports a discontinued operation, Earnings (loss) from continuing operations is used as the “control number” in determining whether potentially dilutive common shares are dilutive or anti-dilutive.</w:t>
      </w:r>
    </w:p>
    <w:p>
      <w:pPr>
        <w:spacing w:after="0" w:line="18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 portion of the Company’s restricted stock units (“RSUs”) granted to employees participate in earnings through cumulative non-forfeitable dividends payable to the employees upon vesting of the RSUs. Accordingly, the Company measures earnings per share based upon the two-class method.</w:t>
      </w:r>
    </w:p>
    <w:p>
      <w:pPr>
        <w:spacing w:after="0" w:line="13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Earnings from continuing operations exclude losses of less than $0.1 and earnings of $0.3 for the three and nine months ended February 29, 2012, and a loss of $0.1 and earnings of $0.2 for the three and nine months ended February 28, 2011, respectively, in respect of earnings attributable to participating RSUs.</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Potentially dilutive shares outstanding pursuant to compensation plans that were not included in the diluted earnings per share calculation because they were anti-dilutive were 3.7 million and 5.4 million for the three months ended February 29, 2012 and February 28, 2011, respectively, and 4.3 million and 4.4 million for the nine months ended February 29, 2012 and February 28, 2011, respectively. Options outstanding pursuant to compensation plans were 5.5 million and 5.4 million as of February 29, 2012 and February 28, 2011,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29, 2012, $38.9 remains available for future purchases of common shares under the current repurchase authorization of the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14, “Treasury Stock,” for a more complete description of the Company’s share buy-back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spacing w:after="0"/>
              <w:rPr>
                <w:sz w:val="20"/>
                <w:szCs w:val="20"/>
                <w:color w:val="auto"/>
              </w:rPr>
            </w:pPr>
            <w:r>
              <w:rPr>
                <w:rFonts w:ascii="Arial" w:cs="Arial" w:eastAsia="Arial" w:hAnsi="Arial"/>
                <w:sz w:val="18"/>
                <w:szCs w:val="18"/>
                <w:color w:val="auto"/>
                <w:w w:val="91"/>
              </w:rPr>
              <w:t>The following table summarizes the activity in Goodwill for the periods indicated:</w:t>
            </w: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3"/>
        </w:trPr>
        <w:tc>
          <w:tcPr>
            <w:tcW w:w="5880" w:type="dxa"/>
            <w:vAlign w:val="bottom"/>
          </w:tcPr>
          <w:p>
            <w:pPr>
              <w:spacing w:after="0"/>
              <w:rPr>
                <w:sz w:val="24"/>
                <w:szCs w:val="24"/>
                <w:color w:val="auto"/>
              </w:rPr>
            </w:pPr>
          </w:p>
        </w:tc>
        <w:tc>
          <w:tcPr>
            <w:tcW w:w="17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w w:val="92"/>
              </w:rPr>
              <w:t>Nine months ended</w:t>
            </w:r>
          </w:p>
        </w:tc>
        <w:tc>
          <w:tcPr>
            <w:tcW w:w="2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94"/>
              </w:rPr>
              <w:t>Twelve months ended</w:t>
            </w: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Nine months ended</w:t>
            </w:r>
          </w:p>
        </w:tc>
      </w:tr>
      <w:tr>
        <w:trPr>
          <w:trHeight w:val="228"/>
        </w:trPr>
        <w:tc>
          <w:tcPr>
            <w:tcW w:w="5880" w:type="dxa"/>
            <w:vAlign w:val="bottom"/>
          </w:tcPr>
          <w:p>
            <w:pPr>
              <w:spacing w:after="0"/>
              <w:rPr>
                <w:sz w:val="19"/>
                <w:szCs w:val="19"/>
                <w:color w:val="auto"/>
              </w:rPr>
            </w:pPr>
          </w:p>
        </w:tc>
        <w:tc>
          <w:tcPr>
            <w:tcW w:w="17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w w:val="98"/>
              </w:rPr>
              <w:t>February 29, 2012</w:t>
            </w:r>
          </w:p>
        </w:tc>
        <w:tc>
          <w:tcPr>
            <w:tcW w:w="360" w:type="dxa"/>
            <w:vAlign w:val="bottom"/>
          </w:tcPr>
          <w:p>
            <w:pPr>
              <w:spacing w:after="0"/>
              <w:rPr>
                <w:sz w:val="19"/>
                <w:szCs w:val="19"/>
                <w:color w:val="auto"/>
              </w:rPr>
            </w:pPr>
          </w:p>
        </w:tc>
        <w:tc>
          <w:tcPr>
            <w:tcW w:w="1680" w:type="dxa"/>
            <w:vAlign w:val="bottom"/>
          </w:tcPr>
          <w:p>
            <w:pPr>
              <w:jc w:val="right"/>
              <w:ind w:right="472"/>
              <w:spacing w:after="0"/>
              <w:rPr>
                <w:sz w:val="20"/>
                <w:szCs w:val="20"/>
                <w:color w:val="auto"/>
              </w:rPr>
            </w:pPr>
            <w:r>
              <w:rPr>
                <w:rFonts w:ascii="Arial" w:cs="Arial" w:eastAsia="Arial" w:hAnsi="Arial"/>
                <w:sz w:val="18"/>
                <w:szCs w:val="18"/>
                <w:b w:val="1"/>
                <w:bCs w:val="1"/>
                <w:color w:val="auto"/>
                <w:w w:val="99"/>
              </w:rPr>
              <w:t>May 31, 2011</w:t>
            </w:r>
          </w:p>
        </w:tc>
        <w:tc>
          <w:tcPr>
            <w:tcW w:w="17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28, 2011</w:t>
            </w:r>
          </w:p>
        </w:tc>
      </w:tr>
      <w:tr>
        <w:trPr>
          <w:trHeight w:val="110"/>
        </w:trPr>
        <w:tc>
          <w:tcPr>
            <w:tcW w:w="58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5880" w:type="dxa"/>
            <w:vAlign w:val="bottom"/>
          </w:tcPr>
          <w:p>
            <w:pPr>
              <w:spacing w:after="0"/>
              <w:rPr>
                <w:sz w:val="20"/>
                <w:szCs w:val="20"/>
                <w:color w:val="auto"/>
              </w:rPr>
            </w:pPr>
            <w:r>
              <w:rPr>
                <w:rFonts w:ascii="Arial" w:cs="Arial" w:eastAsia="Arial" w:hAnsi="Arial"/>
                <w:sz w:val="18"/>
                <w:szCs w:val="18"/>
                <w:color w:val="auto"/>
              </w:rPr>
              <w:t>Gross beginning balance</w:t>
            </w:r>
          </w:p>
        </w:tc>
        <w:tc>
          <w:tcPr>
            <w:tcW w:w="6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175.0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174.0</w:t>
            </w: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174.0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Accumulated impairment</w:t>
            </w:r>
          </w:p>
        </w:tc>
        <w:tc>
          <w:tcPr>
            <w:tcW w:w="68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(17.4)</w:t>
            </w: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110"/>
        </w:trPr>
        <w:tc>
          <w:tcPr>
            <w:tcW w:w="58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8"/>
        </w:trPr>
        <w:tc>
          <w:tcPr>
            <w:tcW w:w="5880" w:type="dxa"/>
            <w:vAlign w:val="bottom"/>
          </w:tcPr>
          <w:p>
            <w:pPr>
              <w:spacing w:after="0"/>
              <w:rPr>
                <w:sz w:val="20"/>
                <w:szCs w:val="20"/>
                <w:color w:val="auto"/>
              </w:rPr>
            </w:pPr>
            <w:r>
              <w:rPr>
                <w:rFonts w:ascii="Arial" w:cs="Arial" w:eastAsia="Arial" w:hAnsi="Arial"/>
                <w:sz w:val="18"/>
                <w:szCs w:val="18"/>
                <w:color w:val="auto"/>
              </w:rPr>
              <w:t>Beginning balance</w:t>
            </w:r>
          </w:p>
        </w:tc>
        <w:tc>
          <w:tcPr>
            <w:tcW w:w="6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154.2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156.6</w:t>
            </w: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156.6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Additions</w:t>
            </w:r>
          </w:p>
        </w:tc>
        <w:tc>
          <w:tcPr>
            <w:tcW w:w="68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Impairment charge</w:t>
            </w:r>
          </w:p>
        </w:tc>
        <w:tc>
          <w:tcPr>
            <w:tcW w:w="68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68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7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9"/>
                <w:szCs w:val="19"/>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58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09"/>
        </w:trPr>
        <w:tc>
          <w:tcPr>
            <w:tcW w:w="5880" w:type="dxa"/>
            <w:vAlign w:val="bottom"/>
          </w:tcPr>
          <w:p>
            <w:pPr>
              <w:spacing w:after="0"/>
              <w:rPr>
                <w:sz w:val="20"/>
                <w:szCs w:val="20"/>
                <w:color w:val="auto"/>
              </w:rPr>
            </w:pPr>
            <w:r>
              <w:rPr>
                <w:rFonts w:ascii="Arial" w:cs="Arial" w:eastAsia="Arial" w:hAnsi="Arial"/>
                <w:sz w:val="18"/>
                <w:szCs w:val="18"/>
                <w:color w:val="auto"/>
              </w:rPr>
              <w:t>Gross ending balance</w:t>
            </w:r>
          </w:p>
        </w:tc>
        <w:tc>
          <w:tcPr>
            <w:tcW w:w="6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183.7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175.0</w:t>
            </w:r>
          </w:p>
        </w:tc>
        <w:tc>
          <w:tcPr>
            <w:tcW w:w="720" w:type="dxa"/>
            <w:vAlign w:val="bottom"/>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175.7</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Accumulated impairment</w:t>
            </w:r>
          </w:p>
        </w:tc>
        <w:tc>
          <w:tcPr>
            <w:tcW w:w="68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110"/>
        </w:trPr>
        <w:tc>
          <w:tcPr>
            <w:tcW w:w="58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58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68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b w:val="1"/>
                <w:bCs w:val="1"/>
                <w:color w:val="auto"/>
              </w:rPr>
              <w:t>162.9</w:t>
            </w:r>
          </w:p>
        </w:tc>
        <w:tc>
          <w:tcPr>
            <w:tcW w:w="3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12"/>
              <w:spacing w:after="0"/>
              <w:rPr>
                <w:sz w:val="20"/>
                <w:szCs w:val="20"/>
                <w:color w:val="auto"/>
              </w:rPr>
            </w:pPr>
            <w:r>
              <w:rPr>
                <w:rFonts w:ascii="Arial" w:cs="Arial" w:eastAsia="Arial" w:hAnsi="Arial"/>
                <w:sz w:val="18"/>
                <w:szCs w:val="18"/>
                <w:b w:val="1"/>
                <w:bCs w:val="1"/>
                <w:color w:val="auto"/>
              </w:rPr>
              <w:t>154.2</w:t>
            </w:r>
          </w:p>
        </w:tc>
        <w:tc>
          <w:tcPr>
            <w:tcW w:w="7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158.3</w:t>
            </w:r>
          </w:p>
        </w:tc>
      </w:tr>
      <w:tr>
        <w:trPr>
          <w:trHeight w:val="110"/>
        </w:trPr>
        <w:tc>
          <w:tcPr>
            <w:tcW w:w="58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On January 3, 2012, the Company acquired Learners Publishing, a Singapore-based publisher of supplemental learning materials for English-Language Learners, for $2.8, net of cash acquired. The Company utilized Level 3 fair value measurement inputs, using its own assumptions, including internally-developed discounted cash flow forecasts, to preliminarily determine the fair value of the assets acquired and the amount of goodwill to be allocated to the Learners Publishing business. As a result of this transaction, the Company recorded $1.3 of goodwill. The Company has not completed its purchase accounting for this transaction. The results of operations of this business subsequent to the acquisition date are included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3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On February 8, 2012, the Company acquired the business and certain assets of Weekly Reader, a publisher of weekly educational classroom magazines designed for children in grades Pre-K–12, for $2.0 in cash and $4.5 in assumed liabilities as of February 29, 2012. As a result of this transaction, the Company recorded $6.5 of goodwill. The Company has not completed its purchase accounting for this transaction and expects to recognize intangible assets, such as customer lists and trade names, acquired in the transaction. The results of operations of this business subsequent to the acquisition date are included in the </w:t>
      </w:r>
      <w:r>
        <w:rPr>
          <w:rFonts w:ascii="Arial" w:cs="Arial" w:eastAsia="Arial" w:hAnsi="Arial"/>
          <w:sz w:val="16"/>
          <w:szCs w:val="16"/>
          <w:i w:val="1"/>
          <w:iCs w:val="1"/>
          <w:color w:val="auto"/>
        </w:rPr>
        <w:t>Classroom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Supplemental Materials Publishing </w:t>
      </w:r>
      <w:r>
        <w:rPr>
          <w:rFonts w:ascii="Arial" w:cs="Arial" w:eastAsia="Arial" w:hAnsi="Arial"/>
          <w:sz w:val="16"/>
          <w:szCs w:val="16"/>
          <w:color w:val="auto"/>
        </w:rPr>
        <w:t>segment, and certain assets will benefit the</w:t>
      </w:r>
      <w:r>
        <w:rPr>
          <w:rFonts w:ascii="Arial" w:cs="Arial" w:eastAsia="Arial" w:hAnsi="Arial"/>
          <w:sz w:val="16"/>
          <w:szCs w:val="16"/>
          <w:i w:val="1"/>
          <w:iCs w:val="1"/>
          <w:color w:val="auto"/>
        </w:rPr>
        <w:t xml:space="preserve"> Children’s Book Publishing and Distribution </w:t>
      </w:r>
      <w:r>
        <w:rPr>
          <w:rFonts w:ascii="Arial" w:cs="Arial" w:eastAsia="Arial" w:hAnsi="Arial"/>
          <w:sz w:val="16"/>
          <w:szCs w:val="16"/>
          <w:color w:val="auto"/>
        </w:rPr>
        <w:t>segment.</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9, 2010, the Company purchased the assets of Math Solutions, an education resources and professional development company focusing on K-12 math instruction, for $8.0, net of cash. The Company has integrated this business with its existing educational technology businesses. The Company utilized Level 3 fair value measurement inputs, using its own assumptions, including internally-developed discounted cash flow forecasts, to determine the fair value of the assets acquired and the amount of goodwill to be allocated to the Math Solutions business. As a result, the Company recognized $1.7 of goodwill and $5.6 of amortizable intangible assets. In the second quarter of fiscal 2011, the Company also recognized $0.2 of goodwill associated with a previously acquired international entity.</w:t>
      </w:r>
    </w:p>
    <w:p>
      <w:pPr>
        <w:spacing w:after="0" w:line="1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As of May 31, 2011, the Company determined the carrying value of its Scholastic Library Publishing and Classroom Magazines business within the </w:t>
      </w:r>
      <w:r>
        <w:rPr>
          <w:rFonts w:ascii="Arial" w:cs="Arial" w:eastAsia="Arial" w:hAnsi="Arial"/>
          <w:sz w:val="18"/>
          <w:szCs w:val="18"/>
          <w:i w:val="1"/>
          <w:iCs w:val="1"/>
          <w:color w:val="auto"/>
        </w:rPr>
        <w:t>Classroom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Supplemental Materials Publishing </w:t>
      </w:r>
      <w:r>
        <w:rPr>
          <w:rFonts w:ascii="Arial" w:cs="Arial" w:eastAsia="Arial" w:hAnsi="Arial"/>
          <w:sz w:val="18"/>
          <w:szCs w:val="18"/>
          <w:color w:val="auto"/>
        </w:rPr>
        <w:t>segment exceeded the fair value of this reporting unit. The Company employed internally-developed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forecasts and market comparisons to determine the fair value of the reporting unit and the implied fair value of the reporting unit’s assets and liabilities. Accordingly, the Company recognized an impairment charge of $3.4 at May 31, 2011.</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Total other intangibles subject to amortization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0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Nine months ended</w:t>
            </w:r>
          </w:p>
        </w:tc>
        <w:tc>
          <w:tcPr>
            <w:tcW w:w="2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94"/>
              </w:rPr>
              <w:t>Twelve months ended</w:t>
            </w: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Nine months ended</w:t>
            </w:r>
          </w:p>
        </w:tc>
      </w:tr>
      <w:tr>
        <w:trPr>
          <w:trHeight w:val="228"/>
        </w:trPr>
        <w:tc>
          <w:tcPr>
            <w:tcW w:w="5580" w:type="dxa"/>
            <w:vAlign w:val="bottom"/>
          </w:tcPr>
          <w:p>
            <w:pPr>
              <w:spacing w:after="0"/>
              <w:rPr>
                <w:sz w:val="19"/>
                <w:szCs w:val="19"/>
                <w:color w:val="auto"/>
              </w:rPr>
            </w:pPr>
          </w:p>
        </w:tc>
        <w:tc>
          <w:tcPr>
            <w:tcW w:w="208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February 29, 2012</w:t>
            </w:r>
          </w:p>
        </w:tc>
        <w:tc>
          <w:tcPr>
            <w:tcW w:w="360" w:type="dxa"/>
            <w:vAlign w:val="bottom"/>
          </w:tcPr>
          <w:p>
            <w:pPr>
              <w:spacing w:after="0"/>
              <w:rPr>
                <w:sz w:val="19"/>
                <w:szCs w:val="19"/>
                <w:color w:val="auto"/>
              </w:rPr>
            </w:pPr>
          </w:p>
        </w:tc>
        <w:tc>
          <w:tcPr>
            <w:tcW w:w="1680" w:type="dxa"/>
            <w:vAlign w:val="bottom"/>
          </w:tcPr>
          <w:p>
            <w:pPr>
              <w:jc w:val="right"/>
              <w:ind w:right="472"/>
              <w:spacing w:after="0"/>
              <w:rPr>
                <w:sz w:val="20"/>
                <w:szCs w:val="20"/>
                <w:color w:val="auto"/>
              </w:rPr>
            </w:pPr>
            <w:r>
              <w:rPr>
                <w:rFonts w:ascii="Arial" w:cs="Arial" w:eastAsia="Arial" w:hAnsi="Arial"/>
                <w:sz w:val="18"/>
                <w:szCs w:val="18"/>
                <w:b w:val="1"/>
                <w:bCs w:val="1"/>
                <w:color w:val="auto"/>
                <w:w w:val="99"/>
              </w:rPr>
              <w:t>May 31, 2011</w:t>
            </w:r>
          </w:p>
        </w:tc>
        <w:tc>
          <w:tcPr>
            <w:tcW w:w="17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28, 2011</w:t>
            </w:r>
          </w:p>
        </w:tc>
      </w:tr>
      <w:tr>
        <w:trPr>
          <w:trHeight w:val="259"/>
        </w:trPr>
        <w:tc>
          <w:tcPr>
            <w:tcW w:w="5580" w:type="dxa"/>
            <w:vAlign w:val="bottom"/>
            <w:tcBorders>
              <w:bottom w:val="single" w:sz="8" w:color="808080"/>
            </w:tcBorders>
          </w:tcPr>
          <w:p>
            <w:pPr>
              <w:spacing w:after="0"/>
              <w:rPr>
                <w:sz w:val="22"/>
                <w:szCs w:val="22"/>
                <w:color w:val="auto"/>
              </w:rPr>
            </w:pPr>
          </w:p>
        </w:tc>
        <w:tc>
          <w:tcPr>
            <w:tcW w:w="102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168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r>
      <w:tr>
        <w:trPr>
          <w:trHeight w:val="458"/>
        </w:trPr>
        <w:tc>
          <w:tcPr>
            <w:tcW w:w="5580" w:type="dxa"/>
            <w:vAlign w:val="bottom"/>
          </w:tcPr>
          <w:p>
            <w:pPr>
              <w:spacing w:after="0"/>
              <w:rPr>
                <w:sz w:val="20"/>
                <w:szCs w:val="20"/>
                <w:color w:val="auto"/>
              </w:rPr>
            </w:pPr>
            <w:r>
              <w:rPr>
                <w:rFonts w:ascii="Arial" w:cs="Arial" w:eastAsia="Arial" w:hAnsi="Arial"/>
                <w:sz w:val="18"/>
                <w:szCs w:val="18"/>
                <w:color w:val="auto"/>
              </w:rPr>
              <w:t>Beginning balance - customer lists</w:t>
            </w: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Amortization expense</w:t>
            </w:r>
          </w:p>
        </w:tc>
        <w:tc>
          <w:tcPr>
            <w:tcW w:w="10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020" w:type="dxa"/>
            <w:vAlign w:val="bottom"/>
          </w:tcPr>
          <w:p>
            <w:pPr>
              <w:spacing w:after="0"/>
              <w:rPr>
                <w:sz w:val="19"/>
                <w:szCs w:val="19"/>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7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w:t>
            </w:r>
          </w:p>
        </w:tc>
      </w:tr>
      <w:tr>
        <w:trPr>
          <w:trHeight w:val="110"/>
        </w:trPr>
        <w:tc>
          <w:tcPr>
            <w:tcW w:w="55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r>
      <w:tr>
        <w:trPr>
          <w:trHeight w:val="309"/>
        </w:trPr>
        <w:tc>
          <w:tcPr>
            <w:tcW w:w="5580" w:type="dxa"/>
            <w:vAlign w:val="bottom"/>
          </w:tcPr>
          <w:p>
            <w:pPr>
              <w:spacing w:after="0"/>
              <w:rPr>
                <w:sz w:val="20"/>
                <w:szCs w:val="20"/>
                <w:color w:val="auto"/>
              </w:rPr>
            </w:pPr>
            <w:r>
              <w:rPr>
                <w:rFonts w:ascii="Arial" w:cs="Arial" w:eastAsia="Arial" w:hAnsi="Arial"/>
                <w:sz w:val="18"/>
                <w:szCs w:val="18"/>
                <w:color w:val="auto"/>
                <w:w w:val="98"/>
              </w:rPr>
              <w:t>Customer lists, net of accumulated amortization of $1.3, $1.1 and $1.1,</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2"/>
        </w:trPr>
        <w:tc>
          <w:tcPr>
            <w:tcW w:w="55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110"/>
        </w:trPr>
        <w:tc>
          <w:tcPr>
            <w:tcW w:w="55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r>
      <w:tr>
        <w:trPr>
          <w:trHeight w:val="458"/>
        </w:trPr>
        <w:tc>
          <w:tcPr>
            <w:tcW w:w="5580" w:type="dxa"/>
            <w:vAlign w:val="bottom"/>
          </w:tcPr>
          <w:p>
            <w:pPr>
              <w:spacing w:after="0"/>
              <w:rPr>
                <w:sz w:val="20"/>
                <w:szCs w:val="20"/>
                <w:color w:val="auto"/>
              </w:rPr>
            </w:pPr>
            <w:r>
              <w:rPr>
                <w:rFonts w:ascii="Arial" w:cs="Arial" w:eastAsia="Arial" w:hAnsi="Arial"/>
                <w:sz w:val="18"/>
                <w:szCs w:val="18"/>
                <w:color w:val="auto"/>
              </w:rPr>
              <w:t>Beginning balance - other intangibles</w:t>
            </w: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102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7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Reclassified from indefinite-lived intangible assets</w:t>
            </w:r>
          </w:p>
        </w:tc>
        <w:tc>
          <w:tcPr>
            <w:tcW w:w="102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7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Impairment charge</w:t>
            </w:r>
          </w:p>
        </w:tc>
        <w:tc>
          <w:tcPr>
            <w:tcW w:w="10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Amortization expense</w:t>
            </w:r>
          </w:p>
        </w:tc>
        <w:tc>
          <w:tcPr>
            <w:tcW w:w="102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110"/>
        </w:trPr>
        <w:tc>
          <w:tcPr>
            <w:tcW w:w="55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r>
      <w:tr>
        <w:trPr>
          <w:trHeight w:val="309"/>
        </w:trPr>
        <w:tc>
          <w:tcPr>
            <w:tcW w:w="5580" w:type="dxa"/>
            <w:vAlign w:val="bottom"/>
          </w:tcPr>
          <w:p>
            <w:pPr>
              <w:spacing w:after="0"/>
              <w:rPr>
                <w:sz w:val="20"/>
                <w:szCs w:val="20"/>
                <w:color w:val="auto"/>
              </w:rPr>
            </w:pPr>
            <w:r>
              <w:rPr>
                <w:rFonts w:ascii="Arial" w:cs="Arial" w:eastAsia="Arial" w:hAnsi="Arial"/>
                <w:sz w:val="18"/>
                <w:szCs w:val="18"/>
                <w:color w:val="auto"/>
                <w:w w:val="94"/>
              </w:rPr>
              <w:t>Other intangibles, net of accumulated amortization of $5.3, $4.2 and $3.8,</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2"/>
        </w:trPr>
        <w:tc>
          <w:tcPr>
            <w:tcW w:w="55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15.7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17.7</w:t>
            </w:r>
          </w:p>
        </w:tc>
      </w:tr>
      <w:tr>
        <w:trPr>
          <w:trHeight w:val="110"/>
        </w:trPr>
        <w:tc>
          <w:tcPr>
            <w:tcW w:w="55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6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204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16.2</w:t>
            </w:r>
          </w:p>
        </w:tc>
        <w:tc>
          <w:tcPr>
            <w:tcW w:w="900" w:type="dxa"/>
            <w:vAlign w:val="bottom"/>
          </w:tcPr>
          <w:p>
            <w:pPr>
              <w:jc w:val="right"/>
              <w:ind w:right="57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18.0</w:t>
            </w:r>
          </w:p>
        </w:tc>
        <w:tc>
          <w:tcPr>
            <w:tcW w:w="78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18.4</w:t>
            </w:r>
          </w:p>
        </w:tc>
        <w:tc>
          <w:tcPr>
            <w:tcW w:w="20" w:type="dxa"/>
            <w:vAlign w:val="bottom"/>
          </w:tcPr>
          <w:p>
            <w:pPr>
              <w:spacing w:after="0"/>
              <w:rPr>
                <w:sz w:val="19"/>
                <w:szCs w:val="19"/>
                <w:color w:val="auto"/>
              </w:rPr>
            </w:pPr>
          </w:p>
        </w:tc>
      </w:tr>
      <w:tr>
        <w:trPr>
          <w:trHeight w:val="110"/>
        </w:trPr>
        <w:tc>
          <w:tcPr>
            <w:tcW w:w="456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60" w:type="dxa"/>
            <w:vAlign w:val="bottom"/>
          </w:tcPr>
          <w:p>
            <w:pPr>
              <w:spacing w:after="0"/>
              <w:rPr>
                <w:sz w:val="24"/>
                <w:szCs w:val="24"/>
                <w:color w:val="auto"/>
              </w:rPr>
            </w:pPr>
          </w:p>
        </w:tc>
        <w:tc>
          <w:tcPr>
            <w:tcW w:w="2040" w:type="dxa"/>
            <w:vAlign w:val="bottom"/>
          </w:tcPr>
          <w:p>
            <w:pPr>
              <w:jc w:val="right"/>
              <w:ind w:right="712"/>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6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Amortization expense for Total other intangibles was $1.3 for the nine months ended February 29, 2012, $1.4 for the twelve months ended May 31, 2011 and $1.0 for the nine months ended February 28, 2011. Intangible assets with definite lives consist principally of customer lists, covenants not to compete and publishing and trademark rights. Intangible assets with definite lives are amortized over their estimated useful lives. The weighted-average remaining useful lives of all amortizable intangible assets is 16 years.</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fiscal 2011, the Company recognized $5.6 of amortizable intangible assets as a result of the Math Solutions acquisition. The Company utilized Level 3 fair value measurement inputs, using its own assumptions, including internally-developed discounted cash flow forecasts and market comparisons, to determine the fair value of the intangible assets acquired.</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three-month period ended November 30, 2010, the Company determined that certain intangible assets associated with publishing and trademark rights, which were previously accounted for as indefinite-lived assets, were no longer indefinite-lived. Accordingly, the Company assessed these assets for impairment as of September 1, 2010, and subsequently commenced amortization of the assets. The Company determined that the fair value of the assets exceeded their carrying value as of September 1, 2010, and therefore no impairment was recognized. The Company employed Level 3 fair value measurement techniques to determine the fair value of these assets as of September 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29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February 29, 2012</w:t>
            </w:r>
          </w:p>
        </w:tc>
        <w:tc>
          <w:tcPr>
            <w:tcW w:w="340" w:type="dxa"/>
            <w:vAlign w:val="bottom"/>
          </w:tcPr>
          <w:p>
            <w:pPr>
              <w:spacing w:after="0"/>
              <w:rPr>
                <w:sz w:val="19"/>
                <w:szCs w:val="19"/>
                <w:color w:val="auto"/>
              </w:rPr>
            </w:pPr>
          </w:p>
        </w:tc>
        <w:tc>
          <w:tcPr>
            <w:tcW w:w="1500" w:type="dxa"/>
            <w:vAlign w:val="bottom"/>
          </w:tcPr>
          <w:p>
            <w:pPr>
              <w:jc w:val="right"/>
              <w:ind w:right="332"/>
              <w:spacing w:after="0"/>
              <w:rPr>
                <w:sz w:val="20"/>
                <w:szCs w:val="20"/>
                <w:color w:val="auto"/>
              </w:rPr>
            </w:pPr>
            <w:r>
              <w:rPr>
                <w:rFonts w:ascii="Arial" w:cs="Arial" w:eastAsia="Arial" w:hAnsi="Arial"/>
                <w:sz w:val="18"/>
                <w:szCs w:val="18"/>
                <w:b w:val="1"/>
                <w:bCs w:val="1"/>
                <w:color w:val="auto"/>
                <w:w w:val="96"/>
              </w:rPr>
              <w:t>May 31, 2011</w:t>
            </w:r>
          </w:p>
        </w:tc>
        <w:tc>
          <w:tcPr>
            <w:tcW w:w="18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February 28, 2011</w:t>
            </w:r>
          </w:p>
        </w:tc>
      </w:tr>
      <w:tr>
        <w:trPr>
          <w:trHeight w:val="110"/>
        </w:trPr>
        <w:tc>
          <w:tcPr>
            <w:tcW w:w="37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09"/>
        </w:trPr>
        <w:tc>
          <w:tcPr>
            <w:tcW w:w="372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Trademarks and Other</w:t>
            </w:r>
          </w:p>
        </w:tc>
        <w:tc>
          <w:tcPr>
            <w:tcW w:w="198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84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1.8</w:t>
            </w:r>
          </w:p>
        </w:tc>
      </w:tr>
      <w:tr>
        <w:trPr>
          <w:trHeight w:val="110"/>
        </w:trPr>
        <w:tc>
          <w:tcPr>
            <w:tcW w:w="37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6"/>
        </w:trPr>
        <w:tc>
          <w:tcPr>
            <w:tcW w:w="3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9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0.4</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92"/>
              <w:spacing w:after="0"/>
              <w:rPr>
                <w:sz w:val="20"/>
                <w:szCs w:val="20"/>
                <w:color w:val="auto"/>
              </w:rPr>
            </w:pPr>
            <w:r>
              <w:rPr>
                <w:rFonts w:ascii="Arial" w:cs="Arial" w:eastAsia="Arial" w:hAnsi="Arial"/>
                <w:sz w:val="18"/>
                <w:szCs w:val="18"/>
                <w:b w:val="1"/>
                <w:bCs w:val="1"/>
                <w:color w:val="auto"/>
              </w:rPr>
              <w:t>1.8</w:t>
            </w:r>
          </w:p>
        </w:tc>
        <w:tc>
          <w:tcPr>
            <w:tcW w:w="84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1.8</w:t>
            </w:r>
          </w:p>
        </w:tc>
      </w:tr>
      <w:tr>
        <w:trPr>
          <w:trHeight w:val="110"/>
        </w:trPr>
        <w:tc>
          <w:tcPr>
            <w:tcW w:w="37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Included in “Other assets and deferred charges” on the Company’s condensed consolidated balance sheets were investments of $21.0, $20.4 and $23.2 at February 29, 2012, May 31, 2011 and February 28, 2011, respectively.</w:t>
      </w:r>
    </w:p>
    <w:p>
      <w:pPr>
        <w:spacing w:after="0" w:line="18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owns a non-controlling interest in a book distribution business located in the United Kingdom. In fiscal 2011, the Company determined that these assets were other than temporarily impaired. The Company employed Level 3 fair value measures, including discounted cash flow projections, and recognized an impairment loss of $3.6. The carrying value of these assets was $5.7 as of February 29, 2012.</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maintains an investment in an entity that produces and distributes educational children’s television programming. The Company’s investment, which consists of a 14.0% equity interest, is accounted for using the equity method of accounting. The carrying value of this investment at February 29, 2012 was $1.3.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Company’s 26.2% non-controlling interest in a children’s book publishing business located in the UK is accounted for using the equity method of accounting.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net value of this investment at February 29, 2012 was $14.0.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joint ventures totaled $1.9 for the nine months ended February 29, 2012 and $1.2 for the nine months ended February 28,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the dates indicated: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40" w:type="dxa"/>
            <w:vAlign w:val="bottom"/>
          </w:tcPr>
          <w:p>
            <w:pPr>
              <w:jc w:val="right"/>
              <w:ind w:right="172"/>
              <w:spacing w:after="0"/>
              <w:rPr>
                <w:sz w:val="20"/>
                <w:szCs w:val="20"/>
                <w:color w:val="auto"/>
              </w:rPr>
            </w:pPr>
            <w:r>
              <w:rPr>
                <w:rFonts w:ascii="Arial" w:cs="Arial" w:eastAsia="Arial" w:hAnsi="Arial"/>
                <w:sz w:val="18"/>
                <w:szCs w:val="18"/>
                <w:b w:val="1"/>
                <w:bCs w:val="1"/>
                <w:color w:val="auto"/>
                <w:w w:val="89"/>
              </w:rPr>
              <w:t>February 29, 2012</w:t>
            </w:r>
          </w:p>
        </w:tc>
        <w:tc>
          <w:tcPr>
            <w:tcW w:w="38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w w:val="96"/>
              </w:rPr>
              <w:t>May 31, 2011</w:t>
            </w:r>
          </w:p>
        </w:tc>
        <w:tc>
          <w:tcPr>
            <w:tcW w:w="280" w:type="dxa"/>
            <w:vAlign w:val="bottom"/>
          </w:tcPr>
          <w:p>
            <w:pPr>
              <w:spacing w:after="0"/>
              <w:rPr>
                <w:sz w:val="19"/>
                <w:szCs w:val="19"/>
                <w:color w:val="auto"/>
              </w:rPr>
            </w:pPr>
          </w:p>
        </w:tc>
        <w:tc>
          <w:tcPr>
            <w:tcW w:w="1640" w:type="dxa"/>
            <w:vAlign w:val="bottom"/>
          </w:tcPr>
          <w:p>
            <w:pPr>
              <w:jc w:val="right"/>
              <w:ind w:right="172"/>
              <w:spacing w:after="0"/>
              <w:rPr>
                <w:sz w:val="20"/>
                <w:szCs w:val="20"/>
                <w:color w:val="auto"/>
              </w:rPr>
            </w:pPr>
            <w:r>
              <w:rPr>
                <w:rFonts w:ascii="Arial" w:cs="Arial" w:eastAsia="Arial" w:hAnsi="Arial"/>
                <w:sz w:val="18"/>
                <w:szCs w:val="18"/>
                <w:b w:val="1"/>
                <w:bCs w:val="1"/>
                <w:color w:val="auto"/>
                <w:w w:val="89"/>
              </w:rPr>
              <w:t>February 28, 2011</w:t>
            </w:r>
          </w:p>
        </w:tc>
      </w:tr>
      <w:tr>
        <w:trPr>
          <w:trHeight w:val="110"/>
        </w:trPr>
        <w:tc>
          <w:tcPr>
            <w:tcW w:w="4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09"/>
        </w:trPr>
        <w:tc>
          <w:tcPr>
            <w:tcW w:w="416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2"/>
        </w:trPr>
        <w:tc>
          <w:tcPr>
            <w:tcW w:w="4160" w:type="dxa"/>
            <w:vAlign w:val="bottom"/>
          </w:tcPr>
          <w:p>
            <w:pPr>
              <w:ind w:left="320"/>
              <w:spacing w:after="0"/>
              <w:rPr>
                <w:sz w:val="20"/>
                <w:szCs w:val="20"/>
                <w:color w:val="auto"/>
              </w:rPr>
            </w:pPr>
            <w:r>
              <w:rPr>
                <w:rFonts w:ascii="Arial" w:cs="Arial" w:eastAsia="Arial" w:hAnsi="Arial"/>
                <w:sz w:val="18"/>
                <w:szCs w:val="18"/>
                <w:color w:val="auto"/>
              </w:rPr>
              <w:t>UK - based</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9.1</w:t>
            </w:r>
          </w:p>
        </w:tc>
      </w:tr>
      <w:tr>
        <w:trPr>
          <w:trHeight w:val="110"/>
        </w:trPr>
        <w:tc>
          <w:tcPr>
            <w:tcW w:w="4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16"/>
        </w:trPr>
        <w:tc>
          <w:tcPr>
            <w:tcW w:w="4160" w:type="dxa"/>
            <w:vAlign w:val="bottom"/>
          </w:tcPr>
          <w:p>
            <w:pPr>
              <w:ind w:left="160"/>
              <w:spacing w:after="0"/>
              <w:rPr>
                <w:sz w:val="20"/>
                <w:szCs w:val="20"/>
                <w:color w:val="auto"/>
              </w:rPr>
            </w:pPr>
            <w:r>
              <w:rPr>
                <w:rFonts w:ascii="Arial" w:cs="Arial" w:eastAsia="Arial" w:hAnsi="Arial"/>
                <w:sz w:val="18"/>
                <w:szCs w:val="18"/>
                <w:color w:val="auto"/>
              </w:rPr>
              <w:t>Total cost method investments</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9.1</w:t>
            </w:r>
          </w:p>
        </w:tc>
      </w:tr>
      <w:tr>
        <w:trPr>
          <w:trHeight w:val="110"/>
        </w:trPr>
        <w:tc>
          <w:tcPr>
            <w:tcW w:w="4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09"/>
        </w:trPr>
        <w:tc>
          <w:tcPr>
            <w:tcW w:w="416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4160" w:type="dxa"/>
            <w:vAlign w:val="bottom"/>
          </w:tcPr>
          <w:p>
            <w:pPr>
              <w:ind w:left="320"/>
              <w:spacing w:after="0"/>
              <w:rPr>
                <w:sz w:val="20"/>
                <w:szCs w:val="20"/>
                <w:color w:val="auto"/>
              </w:rPr>
            </w:pPr>
            <w:r>
              <w:rPr>
                <w:rFonts w:ascii="Arial" w:cs="Arial" w:eastAsia="Arial" w:hAnsi="Arial"/>
                <w:sz w:val="18"/>
                <w:szCs w:val="18"/>
                <w:color w:val="auto"/>
              </w:rPr>
              <w:t>UK - based</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14.0</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13.4</w:t>
            </w:r>
          </w:p>
        </w:tc>
      </w:tr>
      <w:tr>
        <w:trPr>
          <w:trHeight w:val="222"/>
        </w:trPr>
        <w:tc>
          <w:tcPr>
            <w:tcW w:w="4160" w:type="dxa"/>
            <w:vAlign w:val="bottom"/>
          </w:tcPr>
          <w:p>
            <w:pPr>
              <w:ind w:left="320"/>
              <w:spacing w:after="0"/>
              <w:rPr>
                <w:sz w:val="20"/>
                <w:szCs w:val="20"/>
                <w:color w:val="auto"/>
              </w:rPr>
            </w:pPr>
            <w:r>
              <w:rPr>
                <w:rFonts w:ascii="Arial" w:cs="Arial" w:eastAsia="Arial" w:hAnsi="Arial"/>
                <w:sz w:val="18"/>
                <w:szCs w:val="18"/>
                <w:color w:val="auto"/>
              </w:rPr>
              <w:t>U.S. - based</w:t>
            </w:r>
          </w:p>
        </w:tc>
        <w:tc>
          <w:tcPr>
            <w:tcW w:w="1780" w:type="dxa"/>
            <w:vAlign w:val="bottom"/>
          </w:tcPr>
          <w:p>
            <w:pPr>
              <w:spacing w:after="0"/>
              <w:rPr>
                <w:sz w:val="19"/>
                <w:szCs w:val="19"/>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0.7</w:t>
            </w:r>
          </w:p>
        </w:tc>
      </w:tr>
      <w:tr>
        <w:trPr>
          <w:trHeight w:val="110"/>
        </w:trPr>
        <w:tc>
          <w:tcPr>
            <w:tcW w:w="4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16"/>
        </w:trPr>
        <w:tc>
          <w:tcPr>
            <w:tcW w:w="4160" w:type="dxa"/>
            <w:vAlign w:val="bottom"/>
          </w:tcPr>
          <w:p>
            <w:pPr>
              <w:ind w:left="160"/>
              <w:spacing w:after="0"/>
              <w:rPr>
                <w:sz w:val="20"/>
                <w:szCs w:val="20"/>
                <w:color w:val="auto"/>
              </w:rPr>
            </w:pPr>
            <w:r>
              <w:rPr>
                <w:rFonts w:ascii="Arial" w:cs="Arial" w:eastAsia="Arial" w:hAnsi="Arial"/>
                <w:sz w:val="18"/>
                <w:szCs w:val="18"/>
                <w:color w:val="auto"/>
              </w:rPr>
              <w:t>Total equity method investments</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15.3</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14.1</w:t>
            </w:r>
          </w:p>
        </w:tc>
      </w:tr>
      <w:tr>
        <w:trPr>
          <w:trHeight w:val="110"/>
        </w:trPr>
        <w:tc>
          <w:tcPr>
            <w:tcW w:w="4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16"/>
        </w:trPr>
        <w:tc>
          <w:tcPr>
            <w:tcW w:w="4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21.0</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20.4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23.2</w:t>
            </w:r>
          </w:p>
        </w:tc>
      </w:tr>
      <w:tr>
        <w:trPr>
          <w:trHeight w:val="110"/>
        </w:trPr>
        <w:tc>
          <w:tcPr>
            <w:tcW w:w="41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following table sets forth components of the net periodic benefit costs for the periods indicated under the Company’s cash balance retirement plan for its United States employees meeting certain eligibility requirements (the “U.S. Pension Plan”), the defined benefit pension plan of Scholastic Ltd., an indirect subsidiary of Scholastic Corporation located in the United Kingdom (the “UK Pension Plan”), and the defined benefit pension plan of Grolier Limited, an indirect subsidiary of Scholastic Corporation located in Canada (the “Canadian Pension Plan” and together with the U.S. Pension Plan and the UK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gridSpan w:val="3"/>
          </w:tcPr>
          <w:p>
            <w:pPr>
              <w:jc w:val="right"/>
              <w:ind w:right="1512"/>
              <w:spacing w:after="0"/>
              <w:rPr>
                <w:sz w:val="20"/>
                <w:szCs w:val="20"/>
                <w:color w:val="auto"/>
              </w:rPr>
            </w:pPr>
            <w:r>
              <w:rPr>
                <w:rFonts w:ascii="Arial" w:cs="Arial" w:eastAsia="Arial" w:hAnsi="Arial"/>
                <w:sz w:val="18"/>
                <w:szCs w:val="18"/>
                <w:b w:val="1"/>
                <w:bCs w:val="1"/>
                <w:color w:val="auto"/>
              </w:rPr>
              <w:t>Pension Plans</w:t>
            </w:r>
          </w:p>
        </w:tc>
        <w:tc>
          <w:tcPr>
            <w:tcW w:w="200" w:type="dxa"/>
            <w:vAlign w:val="bottom"/>
          </w:tcPr>
          <w:p>
            <w:pPr>
              <w:spacing w:after="0"/>
              <w:rPr>
                <w:sz w:val="18"/>
                <w:szCs w:val="18"/>
                <w:color w:val="auto"/>
              </w:rPr>
            </w:pPr>
          </w:p>
        </w:tc>
        <w:tc>
          <w:tcPr>
            <w:tcW w:w="3680" w:type="dxa"/>
            <w:vAlign w:val="bottom"/>
            <w:gridSpan w:val="3"/>
          </w:tcPr>
          <w:p>
            <w:pPr>
              <w:jc w:val="right"/>
              <w:ind w:right="972"/>
              <w:spacing w:after="0"/>
              <w:rPr>
                <w:sz w:val="20"/>
                <w:szCs w:val="20"/>
                <w:color w:val="auto"/>
              </w:rPr>
            </w:pPr>
            <w:r>
              <w:rPr>
                <w:rFonts w:ascii="Arial" w:cs="Arial" w:eastAsia="Arial" w:hAnsi="Arial"/>
                <w:sz w:val="18"/>
                <w:szCs w:val="18"/>
                <w:b w:val="1"/>
                <w:bCs w:val="1"/>
                <w:color w:val="auto"/>
              </w:rPr>
              <w:t>Post-Retirement Benefits</w:t>
            </w:r>
          </w:p>
        </w:tc>
      </w:tr>
      <w:tr>
        <w:trPr>
          <w:trHeight w:val="216"/>
        </w:trPr>
        <w:tc>
          <w:tcPr>
            <w:tcW w:w="3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60" w:type="dxa"/>
            <w:vAlign w:val="bottom"/>
            <w:gridSpan w:val="3"/>
          </w:tcPr>
          <w:p>
            <w:pPr>
              <w:jc w:val="right"/>
              <w:ind w:right="1232"/>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3680" w:type="dxa"/>
            <w:vAlign w:val="bottom"/>
            <w:gridSpan w:val="3"/>
          </w:tcPr>
          <w:p>
            <w:pPr>
              <w:jc w:val="right"/>
              <w:ind w:right="111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3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jc w:val="right"/>
              <w:ind w:right="292"/>
              <w:spacing w:after="0"/>
              <w:rPr>
                <w:sz w:val="20"/>
                <w:szCs w:val="20"/>
                <w:color w:val="auto"/>
              </w:rPr>
            </w:pPr>
            <w:r>
              <w:rPr>
                <w:rFonts w:ascii="Arial" w:cs="Arial" w:eastAsia="Arial" w:hAnsi="Arial"/>
                <w:sz w:val="18"/>
                <w:szCs w:val="18"/>
                <w:b w:val="1"/>
                <w:bCs w:val="1"/>
                <w:color w:val="auto"/>
                <w:w w:val="92"/>
              </w:rPr>
              <w:t>February 29, 2012</w:t>
            </w:r>
          </w:p>
        </w:tc>
        <w:tc>
          <w:tcPr>
            <w:tcW w:w="240" w:type="dxa"/>
            <w:vAlign w:val="bottom"/>
          </w:tcPr>
          <w:p>
            <w:pPr>
              <w:spacing w:after="0"/>
              <w:rPr>
                <w:sz w:val="19"/>
                <w:szCs w:val="19"/>
                <w:color w:val="auto"/>
              </w:rPr>
            </w:pPr>
          </w:p>
        </w:tc>
        <w:tc>
          <w:tcPr>
            <w:tcW w:w="1820" w:type="dxa"/>
            <w:vAlign w:val="bottom"/>
          </w:tcPr>
          <w:p>
            <w:pPr>
              <w:jc w:val="right"/>
              <w:ind w:right="292"/>
              <w:spacing w:after="0"/>
              <w:rPr>
                <w:sz w:val="20"/>
                <w:szCs w:val="20"/>
                <w:color w:val="auto"/>
              </w:rPr>
            </w:pPr>
            <w:r>
              <w:rPr>
                <w:rFonts w:ascii="Arial" w:cs="Arial" w:eastAsia="Arial" w:hAnsi="Arial"/>
                <w:sz w:val="18"/>
                <w:szCs w:val="18"/>
                <w:b w:val="1"/>
                <w:bCs w:val="1"/>
                <w:color w:val="auto"/>
                <w:w w:val="93"/>
              </w:rPr>
              <w:t>February 28, 2011</w:t>
            </w:r>
          </w:p>
        </w:tc>
        <w:tc>
          <w:tcPr>
            <w:tcW w:w="200" w:type="dxa"/>
            <w:vAlign w:val="bottom"/>
          </w:tcPr>
          <w:p>
            <w:pPr>
              <w:spacing w:after="0"/>
              <w:rPr>
                <w:sz w:val="19"/>
                <w:szCs w:val="19"/>
                <w:color w:val="auto"/>
              </w:rPr>
            </w:pPr>
          </w:p>
        </w:tc>
        <w:tc>
          <w:tcPr>
            <w:tcW w:w="1720" w:type="dxa"/>
            <w:vAlign w:val="bottom"/>
          </w:tcPr>
          <w:p>
            <w:pPr>
              <w:jc w:val="right"/>
              <w:ind w:right="212"/>
              <w:spacing w:after="0"/>
              <w:rPr>
                <w:sz w:val="20"/>
                <w:szCs w:val="20"/>
                <w:color w:val="auto"/>
              </w:rPr>
            </w:pPr>
            <w:r>
              <w:rPr>
                <w:rFonts w:ascii="Arial" w:cs="Arial" w:eastAsia="Arial" w:hAnsi="Arial"/>
                <w:sz w:val="18"/>
                <w:szCs w:val="18"/>
                <w:b w:val="1"/>
                <w:bCs w:val="1"/>
                <w:color w:val="auto"/>
                <w:w w:val="92"/>
              </w:rPr>
              <w:t>February 29, 2012</w:t>
            </w:r>
          </w:p>
        </w:tc>
        <w:tc>
          <w:tcPr>
            <w:tcW w:w="220" w:type="dxa"/>
            <w:vAlign w:val="bottom"/>
          </w:tcPr>
          <w:p>
            <w:pPr>
              <w:spacing w:after="0"/>
              <w:rPr>
                <w:sz w:val="19"/>
                <w:szCs w:val="19"/>
                <w:color w:val="auto"/>
              </w:rPr>
            </w:pPr>
          </w:p>
        </w:tc>
        <w:tc>
          <w:tcPr>
            <w:tcW w:w="1740" w:type="dxa"/>
            <w:vAlign w:val="bottom"/>
          </w:tcPr>
          <w:p>
            <w:pPr>
              <w:jc w:val="right"/>
              <w:ind w:right="232"/>
              <w:spacing w:after="0"/>
              <w:rPr>
                <w:sz w:val="20"/>
                <w:szCs w:val="20"/>
                <w:color w:val="auto"/>
              </w:rPr>
            </w:pPr>
            <w:r>
              <w:rPr>
                <w:rFonts w:ascii="Arial" w:cs="Arial" w:eastAsia="Arial" w:hAnsi="Arial"/>
                <w:sz w:val="18"/>
                <w:szCs w:val="18"/>
                <w:b w:val="1"/>
                <w:bCs w:val="1"/>
                <w:color w:val="auto"/>
                <w:w w:val="92"/>
              </w:rPr>
              <w:t>February 28, 2011</w:t>
            </w:r>
          </w:p>
        </w:tc>
      </w:tr>
      <w:tr>
        <w:trPr>
          <w:trHeight w:val="110"/>
        </w:trPr>
        <w:tc>
          <w:tcPr>
            <w:tcW w:w="3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r>
      <w:tr>
        <w:trPr>
          <w:trHeight w:val="309"/>
        </w:trPr>
        <w:tc>
          <w:tcPr>
            <w:tcW w:w="3240" w:type="dxa"/>
            <w:vAlign w:val="bottom"/>
          </w:tcPr>
          <w:p>
            <w:pPr>
              <w:spacing w:after="0"/>
              <w:rPr>
                <w:sz w:val="20"/>
                <w:szCs w:val="20"/>
                <w:color w:val="auto"/>
              </w:rPr>
            </w:pPr>
            <w:r>
              <w:rPr>
                <w:rFonts w:ascii="Arial" w:cs="Arial" w:eastAsia="Arial" w:hAnsi="Arial"/>
                <w:sz w:val="18"/>
                <w:szCs w:val="18"/>
                <w:color w:val="auto"/>
                <w:w w:val="97"/>
              </w:rPr>
              <w:t>Components of net periodic benefit costs:</w:t>
            </w: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Service cost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8"/>
                <w:szCs w:val="18"/>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0.5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4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Net amortization of prior service credit</w:t>
            </w:r>
          </w:p>
        </w:tc>
        <w:tc>
          <w:tcPr>
            <w:tcW w:w="460" w:type="dxa"/>
            <w:vAlign w:val="bottom"/>
          </w:tcPr>
          <w:p>
            <w:pPr>
              <w:spacing w:after="0"/>
              <w:rPr>
                <w:sz w:val="18"/>
                <w:szCs w:val="18"/>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Amortization of loss</w:t>
            </w:r>
          </w:p>
        </w:tc>
        <w:tc>
          <w:tcPr>
            <w:tcW w:w="460" w:type="dxa"/>
            <w:vAlign w:val="bottom"/>
          </w:tcPr>
          <w:p>
            <w:pPr>
              <w:spacing w:after="0"/>
              <w:rPr>
                <w:sz w:val="18"/>
                <w:szCs w:val="18"/>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0.7</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Settlement of Canadian plan</w:t>
            </w:r>
          </w:p>
        </w:tc>
        <w:tc>
          <w:tcPr>
            <w:tcW w:w="460" w:type="dxa"/>
            <w:vAlign w:val="bottom"/>
          </w:tcPr>
          <w:p>
            <w:pPr>
              <w:spacing w:after="0"/>
              <w:rPr>
                <w:sz w:val="19"/>
                <w:szCs w:val="19"/>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110"/>
        </w:trPr>
        <w:tc>
          <w:tcPr>
            <w:tcW w:w="3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r>
      <w:tr>
        <w:trPr>
          <w:trHeight w:val="316"/>
        </w:trPr>
        <w:tc>
          <w:tcPr>
            <w:tcW w:w="3240" w:type="dxa"/>
            <w:vAlign w:val="bottom"/>
          </w:tcPr>
          <w:p>
            <w:pPr>
              <w:spacing w:after="0"/>
              <w:rPr>
                <w:sz w:val="20"/>
                <w:szCs w:val="20"/>
                <w:color w:val="auto"/>
              </w:rPr>
            </w:pPr>
            <w:r>
              <w:rPr>
                <w:rFonts w:ascii="Arial" w:cs="Arial" w:eastAsia="Arial" w:hAnsi="Arial"/>
                <w:sz w:val="18"/>
                <w:szCs w:val="18"/>
                <w:b w:val="1"/>
                <w:bCs w:val="1"/>
                <w:color w:val="auto"/>
              </w:rPr>
              <w:t>Net periodic benefit (credit) costs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1.0</w:t>
            </w:r>
          </w:p>
        </w:tc>
      </w:tr>
      <w:tr>
        <w:trPr>
          <w:trHeight w:val="110"/>
        </w:trPr>
        <w:tc>
          <w:tcPr>
            <w:tcW w:w="3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40" w:type="dxa"/>
            <w:vAlign w:val="bottom"/>
            <w:gridSpan w:val="3"/>
          </w:tcPr>
          <w:p>
            <w:pPr>
              <w:jc w:val="right"/>
              <w:ind w:right="1492"/>
              <w:spacing w:after="0"/>
              <w:rPr>
                <w:sz w:val="20"/>
                <w:szCs w:val="20"/>
                <w:color w:val="auto"/>
              </w:rPr>
            </w:pPr>
            <w:r>
              <w:rPr>
                <w:rFonts w:ascii="Arial" w:cs="Arial" w:eastAsia="Arial" w:hAnsi="Arial"/>
                <w:sz w:val="18"/>
                <w:szCs w:val="18"/>
                <w:b w:val="1"/>
                <w:bCs w:val="1"/>
                <w:color w:val="auto"/>
              </w:rPr>
              <w:t>Pension Plans</w:t>
            </w:r>
          </w:p>
        </w:tc>
        <w:tc>
          <w:tcPr>
            <w:tcW w:w="200" w:type="dxa"/>
            <w:vAlign w:val="bottom"/>
          </w:tcPr>
          <w:p>
            <w:pPr>
              <w:spacing w:after="0"/>
              <w:rPr>
                <w:sz w:val="18"/>
                <w:szCs w:val="18"/>
                <w:color w:val="auto"/>
              </w:rPr>
            </w:pPr>
          </w:p>
        </w:tc>
        <w:tc>
          <w:tcPr>
            <w:tcW w:w="3640" w:type="dxa"/>
            <w:vAlign w:val="bottom"/>
            <w:gridSpan w:val="3"/>
          </w:tcPr>
          <w:p>
            <w:pPr>
              <w:jc w:val="right"/>
              <w:ind w:right="952"/>
              <w:spacing w:after="0"/>
              <w:rPr>
                <w:sz w:val="20"/>
                <w:szCs w:val="20"/>
                <w:color w:val="auto"/>
              </w:rPr>
            </w:pPr>
            <w:r>
              <w:rPr>
                <w:rFonts w:ascii="Arial" w:cs="Arial" w:eastAsia="Arial" w:hAnsi="Arial"/>
                <w:sz w:val="18"/>
                <w:szCs w:val="18"/>
                <w:b w:val="1"/>
                <w:bCs w:val="1"/>
                <w:color w:val="auto"/>
              </w:rPr>
              <w:t>Post-Retirement Benefits</w:t>
            </w:r>
          </w:p>
        </w:tc>
      </w:tr>
      <w:tr>
        <w:trPr>
          <w:trHeight w:val="216"/>
        </w:trPr>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40" w:type="dxa"/>
            <w:vAlign w:val="bottom"/>
            <w:gridSpan w:val="3"/>
          </w:tcPr>
          <w:p>
            <w:pPr>
              <w:jc w:val="right"/>
              <w:ind w:right="1252"/>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18"/>
                <w:szCs w:val="18"/>
                <w:color w:val="auto"/>
              </w:rPr>
            </w:pPr>
          </w:p>
        </w:tc>
        <w:tc>
          <w:tcPr>
            <w:tcW w:w="3640" w:type="dxa"/>
            <w:vAlign w:val="bottom"/>
            <w:gridSpan w:val="3"/>
          </w:tcPr>
          <w:p>
            <w:pPr>
              <w:jc w:val="right"/>
              <w:ind w:right="1152"/>
              <w:spacing w:after="0"/>
              <w:rPr>
                <w:sz w:val="20"/>
                <w:szCs w:val="20"/>
                <w:color w:val="auto"/>
              </w:rPr>
            </w:pPr>
            <w:r>
              <w:rPr>
                <w:rFonts w:ascii="Arial" w:cs="Arial" w:eastAsia="Arial" w:hAnsi="Arial"/>
                <w:sz w:val="18"/>
                <w:szCs w:val="18"/>
                <w:b w:val="1"/>
                <w:bCs w:val="1"/>
                <w:color w:val="auto"/>
              </w:rPr>
              <w:t>Nine months ended</w:t>
            </w:r>
          </w:p>
        </w:tc>
      </w:tr>
      <w:tr>
        <w:trPr>
          <w:trHeight w:val="228"/>
        </w:trPr>
        <w:tc>
          <w:tcPr>
            <w:tcW w:w="3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ind w:right="272"/>
              <w:spacing w:after="0"/>
              <w:rPr>
                <w:sz w:val="20"/>
                <w:szCs w:val="20"/>
                <w:color w:val="auto"/>
              </w:rPr>
            </w:pPr>
            <w:r>
              <w:rPr>
                <w:rFonts w:ascii="Arial" w:cs="Arial" w:eastAsia="Arial" w:hAnsi="Arial"/>
                <w:sz w:val="18"/>
                <w:szCs w:val="18"/>
                <w:b w:val="1"/>
                <w:bCs w:val="1"/>
                <w:color w:val="auto"/>
                <w:w w:val="93"/>
              </w:rPr>
              <w:t>February 29, 2012</w:t>
            </w:r>
          </w:p>
        </w:tc>
        <w:tc>
          <w:tcPr>
            <w:tcW w:w="240" w:type="dxa"/>
            <w:vAlign w:val="bottom"/>
          </w:tcPr>
          <w:p>
            <w:pPr>
              <w:spacing w:after="0"/>
              <w:rPr>
                <w:sz w:val="19"/>
                <w:szCs w:val="19"/>
                <w:color w:val="auto"/>
              </w:rPr>
            </w:pPr>
          </w:p>
        </w:tc>
        <w:tc>
          <w:tcPr>
            <w:tcW w:w="1800" w:type="dxa"/>
            <w:vAlign w:val="bottom"/>
          </w:tcPr>
          <w:p>
            <w:pPr>
              <w:jc w:val="right"/>
              <w:ind w:right="292"/>
              <w:spacing w:after="0"/>
              <w:rPr>
                <w:sz w:val="20"/>
                <w:szCs w:val="20"/>
                <w:color w:val="auto"/>
              </w:rPr>
            </w:pPr>
            <w:r>
              <w:rPr>
                <w:rFonts w:ascii="Arial" w:cs="Arial" w:eastAsia="Arial" w:hAnsi="Arial"/>
                <w:sz w:val="18"/>
                <w:szCs w:val="18"/>
                <w:b w:val="1"/>
                <w:bCs w:val="1"/>
                <w:color w:val="auto"/>
                <w:w w:val="92"/>
              </w:rPr>
              <w:t>February 28, 2011</w:t>
            </w:r>
          </w:p>
        </w:tc>
        <w:tc>
          <w:tcPr>
            <w:tcW w:w="200" w:type="dxa"/>
            <w:vAlign w:val="bottom"/>
          </w:tcPr>
          <w:p>
            <w:pPr>
              <w:spacing w:after="0"/>
              <w:rPr>
                <w:sz w:val="19"/>
                <w:szCs w:val="19"/>
                <w:color w:val="auto"/>
              </w:rPr>
            </w:pPr>
          </w:p>
        </w:tc>
        <w:tc>
          <w:tcPr>
            <w:tcW w:w="1700" w:type="dxa"/>
            <w:vAlign w:val="bottom"/>
          </w:tcPr>
          <w:p>
            <w:pPr>
              <w:jc w:val="right"/>
              <w:ind w:right="212"/>
              <w:spacing w:after="0"/>
              <w:rPr>
                <w:sz w:val="20"/>
                <w:szCs w:val="20"/>
                <w:color w:val="auto"/>
              </w:rPr>
            </w:pPr>
            <w:r>
              <w:rPr>
                <w:rFonts w:ascii="Arial" w:cs="Arial" w:eastAsia="Arial" w:hAnsi="Arial"/>
                <w:sz w:val="18"/>
                <w:szCs w:val="18"/>
                <w:b w:val="1"/>
                <w:bCs w:val="1"/>
                <w:color w:val="auto"/>
                <w:w w:val="90"/>
              </w:rPr>
              <w:t>February 29, 2012</w:t>
            </w:r>
          </w:p>
        </w:tc>
        <w:tc>
          <w:tcPr>
            <w:tcW w:w="2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w w:val="90"/>
              </w:rPr>
              <w:t>February 28, 2011</w:t>
            </w:r>
          </w:p>
        </w:tc>
      </w:tr>
      <w:tr>
        <w:trPr>
          <w:trHeight w:val="110"/>
        </w:trPr>
        <w:tc>
          <w:tcPr>
            <w:tcW w:w="3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r>
        <w:trPr>
          <w:trHeight w:val="309"/>
        </w:trPr>
        <w:tc>
          <w:tcPr>
            <w:tcW w:w="3220" w:type="dxa"/>
            <w:vAlign w:val="bottom"/>
          </w:tcPr>
          <w:p>
            <w:pPr>
              <w:spacing w:after="0"/>
              <w:rPr>
                <w:sz w:val="20"/>
                <w:szCs w:val="20"/>
                <w:color w:val="auto"/>
              </w:rPr>
            </w:pPr>
            <w:r>
              <w:rPr>
                <w:rFonts w:ascii="Arial" w:cs="Arial" w:eastAsia="Arial" w:hAnsi="Arial"/>
                <w:sz w:val="18"/>
                <w:szCs w:val="18"/>
                <w:color w:val="auto"/>
                <w:w w:val="96"/>
              </w:rPr>
              <w:t>Components of net periodic benefit costs:</w:t>
            </w: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Service cost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1.4</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420" w:type="dxa"/>
            <w:vAlign w:val="bottom"/>
          </w:tcPr>
          <w:p>
            <w:pPr>
              <w:spacing w:after="0"/>
              <w:rPr>
                <w:sz w:val="18"/>
                <w:szCs w:val="18"/>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amortization of prior service credit</w:t>
            </w:r>
          </w:p>
        </w:tc>
        <w:tc>
          <w:tcPr>
            <w:tcW w:w="42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Amortization of loss</w:t>
            </w:r>
          </w:p>
        </w:tc>
        <w:tc>
          <w:tcPr>
            <w:tcW w:w="42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1.9</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Settlement of Canadian plan</w:t>
            </w:r>
          </w:p>
        </w:tc>
        <w:tc>
          <w:tcPr>
            <w:tcW w:w="420" w:type="dxa"/>
            <w:vAlign w:val="bottom"/>
          </w:tcPr>
          <w:p>
            <w:pPr>
              <w:spacing w:after="0"/>
              <w:rPr>
                <w:sz w:val="19"/>
                <w:szCs w:val="19"/>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110"/>
        </w:trPr>
        <w:tc>
          <w:tcPr>
            <w:tcW w:w="3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r>
        <w:trPr>
          <w:trHeight w:val="316"/>
        </w:trPr>
        <w:tc>
          <w:tcPr>
            <w:tcW w:w="3220" w:type="dxa"/>
            <w:vAlign w:val="bottom"/>
          </w:tcPr>
          <w:p>
            <w:pPr>
              <w:spacing w:after="0"/>
              <w:rPr>
                <w:sz w:val="20"/>
                <w:szCs w:val="20"/>
                <w:color w:val="auto"/>
              </w:rPr>
            </w:pPr>
            <w:r>
              <w:rPr>
                <w:rFonts w:ascii="Arial" w:cs="Arial" w:eastAsia="Arial" w:hAnsi="Arial"/>
                <w:sz w:val="18"/>
                <w:szCs w:val="18"/>
                <w:b w:val="1"/>
                <w:bCs w:val="1"/>
                <w:color w:val="auto"/>
              </w:rPr>
              <w:t>Net periodic benefit (credit) costs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2.8</w:t>
            </w:r>
          </w:p>
        </w:tc>
      </w:tr>
      <w:tr>
        <w:trPr>
          <w:trHeight w:val="110"/>
        </w:trPr>
        <w:tc>
          <w:tcPr>
            <w:tcW w:w="3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the second quarter of fiscal 2011, the Company completed the settlement of its outstanding liabilities under the Canadian Pension Plan by purchasing non-participating annuities to service these liabilities prospectively.</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February 29, 2012, the Company contributed $1.7 to the U.S. Pension Plan and $1.3 to the UK Pension Plan.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based on actuarial calculations, to contribute cash of approximately $8.4 to the Pension Plans for the fiscal year ending May 31, 2012.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expense included in Selling, general and administrative expenses for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gridSpan w:val="3"/>
          </w:tcPr>
          <w:p>
            <w:pPr>
              <w:jc w:val="right"/>
              <w:ind w:right="1032"/>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3660" w:type="dxa"/>
            <w:vAlign w:val="bottom"/>
            <w:gridSpan w:val="3"/>
          </w:tcPr>
          <w:p>
            <w:pPr>
              <w:jc w:val="right"/>
              <w:ind w:right="1172"/>
              <w:spacing w:after="0"/>
              <w:rPr>
                <w:sz w:val="20"/>
                <w:szCs w:val="20"/>
                <w:color w:val="auto"/>
              </w:rPr>
            </w:pPr>
            <w:r>
              <w:rPr>
                <w:rFonts w:ascii="Arial" w:cs="Arial" w:eastAsia="Arial" w:hAnsi="Arial"/>
                <w:sz w:val="18"/>
                <w:szCs w:val="18"/>
                <w:b w:val="1"/>
                <w:bCs w:val="1"/>
                <w:color w:val="auto"/>
              </w:rPr>
              <w:t>Nine months ended</w:t>
            </w:r>
          </w:p>
        </w:tc>
      </w:tr>
      <w:tr>
        <w:trPr>
          <w:trHeight w:val="228"/>
        </w:trPr>
        <w:tc>
          <w:tcPr>
            <w:tcW w:w="3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ind w:right="172"/>
              <w:spacing w:after="0"/>
              <w:rPr>
                <w:sz w:val="20"/>
                <w:szCs w:val="20"/>
                <w:color w:val="auto"/>
              </w:rPr>
            </w:pPr>
            <w:r>
              <w:rPr>
                <w:rFonts w:ascii="Arial" w:cs="Arial" w:eastAsia="Arial" w:hAnsi="Arial"/>
                <w:sz w:val="18"/>
                <w:szCs w:val="18"/>
                <w:b w:val="1"/>
                <w:bCs w:val="1"/>
                <w:color w:val="auto"/>
                <w:w w:val="93"/>
              </w:rPr>
              <w:t>February 29, 2012</w:t>
            </w:r>
          </w:p>
        </w:tc>
        <w:tc>
          <w:tcPr>
            <w:tcW w:w="200" w:type="dxa"/>
            <w:vAlign w:val="bottom"/>
          </w:tcPr>
          <w:p>
            <w:pPr>
              <w:spacing w:after="0"/>
              <w:rPr>
                <w:sz w:val="19"/>
                <w:szCs w:val="19"/>
                <w:color w:val="auto"/>
              </w:rPr>
            </w:pPr>
          </w:p>
        </w:tc>
        <w:tc>
          <w:tcPr>
            <w:tcW w:w="1680" w:type="dxa"/>
            <w:vAlign w:val="bottom"/>
          </w:tcPr>
          <w:p>
            <w:pPr>
              <w:jc w:val="right"/>
              <w:ind w:right="172"/>
              <w:spacing w:after="0"/>
              <w:rPr>
                <w:sz w:val="20"/>
                <w:szCs w:val="20"/>
                <w:color w:val="auto"/>
              </w:rPr>
            </w:pPr>
            <w:r>
              <w:rPr>
                <w:rFonts w:ascii="Arial" w:cs="Arial" w:eastAsia="Arial" w:hAnsi="Arial"/>
                <w:sz w:val="18"/>
                <w:szCs w:val="18"/>
                <w:b w:val="1"/>
                <w:bCs w:val="1"/>
                <w:color w:val="auto"/>
                <w:w w:val="92"/>
              </w:rPr>
              <w:t>February 28, 2011</w:t>
            </w:r>
          </w:p>
        </w:tc>
        <w:tc>
          <w:tcPr>
            <w:tcW w:w="240" w:type="dxa"/>
            <w:vAlign w:val="bottom"/>
          </w:tcPr>
          <w:p>
            <w:pPr>
              <w:spacing w:after="0"/>
              <w:rPr>
                <w:sz w:val="19"/>
                <w:szCs w:val="19"/>
                <w:color w:val="auto"/>
              </w:rPr>
            </w:pPr>
          </w:p>
        </w:tc>
        <w:tc>
          <w:tcPr>
            <w:tcW w:w="1780" w:type="dxa"/>
            <w:vAlign w:val="bottom"/>
          </w:tcPr>
          <w:p>
            <w:pPr>
              <w:jc w:val="right"/>
              <w:ind w:right="232"/>
              <w:spacing w:after="0"/>
              <w:rPr>
                <w:sz w:val="20"/>
                <w:szCs w:val="20"/>
                <w:color w:val="auto"/>
              </w:rPr>
            </w:pPr>
            <w:r>
              <w:rPr>
                <w:rFonts w:ascii="Arial" w:cs="Arial" w:eastAsia="Arial" w:hAnsi="Arial"/>
                <w:sz w:val="18"/>
                <w:szCs w:val="18"/>
                <w:b w:val="1"/>
                <w:bCs w:val="1"/>
                <w:color w:val="auto"/>
                <w:w w:val="94"/>
              </w:rPr>
              <w:t>February 29, 2012</w:t>
            </w:r>
          </w:p>
        </w:tc>
        <w:tc>
          <w:tcPr>
            <w:tcW w:w="180" w:type="dxa"/>
            <w:vAlign w:val="bottom"/>
          </w:tcPr>
          <w:p>
            <w:pPr>
              <w:spacing w:after="0"/>
              <w:rPr>
                <w:sz w:val="19"/>
                <w:szCs w:val="19"/>
                <w:color w:val="auto"/>
              </w:rPr>
            </w:pPr>
          </w:p>
        </w:tc>
        <w:tc>
          <w:tcPr>
            <w:tcW w:w="1700" w:type="dxa"/>
            <w:vAlign w:val="bottom"/>
          </w:tcPr>
          <w:p>
            <w:pPr>
              <w:jc w:val="right"/>
              <w:ind w:right="212"/>
              <w:spacing w:after="0"/>
              <w:rPr>
                <w:sz w:val="20"/>
                <w:szCs w:val="20"/>
                <w:color w:val="auto"/>
              </w:rPr>
            </w:pPr>
            <w:r>
              <w:rPr>
                <w:rFonts w:ascii="Arial" w:cs="Arial" w:eastAsia="Arial" w:hAnsi="Arial"/>
                <w:sz w:val="18"/>
                <w:szCs w:val="18"/>
                <w:b w:val="1"/>
                <w:bCs w:val="1"/>
                <w:color w:val="auto"/>
                <w:w w:val="90"/>
              </w:rPr>
              <w:t>February 28, 2011</w:t>
            </w:r>
          </w:p>
        </w:tc>
      </w:tr>
      <w:tr>
        <w:trPr>
          <w:trHeight w:val="110"/>
        </w:trPr>
        <w:tc>
          <w:tcPr>
            <w:tcW w:w="3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309"/>
        </w:trPr>
        <w:tc>
          <w:tcPr>
            <w:tcW w:w="3420" w:type="dxa"/>
            <w:vAlign w:val="bottom"/>
          </w:tcPr>
          <w:p>
            <w:pPr>
              <w:spacing w:after="0"/>
              <w:rPr>
                <w:sz w:val="20"/>
                <w:szCs w:val="20"/>
                <w:color w:val="auto"/>
              </w:rPr>
            </w:pPr>
            <w:r>
              <w:rPr>
                <w:rFonts w:ascii="Arial" w:cs="Arial" w:eastAsia="Arial" w:hAnsi="Arial"/>
                <w:sz w:val="18"/>
                <w:szCs w:val="18"/>
                <w:color w:val="auto"/>
              </w:rPr>
              <w:t>Stock option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7.1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5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3.2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5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0.6</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0.2</w:t>
            </w:r>
          </w:p>
        </w:tc>
      </w:tr>
      <w:tr>
        <w:trPr>
          <w:trHeight w:val="110"/>
        </w:trPr>
        <w:tc>
          <w:tcPr>
            <w:tcW w:w="3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316"/>
        </w:trPr>
        <w:tc>
          <w:tcPr>
            <w:tcW w:w="3420" w:type="dxa"/>
            <w:vAlign w:val="bottom"/>
          </w:tcPr>
          <w:p>
            <w:pPr>
              <w:spacing w:after="0"/>
              <w:rPr>
                <w:sz w:val="20"/>
                <w:szCs w:val="20"/>
                <w:color w:val="auto"/>
              </w:rPr>
            </w:pPr>
            <w:r>
              <w:rPr>
                <w:rFonts w:ascii="Arial" w:cs="Arial" w:eastAsia="Arial" w:hAnsi="Arial"/>
                <w:sz w:val="18"/>
                <w:szCs w:val="18"/>
                <w:b w:val="1"/>
                <w:bCs w:val="1"/>
                <w:color w:val="auto"/>
                <w:w w:val="95"/>
              </w:rPr>
              <w:t>Total stock-based compensation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2"/>
              <w:spacing w:after="0"/>
              <w:rPr>
                <w:sz w:val="20"/>
                <w:szCs w:val="20"/>
                <w:color w:val="auto"/>
              </w:rPr>
            </w:pPr>
            <w:r>
              <w:rPr>
                <w:rFonts w:ascii="Arial" w:cs="Arial" w:eastAsia="Arial" w:hAnsi="Arial"/>
                <w:sz w:val="18"/>
                <w:szCs w:val="18"/>
                <w:color w:val="auto"/>
              </w:rPr>
              <w:t>11.1</w:t>
            </w:r>
          </w:p>
        </w:tc>
      </w:tr>
      <w:tr>
        <w:trPr>
          <w:trHeight w:val="110"/>
        </w:trPr>
        <w:tc>
          <w:tcPr>
            <w:tcW w:w="3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each of the three and nine-month periods ended February 29, 2012 and February 28, 2011,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Severance and Exit Costs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implemented certain new cost reduction initiatives, notably a voluntary retirement program, in the current fiscal year and incurred severance expense of $9.3 related to this program. The table below provides information regarding the severance cost reported in the Company’s condensed consolidated statements of operations, including the costs related to this program.</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Accrued severance of $1.2, $1.9 and $1.5 as of February 29, 2012, May 31, 2011 and February 28, 2011, respectively, is included in “Other accrued expenses” on the Company’s 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392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Nine months ended</w:t>
            </w:r>
          </w:p>
        </w:tc>
        <w:tc>
          <w:tcPr>
            <w:tcW w:w="214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Twelve months ended</w:t>
            </w:r>
          </w:p>
        </w:tc>
        <w:tc>
          <w:tcPr>
            <w:tcW w:w="17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6"/>
              </w:rPr>
              <w:t>Nine months ended</w:t>
            </w:r>
          </w:p>
        </w:tc>
      </w:tr>
      <w:tr>
        <w:trPr>
          <w:trHeight w:val="228"/>
        </w:trPr>
        <w:tc>
          <w:tcPr>
            <w:tcW w:w="3480" w:type="dxa"/>
            <w:vAlign w:val="bottom"/>
          </w:tcPr>
          <w:p>
            <w:pPr>
              <w:spacing w:after="0"/>
              <w:rPr>
                <w:sz w:val="19"/>
                <w:szCs w:val="19"/>
                <w:color w:val="auto"/>
              </w:rPr>
            </w:pPr>
          </w:p>
        </w:tc>
        <w:tc>
          <w:tcPr>
            <w:tcW w:w="39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February 29, 2012</w:t>
            </w:r>
          </w:p>
        </w:tc>
        <w:tc>
          <w:tcPr>
            <w:tcW w:w="214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May 31, 2011</w:t>
            </w:r>
          </w:p>
        </w:tc>
        <w:tc>
          <w:tcPr>
            <w:tcW w:w="17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February 28, 2011</w:t>
            </w:r>
          </w:p>
        </w:tc>
      </w:tr>
      <w:tr>
        <w:trPr>
          <w:trHeight w:val="110"/>
        </w:trPr>
        <w:tc>
          <w:tcPr>
            <w:tcW w:w="348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09"/>
        </w:trPr>
        <w:tc>
          <w:tcPr>
            <w:tcW w:w="3480" w:type="dxa"/>
            <w:vAlign w:val="bottom"/>
          </w:tcPr>
          <w:p>
            <w:pPr>
              <w:spacing w:after="0"/>
              <w:rPr>
                <w:sz w:val="20"/>
                <w:szCs w:val="20"/>
                <w:color w:val="auto"/>
              </w:rPr>
            </w:pPr>
            <w:r>
              <w:rPr>
                <w:rFonts w:ascii="Arial" w:cs="Arial" w:eastAsia="Arial" w:hAnsi="Arial"/>
                <w:sz w:val="18"/>
                <w:szCs w:val="18"/>
                <w:color w:val="auto"/>
              </w:rPr>
              <w:t>Beginning balance</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2"/>
              <w:spacing w:after="0"/>
              <w:rPr>
                <w:sz w:val="20"/>
                <w:szCs w:val="20"/>
                <w:color w:val="auto"/>
              </w:rPr>
            </w:pPr>
            <w:r>
              <w:rPr>
                <w:rFonts w:ascii="Arial" w:cs="Arial" w:eastAsia="Arial" w:hAnsi="Arial"/>
                <w:sz w:val="18"/>
                <w:szCs w:val="18"/>
                <w:color w:val="auto"/>
              </w:rPr>
              <w:t>1.9</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3.4</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3.4</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Accruals</w:t>
            </w:r>
          </w:p>
        </w:tc>
        <w:tc>
          <w:tcPr>
            <w:tcW w:w="272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8"/>
                <w:szCs w:val="18"/>
                <w:color w:val="auto"/>
              </w:rPr>
              <w:t>12.2</w:t>
            </w:r>
          </w:p>
        </w:tc>
        <w:tc>
          <w:tcPr>
            <w:tcW w:w="124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6.7</w:t>
            </w:r>
          </w:p>
        </w:tc>
        <w:tc>
          <w:tcPr>
            <w:tcW w:w="90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color w:val="auto"/>
              </w:rPr>
              <w:t>4.3</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Payments</w:t>
            </w:r>
          </w:p>
        </w:tc>
        <w:tc>
          <w:tcPr>
            <w:tcW w:w="2720" w:type="dxa"/>
            <w:vAlign w:val="bottom"/>
          </w:tcPr>
          <w:p>
            <w:pPr>
              <w:spacing w:after="0"/>
              <w:rPr>
                <w:sz w:val="19"/>
                <w:szCs w:val="19"/>
                <w:color w:val="auto"/>
              </w:rPr>
            </w:pPr>
          </w:p>
        </w:tc>
        <w:tc>
          <w:tcPr>
            <w:tcW w:w="1200" w:type="dxa"/>
            <w:vAlign w:val="bottom"/>
          </w:tcPr>
          <w:p>
            <w:pPr>
              <w:jc w:val="right"/>
              <w:ind w:right="432"/>
              <w:spacing w:after="0"/>
              <w:rPr>
                <w:sz w:val="20"/>
                <w:szCs w:val="20"/>
                <w:color w:val="auto"/>
              </w:rPr>
            </w:pPr>
            <w:r>
              <w:rPr>
                <w:rFonts w:ascii="Arial" w:cs="Arial" w:eastAsia="Arial" w:hAnsi="Arial"/>
                <w:sz w:val="18"/>
                <w:szCs w:val="18"/>
                <w:color w:val="auto"/>
              </w:rPr>
              <w:t>(12.9)</w:t>
            </w:r>
          </w:p>
        </w:tc>
        <w:tc>
          <w:tcPr>
            <w:tcW w:w="1240" w:type="dxa"/>
            <w:vAlign w:val="bottom"/>
          </w:tcPr>
          <w:p>
            <w:pPr>
              <w:spacing w:after="0"/>
              <w:rPr>
                <w:sz w:val="19"/>
                <w:szCs w:val="19"/>
                <w:color w:val="auto"/>
              </w:rPr>
            </w:pPr>
          </w:p>
        </w:tc>
        <w:tc>
          <w:tcPr>
            <w:tcW w:w="900" w:type="dxa"/>
            <w:vAlign w:val="bottom"/>
          </w:tcPr>
          <w:p>
            <w:pPr>
              <w:jc w:val="right"/>
              <w:ind w:right="252"/>
              <w:spacing w:after="0"/>
              <w:rPr>
                <w:sz w:val="20"/>
                <w:szCs w:val="20"/>
                <w:color w:val="auto"/>
              </w:rPr>
            </w:pPr>
            <w:r>
              <w:rPr>
                <w:rFonts w:ascii="Arial" w:cs="Arial" w:eastAsia="Arial" w:hAnsi="Arial"/>
                <w:sz w:val="18"/>
                <w:szCs w:val="18"/>
                <w:color w:val="auto"/>
              </w:rPr>
              <w:t>(8.2)</w:t>
            </w:r>
          </w:p>
        </w:tc>
        <w:tc>
          <w:tcPr>
            <w:tcW w:w="90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(6.2)</w:t>
            </w:r>
          </w:p>
        </w:tc>
      </w:tr>
      <w:tr>
        <w:trPr>
          <w:trHeight w:val="110"/>
        </w:trPr>
        <w:tc>
          <w:tcPr>
            <w:tcW w:w="348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316"/>
        </w:trPr>
        <w:tc>
          <w:tcPr>
            <w:tcW w:w="34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72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492"/>
              <w:spacing w:after="0"/>
              <w:rPr>
                <w:sz w:val="20"/>
                <w:szCs w:val="20"/>
                <w:color w:val="auto"/>
              </w:rPr>
            </w:pPr>
            <w:r>
              <w:rPr>
                <w:rFonts w:ascii="Arial" w:cs="Arial" w:eastAsia="Arial" w:hAnsi="Arial"/>
                <w:sz w:val="18"/>
                <w:szCs w:val="18"/>
                <w:b w:val="1"/>
                <w:bCs w:val="1"/>
                <w:color w:val="auto"/>
              </w:rPr>
              <w:t>1.2</w:t>
            </w: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92"/>
              <w:spacing w:after="0"/>
              <w:rPr>
                <w:sz w:val="20"/>
                <w:szCs w:val="20"/>
                <w:color w:val="auto"/>
              </w:rPr>
            </w:pPr>
            <w:r>
              <w:rPr>
                <w:rFonts w:ascii="Arial" w:cs="Arial" w:eastAsia="Arial" w:hAnsi="Arial"/>
                <w:sz w:val="18"/>
                <w:szCs w:val="18"/>
                <w:b w:val="1"/>
                <w:bCs w:val="1"/>
                <w:color w:val="auto"/>
              </w:rPr>
              <w:t>1.9</w:t>
            </w: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1.5</w:t>
            </w:r>
          </w:p>
        </w:tc>
      </w:tr>
      <w:tr>
        <w:trPr>
          <w:trHeight w:val="110"/>
        </w:trPr>
        <w:tc>
          <w:tcPr>
            <w:tcW w:w="348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Additionally, consistent with the Company’s efforts to reduce costs and realign resources, during the current fiscal year, the Company entered into sublease arrangements for certain leased properties in lower Manhattan. These subleases enable the Company to reduce utilized space, effectively reducing net rental costs prospectively. The sublease arrangements provide for rents to be paid to the Company from unrelated subtenants for the remainder of the Company’s lease terms through 2018. The net rents to be received from the subtenants are less than the Company’s lease commitments for these properties over the remaining term of the leases. Accordingly, the Company recognized a loss on these subleases of $6.2 in the fiscal quarter ended November 30, 2011.</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has announced authorizations made by the Board of Directors to repurchase Common Stock, from time to time as conditions allow, on the open market or through negotiated private transactions, as summarized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20"/>
                <w:szCs w:val="20"/>
                <w:color w:val="auto"/>
              </w:rPr>
            </w:pPr>
            <w:r>
              <w:rPr>
                <w:rFonts w:ascii="Arial" w:cs="Arial" w:eastAsia="Arial" w:hAnsi="Arial"/>
                <w:sz w:val="18"/>
                <w:szCs w:val="18"/>
                <w:b w:val="1"/>
                <w:bCs w:val="1"/>
                <w:color w:val="auto"/>
              </w:rPr>
              <w:t>Authorization</w:t>
            </w:r>
          </w:p>
        </w:tc>
        <w:tc>
          <w:tcPr>
            <w:tcW w:w="180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r>
      <w:tr>
        <w:trPr>
          <w:trHeight w:val="110"/>
        </w:trPr>
        <w:tc>
          <w:tcPr>
            <w:tcW w:w="63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09"/>
        </w:trPr>
        <w:tc>
          <w:tcPr>
            <w:tcW w:w="6380" w:type="dxa"/>
            <w:vAlign w:val="bottom"/>
          </w:tcPr>
          <w:p>
            <w:pPr>
              <w:spacing w:after="0"/>
              <w:rPr>
                <w:sz w:val="20"/>
                <w:szCs w:val="20"/>
                <w:color w:val="auto"/>
              </w:rPr>
            </w:pPr>
            <w:r>
              <w:rPr>
                <w:rFonts w:ascii="Arial" w:cs="Arial" w:eastAsia="Arial" w:hAnsi="Arial"/>
                <w:sz w:val="18"/>
                <w:szCs w:val="18"/>
                <w:color w:val="auto"/>
              </w:rPr>
              <w:t>December 2007</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4"/>
                <w:szCs w:val="24"/>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May 2008</w:t>
            </w:r>
          </w:p>
        </w:tc>
        <w:tc>
          <w:tcPr>
            <w:tcW w:w="1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November 2008</w:t>
            </w:r>
          </w:p>
        </w:tc>
        <w:tc>
          <w:tcPr>
            <w:tcW w:w="1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February 2009</w:t>
            </w:r>
          </w:p>
        </w:tc>
        <w:tc>
          <w:tcPr>
            <w:tcW w:w="1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December 2009</w:t>
            </w:r>
          </w:p>
        </w:tc>
        <w:tc>
          <w:tcPr>
            <w:tcW w:w="1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September 2010</w:t>
            </w:r>
          </w:p>
        </w:tc>
        <w:tc>
          <w:tcPr>
            <w:tcW w:w="1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(a)</w:t>
            </w:r>
          </w:p>
        </w:tc>
      </w:tr>
      <w:tr>
        <w:trPr>
          <w:trHeight w:val="110"/>
        </w:trPr>
        <w:tc>
          <w:tcPr>
            <w:tcW w:w="63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16"/>
        </w:trPr>
        <w:tc>
          <w:tcPr>
            <w:tcW w:w="6380" w:type="dxa"/>
            <w:vAlign w:val="bottom"/>
          </w:tcPr>
          <w:p>
            <w:pPr>
              <w:spacing w:after="0"/>
              <w:rPr>
                <w:sz w:val="20"/>
                <w:szCs w:val="20"/>
                <w:color w:val="auto"/>
              </w:rPr>
            </w:pPr>
            <w:r>
              <w:rPr>
                <w:rFonts w:ascii="Arial" w:cs="Arial" w:eastAsia="Arial" w:hAnsi="Arial"/>
                <w:sz w:val="18"/>
                <w:szCs w:val="18"/>
                <w:color w:val="auto"/>
              </w:rPr>
              <w:t>Subtotal</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119.0</w:t>
            </w:r>
          </w:p>
        </w:tc>
        <w:tc>
          <w:tcPr>
            <w:tcW w:w="200" w:type="dxa"/>
            <w:vAlign w:val="bottom"/>
          </w:tcPr>
          <w:p>
            <w:pPr>
              <w:spacing w:after="0"/>
              <w:rPr>
                <w:sz w:val="24"/>
                <w:szCs w:val="24"/>
                <w:color w:val="auto"/>
              </w:rPr>
            </w:pPr>
          </w:p>
        </w:tc>
      </w:tr>
      <w:tr>
        <w:trPr>
          <w:trHeight w:val="110"/>
        </w:trPr>
        <w:tc>
          <w:tcPr>
            <w:tcW w:w="63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316"/>
        </w:trPr>
        <w:tc>
          <w:tcPr>
            <w:tcW w:w="6380" w:type="dxa"/>
            <w:vAlign w:val="bottom"/>
          </w:tcPr>
          <w:p>
            <w:pPr>
              <w:spacing w:after="0"/>
              <w:rPr>
                <w:sz w:val="20"/>
                <w:szCs w:val="20"/>
                <w:color w:val="auto"/>
              </w:rPr>
            </w:pPr>
            <w:r>
              <w:rPr>
                <w:rFonts w:ascii="Arial" w:cs="Arial" w:eastAsia="Arial" w:hAnsi="Arial"/>
                <w:sz w:val="18"/>
                <w:szCs w:val="18"/>
                <w:color w:val="auto"/>
              </w:rPr>
              <w:t>Less repurchases made from December 2007 through February 2012</w:t>
            </w:r>
          </w:p>
        </w:tc>
        <w:tc>
          <w:tcPr>
            <w:tcW w:w="1800" w:type="dxa"/>
            <w:vAlign w:val="bottom"/>
          </w:tcPr>
          <w:p>
            <w:pPr>
              <w:spacing w:after="0"/>
              <w:rPr>
                <w:sz w:val="24"/>
                <w:szCs w:val="24"/>
                <w:color w:val="auto"/>
              </w:rPr>
            </w:pPr>
          </w:p>
        </w:tc>
        <w:tc>
          <w:tcPr>
            <w:tcW w:w="1460" w:type="dxa"/>
            <w:vAlign w:val="bottom"/>
            <w:gridSpan w:val="2"/>
          </w:tcPr>
          <w:p>
            <w:pPr>
              <w:jc w:val="right"/>
              <w:ind w:right="92"/>
              <w:spacing w:after="0"/>
              <w:rPr>
                <w:sz w:val="20"/>
                <w:szCs w:val="20"/>
                <w:color w:val="auto"/>
              </w:rPr>
            </w:pPr>
            <w:r>
              <w:rPr>
                <w:rFonts w:ascii="Arial" w:cs="Arial" w:eastAsia="Arial" w:hAnsi="Arial"/>
                <w:sz w:val="18"/>
                <w:szCs w:val="18"/>
                <w:color w:val="auto"/>
              </w:rPr>
              <w:t>(80.1)</w:t>
            </w:r>
          </w:p>
        </w:tc>
      </w:tr>
      <w:tr>
        <w:trPr>
          <w:trHeight w:val="110"/>
        </w:trPr>
        <w:tc>
          <w:tcPr>
            <w:tcW w:w="63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464"/>
        </w:trPr>
        <w:tc>
          <w:tcPr>
            <w:tcW w:w="6380" w:type="dxa"/>
            <w:vAlign w:val="bottom"/>
          </w:tcPr>
          <w:p>
            <w:pPr>
              <w:spacing w:after="0"/>
              <w:rPr>
                <w:sz w:val="20"/>
                <w:szCs w:val="20"/>
                <w:color w:val="auto"/>
              </w:rPr>
            </w:pPr>
            <w:r>
              <w:rPr>
                <w:rFonts w:ascii="Arial" w:cs="Arial" w:eastAsia="Arial" w:hAnsi="Arial"/>
                <w:sz w:val="18"/>
                <w:szCs w:val="18"/>
                <w:color w:val="auto"/>
              </w:rPr>
              <w:t>Remaining Board authorization at February 29, 2012</w:t>
            </w:r>
          </w:p>
        </w:tc>
        <w:tc>
          <w:tcPr>
            <w:tcW w:w="1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24"/>
                <w:szCs w:val="24"/>
                <w:color w:val="auto"/>
              </w:rPr>
            </w:pPr>
          </w:p>
        </w:tc>
      </w:tr>
      <w:tr>
        <w:trPr>
          <w:trHeight w:val="110"/>
        </w:trPr>
        <w:tc>
          <w:tcPr>
            <w:tcW w:w="63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bl>
    <w:p>
      <w:pPr>
        <w:spacing w:after="0" w:line="316" w:lineRule="exact"/>
        <w:rPr>
          <w:sz w:val="20"/>
          <w:szCs w:val="20"/>
          <w:color w:val="auto"/>
        </w:rPr>
      </w:pPr>
    </w:p>
    <w:p>
      <w:pPr>
        <w:jc w:val="both"/>
        <w:ind w:right="100" w:firstLine="8"/>
        <w:spacing w:after="0" w:line="256" w:lineRule="auto"/>
        <w:tabs>
          <w:tab w:leader="none" w:pos="239"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remainder of $200.0 authorization after giving effect to the purchase of 5,199,699 shares at $30.00 per share pursuant to a modified Dutch auction tender offer that was completed by the Company on November 3, 2010, for a total cost of $156.0, excluding related fees and expenses. The Common shares purchased pursuant to the tender offer represented approximately 15.1% of the Common shares outstanding as of October 27, 2010. Fees for the modified Dutch auction tender offer were $1.2.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repurchase program may be suspended at any time without prior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accounting standard regarding fair value measurements requires that the Company determine the appropriate level in the fair value hierarchy for each fair value measurement. The fair value hierarchy prioritizes the inputs, which refer to assumptions that market participants would use in pricing an asset or liability, based upon the highest and best use, into three levels as follows:</w:t>
      </w:r>
    </w:p>
    <w:p>
      <w:pPr>
        <w:spacing w:after="0" w:line="202" w:lineRule="exact"/>
        <w:rPr>
          <w:sz w:val="20"/>
          <w:szCs w:val="20"/>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164" w:lineRule="exact"/>
        <w:rPr>
          <w:sz w:val="20"/>
          <w:szCs w:val="20"/>
          <w:color w:val="auto"/>
        </w:rPr>
      </w:pPr>
    </w:p>
    <w:p>
      <w:pPr>
        <w:ind w:left="1840" w:hanging="45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840" w:hanging="45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840" w:hanging="454"/>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45" w:lineRule="exact"/>
        <w:rPr>
          <w:rFonts w:ascii="Arial" w:cs="Arial" w:eastAsia="Arial" w:hAnsi="Arial"/>
          <w:sz w:val="18"/>
          <w:szCs w:val="18"/>
          <w:color w:val="auto"/>
        </w:rPr>
      </w:pPr>
    </w:p>
    <w:p>
      <w:pPr>
        <w:ind w:left="920" w:right="120" w:hanging="453"/>
        <w:spacing w:after="0" w:line="275"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debt and foreign currency forward contracts, which were not material as of the reporting date.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5,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17, “Derivatives and Hedging,” for a more complete description of fair value measurements employed.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and Other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 calculating the provision for income taxes on an interim basis, the Company uses an estimate of the annual effective tax rate based upon the facts and circumstances known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5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Company’s annual effective tax rate for the fiscal year ending May 31, 2012 is currently expected to be approximately 42%. The Company’s expected full year effective tax rate exceeds statutory rates primarily as a result of net operating losses in foreign jurisdictions, mainly in the United Kingdom, where the Company does not expect to realize future tax benefits. As a result, valuation allowances are provided for the net operating loss carry forwards in these jurisdictions.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the Internal Revenue Service for its fiscal years ended May 31, 2007, 2008 and 2009. The Company is also currently under audit by New York State for its fiscal years ended May 31, 2002, 2003 and 2004 and New York City for its fiscal years ended May 31, 2005, 2006 and 2007.</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recognizes tax benefits of uncertain tax positions in accordance with the current accounting guidance pertaining to uncertainty in income taxes. The Company believes that it is reasonably possible that its existing unrecognized benefits may be reduced by approximately $1.8 million within the next twelve months. This is expected to reduce the income tax provision.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3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Company is subject to tax examinations for sales-based taxes. A number of these examinations are ongoing and, in certain cases, have resulted in assessments from taxing authorities. Where appropriate, the Company has made accruals for these matters which are reflected in the Company’s condensed consolidated financial statements. In the three-month period ended February 29, 2012, the Company recorded accruals of $19.7 based on the current status of sales tax assessments in two jurisdictions. These amounts are included in the condensed consolidated financial statements in Selling, general and administrative expenses. Future developments relating to the foregoing could result in adjustments being made to these accruals.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and Hedging</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Unrealized losses of $0.4 and $1.0 were recognized at February 29, 2012 and February 28, 2011,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March 14, 2012, the Company announced that the Board of Directors declared a cash dividend of $0.125 per Class A and Common share in respect of the third quarter of fiscal 2012. The dividend is payable on June 15, 2012 to shareholders of record on April 30, 2012.</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19, 2012, prior to the issuance of its financial statements for the three months ended February 29, 2012, the Company received notice of an adverse decision from the Supreme Court of Connecticut reversing an earlier trial court decision and finding that Scholastic Book Clubs, Inc., a subsidiary of the Company, was liable for sales taxes relating to the operation of its school book clubs in Connecticut. Based on the decision, the Company increased its accrual in respect of state sales taxes in the condensed consolidated financial statements as of February 29, 2012 by $11.6 as further described under “Non-Income Taxes” in Note 16, “Income Taxes and Other Taxes.” The Company does not agree with the decision and is currently considering whether it will seek to appeal the decision to the Supreme Court of the United States.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Revenue for the quarter ended February 29, 2012 was $467.0 million, up 22% from $384.3 million in the prior fiscal year quarter. Net loss from continuing operations for the quarter ended February 29, 2012 was $9.9 million as compared to a loss of $24.0 million in the prior year fiscal quarter. The seasonal loss per share from continuing operations was $0.32, which compared favorably to a loss per share from continuing operations of $0.77 in the prior year fiscal period. Strong revenue and a substantially lower net loss in the quarter reflected higher sales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as well as in the </w:t>
      </w: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segment. The consolidated loss per share was $0.33 in the quarter compared to $0.81 in the comparable period a year ago.</w:t>
      </w:r>
    </w:p>
    <w:p>
      <w:pPr>
        <w:spacing w:after="0" w:line="170"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 xml:space="preserve">The strong performance of the Scholastic series </w:t>
      </w:r>
      <w:r>
        <w:rPr>
          <w:rFonts w:ascii="Arial" w:cs="Arial" w:eastAsia="Arial" w:hAnsi="Arial"/>
          <w:sz w:val="16"/>
          <w:szCs w:val="16"/>
          <w:i w:val="1"/>
          <w:iCs w:val="1"/>
          <w:color w:val="auto"/>
        </w:rPr>
        <w:t>The Hunger Games</w:t>
      </w:r>
      <w:r>
        <w:rPr>
          <w:rFonts w:ascii="Arial" w:cs="Arial" w:eastAsia="Arial" w:hAnsi="Arial"/>
          <w:sz w:val="16"/>
          <w:szCs w:val="16"/>
          <w:color w:val="auto"/>
        </w:rPr>
        <w:t xml:space="preserve"> trilogy, affecting both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segments, reached a high point in the third quarter ahead of the upcoming movie release, and is experiencing a large crossover readership by adults. In addition, the book fairs business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experienced strong sales growth and profit improvement. The Company also moved forward with its plan for distributing children’s digital books with the introduction of Storia™, Scholastic’s new children’s ereading app and ebookstore, and began a phased roll-out to teachers, parents and kids through its book club and book fair channels.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and Discontinued Operations</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Revenues for the quarter ended February 29, 2012 increased by $82.7 million, or 21.5%, to $467.0 million, compared to $384.3 million in the prior fiscal year quarter, driven by higher 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 xml:space="preserve">Educational Technology and Services </w:t>
      </w:r>
      <w:r>
        <w:rPr>
          <w:rFonts w:ascii="Arial" w:cs="Arial" w:eastAsia="Arial" w:hAnsi="Arial"/>
          <w:sz w:val="18"/>
          <w:szCs w:val="18"/>
          <w:color w:val="auto"/>
        </w:rPr>
        <w:t>segments of $73.0 million, $10.5 million, $2.3 million and $1.8 million, respectively, offset partially by lower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Classroom and Supplemental Materials Publishing</w:t>
      </w:r>
      <w:r>
        <w:rPr>
          <w:rFonts w:ascii="Arial" w:cs="Arial" w:eastAsia="Arial" w:hAnsi="Arial"/>
          <w:sz w:val="18"/>
          <w:szCs w:val="18"/>
          <w:color w:val="auto"/>
        </w:rPr>
        <w:t xml:space="preserve"> segment of $4.9 million. Revenues for the nine months ended February 29, 2012 increased by $127.7 million, or 9.5%, to $1,470.3 million, compared to $1,342.6 million in the prior year fiscal period, primarily due to higher revenues in the </w:t>
      </w:r>
      <w:r>
        <w:rPr>
          <w:rFonts w:ascii="Arial" w:cs="Arial" w:eastAsia="Arial" w:hAnsi="Arial"/>
          <w:sz w:val="18"/>
          <w:szCs w:val="18"/>
          <w:i w:val="1"/>
          <w:iCs w:val="1"/>
          <w:color w:val="auto"/>
        </w:rPr>
        <w:t>Children’s Book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Publishing and Distribution, </w:t>
      </w:r>
      <w:r>
        <w:rPr>
          <w:rFonts w:ascii="Arial" w:cs="Arial" w:eastAsia="Arial" w:hAnsi="Arial"/>
          <w:sz w:val="18"/>
          <w:szCs w:val="18"/>
          <w:color w:val="auto"/>
        </w:rPr>
        <w:t>the</w:t>
      </w:r>
      <w:r>
        <w:rPr>
          <w:rFonts w:ascii="Arial" w:cs="Arial" w:eastAsia="Arial" w:hAnsi="Arial"/>
          <w:sz w:val="18"/>
          <w:szCs w:val="18"/>
          <w:i w:val="1"/>
          <w:iCs w:val="1"/>
          <w:color w:val="auto"/>
        </w:rPr>
        <w:t xml:space="preserve"> Educational Technology and Services</w:t>
      </w:r>
      <w:r>
        <w:rPr>
          <w:rFonts w:ascii="Arial" w:cs="Arial" w:eastAsia="Arial" w:hAnsi="Arial"/>
          <w:sz w:val="18"/>
          <w:szCs w:val="18"/>
          <w:color w:val="auto"/>
        </w:rPr>
        <w:t>, the</w:t>
      </w:r>
      <w:r>
        <w:rPr>
          <w:rFonts w:ascii="Arial" w:cs="Arial" w:eastAsia="Arial" w:hAnsi="Arial"/>
          <w:sz w:val="18"/>
          <w:szCs w:val="18"/>
          <w:i w:val="1"/>
          <w:iCs w:val="1"/>
          <w:color w:val="auto"/>
        </w:rPr>
        <w:t xml:space="preserve"> International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Classroom and Supplemental Materials Publishing </w:t>
      </w:r>
      <w:r>
        <w:rPr>
          <w:rFonts w:ascii="Arial" w:cs="Arial" w:eastAsia="Arial" w:hAnsi="Arial"/>
          <w:sz w:val="18"/>
          <w:szCs w:val="18"/>
          <w:color w:val="auto"/>
        </w:rPr>
        <w:t>segments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$78.7 million, $32.6 million, $14.5 million and $10.5 million, respectively, offset partially by lower revenue in the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of $8.6 million.</w:t>
      </w:r>
    </w:p>
    <w:p>
      <w:pPr>
        <w:spacing w:after="0" w:line="199" w:lineRule="exact"/>
        <w:rPr>
          <w:sz w:val="20"/>
          <w:szCs w:val="20"/>
          <w:color w:val="auto"/>
        </w:rPr>
      </w:pPr>
    </w:p>
    <w:p>
      <w:pPr>
        <w:ind w:right="500"/>
        <w:spacing w:after="0" w:line="305" w:lineRule="auto"/>
        <w:rPr>
          <w:sz w:val="20"/>
          <w:szCs w:val="20"/>
          <w:color w:val="auto"/>
        </w:rPr>
      </w:pPr>
      <w:r>
        <w:rPr>
          <w:rFonts w:ascii="Arial" w:cs="Arial" w:eastAsia="Arial" w:hAnsi="Arial"/>
          <w:sz w:val="15"/>
          <w:szCs w:val="15"/>
          <w:color w:val="auto"/>
        </w:rPr>
        <w:t>Cost of goods sold (exclusive of depreciation and amortization) as a percentage of revenue for the quarter ended February 29, 2012 decreased to 47.0%, compared to 50.4% in the prior fiscal year quarter. Cost of goods sold as a percentage of revenue for the nine months ended February 29, 2012 decreased to</w:t>
      </w:r>
    </w:p>
    <w:p>
      <w:pPr>
        <w:ind w:right="40"/>
        <w:spacing w:after="0" w:line="255" w:lineRule="auto"/>
        <w:rPr>
          <w:sz w:val="20"/>
          <w:szCs w:val="20"/>
          <w:color w:val="auto"/>
        </w:rPr>
      </w:pPr>
      <w:r>
        <w:rPr>
          <w:rFonts w:ascii="Arial" w:cs="Arial" w:eastAsia="Arial" w:hAnsi="Arial"/>
          <w:sz w:val="18"/>
          <w:szCs w:val="18"/>
          <w:color w:val="auto"/>
        </w:rPr>
        <w:t>45.3%, compared to 47.1% in the prior fiscal year. The decrease in both periods is primarily related to favorable product mix, the impact of ebooks which are sold at higher margins than print books and decreased postage costs, partially offset by increased royalty costs. Components of Cost of goods sold for the three and nine months ended February 29, 2012 and February 28,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20" w:type="dxa"/>
            <w:vAlign w:val="bottom"/>
            <w:gridSpan w:val="3"/>
          </w:tcPr>
          <w:p>
            <w:pPr>
              <w:jc w:val="right"/>
              <w:ind w:right="1012"/>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3420" w:type="dxa"/>
            <w:vAlign w:val="bottom"/>
            <w:gridSpan w:val="3"/>
          </w:tcPr>
          <w:p>
            <w:pPr>
              <w:jc w:val="right"/>
              <w:ind w:right="1092"/>
              <w:spacing w:after="0"/>
              <w:rPr>
                <w:sz w:val="20"/>
                <w:szCs w:val="20"/>
                <w:color w:val="auto"/>
              </w:rPr>
            </w:pPr>
            <w:r>
              <w:rPr>
                <w:rFonts w:ascii="Arial" w:cs="Arial" w:eastAsia="Arial" w:hAnsi="Arial"/>
                <w:sz w:val="18"/>
                <w:szCs w:val="18"/>
                <w:color w:val="auto"/>
              </w:rPr>
              <w:t>Nine months ended</w:t>
            </w:r>
          </w:p>
        </w:tc>
      </w:tr>
      <w:tr>
        <w:trPr>
          <w:trHeight w:val="222"/>
        </w:trPr>
        <w:tc>
          <w:tcPr>
            <w:tcW w:w="3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w w:val="91"/>
              </w:rPr>
              <w:t>February 29, 2012</w:t>
            </w:r>
          </w:p>
        </w:tc>
        <w:tc>
          <w:tcPr>
            <w:tcW w:w="200" w:type="dxa"/>
            <w:vAlign w:val="bottom"/>
          </w:tcPr>
          <w:p>
            <w:pPr>
              <w:spacing w:after="0"/>
              <w:rPr>
                <w:sz w:val="19"/>
                <w:szCs w:val="19"/>
                <w:color w:val="auto"/>
              </w:rPr>
            </w:pPr>
          </w:p>
        </w:tc>
        <w:tc>
          <w:tcPr>
            <w:tcW w:w="1620" w:type="dxa"/>
            <w:vAlign w:val="bottom"/>
          </w:tcPr>
          <w:p>
            <w:pPr>
              <w:jc w:val="right"/>
              <w:ind w:right="172"/>
              <w:spacing w:after="0"/>
              <w:rPr>
                <w:sz w:val="20"/>
                <w:szCs w:val="20"/>
                <w:color w:val="auto"/>
              </w:rPr>
            </w:pPr>
            <w:r>
              <w:rPr>
                <w:rFonts w:ascii="Arial" w:cs="Arial" w:eastAsia="Arial" w:hAnsi="Arial"/>
                <w:sz w:val="18"/>
                <w:szCs w:val="18"/>
                <w:color w:val="auto"/>
                <w:w w:val="91"/>
              </w:rPr>
              <w:t>February 28, 2011</w:t>
            </w:r>
          </w:p>
        </w:tc>
        <w:tc>
          <w:tcPr>
            <w:tcW w:w="200" w:type="dxa"/>
            <w:vAlign w:val="bottom"/>
          </w:tcPr>
          <w:p>
            <w:pPr>
              <w:spacing w:after="0"/>
              <w:rPr>
                <w:sz w:val="19"/>
                <w:szCs w:val="19"/>
                <w:color w:val="auto"/>
              </w:rPr>
            </w:pPr>
          </w:p>
        </w:tc>
        <w:tc>
          <w:tcPr>
            <w:tcW w:w="1600" w:type="dxa"/>
            <w:vAlign w:val="bottom"/>
          </w:tcPr>
          <w:p>
            <w:pPr>
              <w:jc w:val="right"/>
              <w:ind w:right="172"/>
              <w:spacing w:after="0"/>
              <w:rPr>
                <w:sz w:val="20"/>
                <w:szCs w:val="20"/>
                <w:color w:val="auto"/>
              </w:rPr>
            </w:pPr>
            <w:r>
              <w:rPr>
                <w:rFonts w:ascii="Arial" w:cs="Arial" w:eastAsia="Arial" w:hAnsi="Arial"/>
                <w:sz w:val="18"/>
                <w:szCs w:val="18"/>
                <w:color w:val="auto"/>
                <w:w w:val="89"/>
              </w:rPr>
              <w:t>February 29, 2012</w:t>
            </w:r>
          </w:p>
        </w:tc>
        <w:tc>
          <w:tcPr>
            <w:tcW w:w="180" w:type="dxa"/>
            <w:vAlign w:val="bottom"/>
          </w:tcPr>
          <w:p>
            <w:pPr>
              <w:spacing w:after="0"/>
              <w:rPr>
                <w:sz w:val="19"/>
                <w:szCs w:val="19"/>
                <w:color w:val="auto"/>
              </w:rPr>
            </w:pPr>
          </w:p>
        </w:tc>
        <w:tc>
          <w:tcPr>
            <w:tcW w:w="1640" w:type="dxa"/>
            <w:vAlign w:val="bottom"/>
          </w:tcPr>
          <w:p>
            <w:pPr>
              <w:jc w:val="right"/>
              <w:ind w:right="212"/>
              <w:spacing w:after="0"/>
              <w:rPr>
                <w:sz w:val="20"/>
                <w:szCs w:val="20"/>
                <w:color w:val="auto"/>
              </w:rPr>
            </w:pPr>
            <w:r>
              <w:rPr>
                <w:rFonts w:ascii="Arial" w:cs="Arial" w:eastAsia="Arial" w:hAnsi="Arial"/>
                <w:sz w:val="18"/>
                <w:szCs w:val="18"/>
                <w:color w:val="auto"/>
                <w:w w:val="89"/>
              </w:rPr>
              <w:t>February 28, 2011</w:t>
            </w:r>
          </w:p>
        </w:tc>
      </w:tr>
      <w:tr>
        <w:trPr>
          <w:trHeight w:val="110"/>
        </w:trPr>
        <w:tc>
          <w:tcPr>
            <w:tcW w:w="36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09"/>
        </w:trPr>
        <w:tc>
          <w:tcPr>
            <w:tcW w:w="3660" w:type="dxa"/>
            <w:vAlign w:val="bottom"/>
          </w:tcPr>
          <w:p>
            <w:pPr>
              <w:spacing w:after="0"/>
              <w:rPr>
                <w:sz w:val="20"/>
                <w:szCs w:val="20"/>
                <w:color w:val="auto"/>
              </w:rPr>
            </w:pPr>
            <w:r>
              <w:rPr>
                <w:rFonts w:ascii="Arial" w:cs="Arial" w:eastAsia="Arial" w:hAnsi="Arial"/>
                <w:sz w:val="18"/>
                <w:szCs w:val="18"/>
                <w:color w:val="auto"/>
              </w:rPr>
              <w:t>Product, service and production costs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362.1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357.0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Royalty costs</w:t>
            </w:r>
          </w:p>
        </w:tc>
        <w:tc>
          <w:tcPr>
            <w:tcW w:w="7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68.4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Prepublication and production amortization</w:t>
            </w:r>
          </w:p>
        </w:tc>
        <w:tc>
          <w:tcPr>
            <w:tcW w:w="7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35.5</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Postage, freight, shipping, fulfillment and</w:t>
            </w: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all other costs</w:t>
            </w:r>
          </w:p>
        </w:tc>
        <w:tc>
          <w:tcPr>
            <w:tcW w:w="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170.3</w:t>
            </w:r>
          </w:p>
        </w:tc>
        <w:tc>
          <w:tcPr>
            <w:tcW w:w="180" w:type="dxa"/>
            <w:vAlign w:val="bottom"/>
          </w:tcPr>
          <w:p>
            <w:pPr>
              <w:spacing w:after="0"/>
              <w:rPr>
                <w:sz w:val="19"/>
                <w:szCs w:val="19"/>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171.4</w:t>
            </w:r>
          </w:p>
        </w:tc>
      </w:tr>
      <w:tr>
        <w:trPr>
          <w:trHeight w:val="110"/>
        </w:trPr>
        <w:tc>
          <w:tcPr>
            <w:tcW w:w="36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16"/>
        </w:trPr>
        <w:tc>
          <w:tcPr>
            <w:tcW w:w="3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219.6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665.7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632.3</w:t>
            </w:r>
          </w:p>
        </w:tc>
      </w:tr>
      <w:tr>
        <w:trPr>
          <w:trHeight w:val="110"/>
        </w:trPr>
        <w:tc>
          <w:tcPr>
            <w:tcW w:w="36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Selling, general and administrative expenses (exclusive of depreciation and amortization) for the quarter ended February 29, 2012 increased to $235.5 million, or 50.4% of revenue, compared to $198.1 million, or 51.5% of revenue in the prior fiscal year quarter. Selling, general and administrative expenses for the nine months ended February 29, 2012 were $636.1 million, or 43.3% of revenue, compared to $597.2 million, or 44.5% of revenue, in the prior fiscal year period. The dollar increases over the prior periods are primarily due to increased employee-related incentive accruals related to the increase in revenue, increased spending on digital initiatives and higher sales tax accruals, partially offset by lower promotional expenses, all of which were primarily in the </w:t>
      </w:r>
      <w:r>
        <w:rPr>
          <w:rFonts w:ascii="Arial" w:cs="Arial" w:eastAsia="Arial" w:hAnsi="Arial"/>
          <w:sz w:val="16"/>
          <w:szCs w:val="16"/>
          <w:i w:val="1"/>
          <w:iCs w:val="1"/>
          <w:color w:val="auto"/>
        </w:rPr>
        <w:t>Children’s Book Publishing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Distribution </w:t>
      </w:r>
      <w:r>
        <w:rPr>
          <w:rFonts w:ascii="Arial" w:cs="Arial" w:eastAsia="Arial" w:hAnsi="Arial"/>
          <w:sz w:val="16"/>
          <w:szCs w:val="16"/>
          <w:color w:val="auto"/>
        </w:rPr>
        <w:t>segment. The improvements in Selling, general and administrative expenses as percentages of revenues were largely due to the higher domestic and</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trade channel sales.</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Bad debt expense for the quarter ended February 29, 2012 decreased $3.6 million to $3.1 million, compared to $6.7 million in the prior fiscal year quarter. Bad debt expense for the nine months ended February 29, 2012 decreased by $4.8 million to $7.8 million, compared to $12.6 million in the prior fiscal year period. Both period decreases were primarily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as the prior fiscal year includes a charge of $3.5 million related to the Border’s bankruptcy filing.</w:t>
      </w:r>
    </w:p>
    <w:p>
      <w:pPr>
        <w:spacing w:after="0" w:line="19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During the current fiscal year, the Company entered into sublease arrangements for certain leased properties in lower Manhattan. The net rents to be received from the subtenants are less than the Company’s lease commitments for these properties over the remaining term of the leases. Accordingly, the Company recognized a loss on these subleases of $6.2 million in the nine months ended February 29, 2012.</w:t>
      </w:r>
    </w:p>
    <w:p>
      <w:pPr>
        <w:spacing w:after="0" w:line="19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Severance expense increased by $2.7 million to $3.9 million for the quarter ended February 29, 2012, compared to $1.2 million in the prior fiscal year quarter. For the nine months ended February 29, 2012, severance expense increased by $7.9 million, to $12.2 million, compared to $4.3 million in the prior fiscal year period. These increases are primarily related to the previously announced voluntary retirement program which is nearly completed.</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resulting operating loss for the quarter ended February 29, 2012 decreased by $18.1 million to an operating loss of $11.9 million, compared to an operating loss of $30.0 million in the prior fiscal year quarter. For the nine months ended February 29, 2012, the resulting operating income increased by $42.1 million to $94.9 million, compared to $52.8 million in the prior fiscal 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interest expense for the quarter and nine months ended February 29, 2012 remained flat as related to the comparable prior fiscal year period.</w:t>
      </w:r>
    </w:p>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Company’s effective tax rates were 37.0% and 29.2% for the fiscal quarters ended February 29, 2012 and February 28, 2011, respectively, and 41.9% and 52.8% for the nine months ended February 29, 2012 and February 28, 2011, respectively.</w:t>
      </w:r>
    </w:p>
    <w:p>
      <w:pPr>
        <w:spacing w:after="0" w:line="18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Loss from continuing operations was $9.9 million, or $0.32 per share, for the quarter ended February 29, 2012, compared to a loss from continuing operations of $24.0 million, or $0.77 per share, for the prior year fiscal quarter. For the nine months ended February 29, 2012, earnings from continuing operations were $48.3 million, or $1.52 per diluted share, compared to $19.2 million, or $0.55 per diluted share, in the prior fiscal year period.</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Loss from discontinued operations, net of tax, was $0.4 million, or $0.01 per share, for the quarter ended February 29, 2012, compared to a loss of $1.1 million, or $0.04 per share, for the prior year fiscal quarter. Loss from discontinued operations for the nine months ended February 29, 2012 was $2.9 million, or $0.09 per share, compared to $4.6 million, or $0.13 per share, for the prior fiscal year period. The current year loss includes lease costs associated with a vacant facility which formerly served as the warehouse and offices for the Company’s direct-to-home toy catalog business. The prior year nine-month fiscal period ended February 28, 2011 includes a charge associated with the fiscal 2011 settlement of the Canadian Pension Plan.</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Net loss was $10.3 million, or $0.33 per share, for the quarter ended February 29, 2012, compared to a net loss of $25.1 million, or $0.81 per share, in the prior fiscal year quarter. Net income was $45.4 million, or $1.43 per diluted share, for the nine months ended February 29, 2012, compared to $14.6 million, or $0.42 per diluted share, in the prior fiscal year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00" w:type="dxa"/>
            <w:vAlign w:val="bottom"/>
            <w:gridSpan w:val="3"/>
          </w:tcPr>
          <w:p>
            <w:pPr>
              <w:jc w:val="right"/>
              <w:ind w:right="372"/>
              <w:spacing w:after="0"/>
              <w:rPr>
                <w:sz w:val="20"/>
                <w:szCs w:val="20"/>
                <w:color w:val="auto"/>
              </w:rPr>
            </w:pPr>
            <w:r>
              <w:rPr>
                <w:rFonts w:ascii="Arial" w:cs="Arial" w:eastAsia="Arial" w:hAnsi="Arial"/>
                <w:sz w:val="18"/>
                <w:szCs w:val="18"/>
                <w:b w:val="1"/>
                <w:bCs w:val="1"/>
                <w:color w:val="auto"/>
                <w:w w:val="91"/>
              </w:rPr>
              <w:t>Three months ended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w w:val="95"/>
              </w:rPr>
              <w:t>Nine months ended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b w:val="1"/>
                <w:bCs w:val="1"/>
                <w:color w:val="auto"/>
              </w:rPr>
              <w:t>February 29,</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80" w:type="dxa"/>
            <w:vAlign w:val="bottom"/>
          </w:tcPr>
          <w:p>
            <w:pPr>
              <w:spacing w:after="0"/>
              <w:rPr>
                <w:sz w:val="18"/>
                <w:szCs w:val="18"/>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29,</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8"/>
                <w:szCs w:val="18"/>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r>
      <w:tr>
        <w:trPr>
          <w:trHeight w:val="228"/>
        </w:trPr>
        <w:tc>
          <w:tcPr>
            <w:tcW w:w="21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600" w:type="dxa"/>
            <w:vAlign w:val="bottom"/>
          </w:tcPr>
          <w:p>
            <w:pPr>
              <w:spacing w:after="0"/>
              <w:rPr>
                <w:sz w:val="19"/>
                <w:szCs w:val="19"/>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9"/>
                <w:szCs w:val="19"/>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w w:val="85"/>
              </w:rPr>
              <w:t>change</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19"/>
                <w:szCs w:val="19"/>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w w:val="82"/>
              </w:rPr>
              <w:t>change</w:t>
            </w: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rPr>
              <w:t>change</w:t>
            </w:r>
          </w:p>
        </w:tc>
      </w:tr>
      <w:tr>
        <w:trPr>
          <w:trHeight w:val="110"/>
        </w:trPr>
        <w:tc>
          <w:tcPr>
            <w:tcW w:w="2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532"/>
        </w:trPr>
        <w:tc>
          <w:tcPr>
            <w:tcW w:w="2120" w:type="dxa"/>
            <w:vAlign w:val="bottom"/>
          </w:tcPr>
          <w:p>
            <w:pPr>
              <w:spacing w:after="0"/>
              <w:rPr>
                <w:sz w:val="20"/>
                <w:szCs w:val="20"/>
                <w:color w:val="auto"/>
              </w:rPr>
            </w:pPr>
            <w:r>
              <w:rPr>
                <w:rFonts w:ascii="Arial" w:cs="Arial" w:eastAsia="Arial" w:hAnsi="Arial"/>
                <w:sz w:val="18"/>
                <w:szCs w:val="18"/>
                <w:color w:val="auto"/>
              </w:rPr>
              <w:t>Revenues</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266.0</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193.0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73.0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731.9</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653.2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78.7</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21.0</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34.1</w:t>
            </w:r>
          </w:p>
        </w:tc>
        <w:tc>
          <w:tcPr>
            <w:tcW w:w="10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110"/>
        </w:trPr>
        <w:tc>
          <w:tcPr>
            <w:tcW w:w="2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316"/>
        </w:trPr>
        <w:tc>
          <w:tcPr>
            <w:tcW w:w="21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4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37"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for the quarter ended February 29, 2012 increased by $73.0 million, or 37.8%, to $266.0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compared to $193.0 million in the prior fiscal year quarter. This is primarily due to a $68.5 million increase in revenue in the Company’s trade business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driven by strong titles such as </w:t>
      </w:r>
      <w:r>
        <w:rPr>
          <w:rFonts w:ascii="Arial" w:cs="Arial" w:eastAsia="Arial" w:hAnsi="Arial"/>
          <w:sz w:val="15"/>
          <w:szCs w:val="15"/>
          <w:i w:val="1"/>
          <w:iCs w:val="1"/>
          <w:color w:val="auto"/>
        </w:rPr>
        <w:t>Wonderstruck</w:t>
      </w:r>
      <w:r>
        <w:rPr>
          <w:rFonts w:ascii="Arial" w:cs="Arial" w:eastAsia="Arial" w:hAnsi="Arial"/>
          <w:sz w:val="15"/>
          <w:szCs w:val="15"/>
          <w:color w:val="auto"/>
        </w:rPr>
        <w:t xml:space="preserve"> and </w:t>
      </w:r>
      <w:r>
        <w:rPr>
          <w:rFonts w:ascii="Arial" w:cs="Arial" w:eastAsia="Arial" w:hAnsi="Arial"/>
          <w:sz w:val="15"/>
          <w:szCs w:val="15"/>
          <w:i w:val="1"/>
          <w:iCs w:val="1"/>
          <w:color w:val="auto"/>
        </w:rPr>
        <w:t>The 39 Clues®: Cahills vs. Vespers</w:t>
      </w:r>
      <w:r>
        <w:rPr>
          <w:rFonts w:ascii="Arial" w:cs="Arial" w:eastAsia="Arial" w:hAnsi="Arial"/>
          <w:sz w:val="15"/>
          <w:szCs w:val="15"/>
          <w:color w:val="auto"/>
        </w:rPr>
        <w:t xml:space="preserve"> and sales of </w:t>
      </w:r>
      <w:r>
        <w:rPr>
          <w:rFonts w:ascii="Arial" w:cs="Arial" w:eastAsia="Arial" w:hAnsi="Arial"/>
          <w:sz w:val="15"/>
          <w:szCs w:val="15"/>
          <w:i w:val="1"/>
          <w:iCs w:val="1"/>
          <w:color w:val="auto"/>
        </w:rPr>
        <w:t>The Hunger Games</w:t>
      </w:r>
      <w:r>
        <w:rPr>
          <w:rFonts w:ascii="Arial" w:cs="Arial" w:eastAsia="Arial" w:hAnsi="Arial"/>
          <w:sz w:val="15"/>
          <w:szCs w:val="15"/>
          <w:color w:val="auto"/>
        </w:rPr>
        <w:t xml:space="preserve"> trilogy, in both print and ebook formats, </w:t>
      </w:r>
      <w:r>
        <w:rPr>
          <w:rFonts w:ascii="Arial" w:cs="Arial" w:eastAsia="Arial" w:hAnsi="Arial"/>
          <w:sz w:val="15"/>
          <w:szCs w:val="15"/>
          <w:i w:val="1"/>
          <w:iCs w:val="1"/>
          <w:color w:val="auto"/>
        </w:rPr>
        <w:t>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Invention of Hugo Cabret</w:t>
      </w:r>
      <w:r>
        <w:rPr>
          <w:rFonts w:ascii="Arial" w:cs="Arial" w:eastAsia="Arial" w:hAnsi="Arial"/>
          <w:sz w:val="16"/>
          <w:szCs w:val="16"/>
          <w:color w:val="auto"/>
        </w:rPr>
        <w:t>,</w:t>
      </w:r>
      <w:r>
        <w:rPr>
          <w:rFonts w:ascii="Arial" w:cs="Arial" w:eastAsia="Arial" w:hAnsi="Arial"/>
          <w:sz w:val="16"/>
          <w:szCs w:val="16"/>
          <w:i w:val="1"/>
          <w:iCs w:val="1"/>
          <w:color w:val="auto"/>
        </w:rPr>
        <w:t xml:space="preserve"> War Horse </w:t>
      </w:r>
      <w:r>
        <w:rPr>
          <w:rFonts w:ascii="Arial" w:cs="Arial" w:eastAsia="Arial" w:hAnsi="Arial"/>
          <w:sz w:val="16"/>
          <w:szCs w:val="16"/>
          <w:color w:val="auto"/>
        </w:rPr>
        <w:t>and overall favorable return rates. Additionally, revenues in the Company’s book fairs business increased by $9.3 million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increased revenue per fair, as well as an increase in the number of fairs held. Revenues for the nine months ended February 29, 2012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$78.7 million, or 12.0%, to $731.9 million, compared to $653.2 million in the prior fiscal year period. The increase is related to higher revenues of $89.3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 the Company’s trade business, due to higher backlist sales, as well as higher revenues of $8.8 million in the Company’s book fairs business, primarily related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the number of fairs held and an increase in revenue per fair. These increases were partially offset by a $19.4 million decrease in revenues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book clubs business, resulting from a decrease in the number of sponsors due to a change in promotional strategy.</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Segment operating income for the quarter ended February 29, 2012 increased by $21.0 million to $11.8 million, compared to a $9.2 million operating loss in the prior fiscal year quarter. Segment operating income for the nine months ended February 29, 2012 increased by $34.1 million to $70.6 million, compared to income of $36.5 million in the prior fiscal year period. The operating income increases in both fiscal periods were principally related to the favorable results in the trade and book fairs businesses, combined with reduced promotional spending in the Company’s book clubs business, as well as the impact of bad debt expense recorded in the prior fiscal year related to the Borders’ bankruptcy filing, partially offset by the Company’s continued investment in its digital initiatives and sales tax accruals arising from assessments in two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Educational Technology and Services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w w:val="95"/>
              </w:rPr>
              <w:t>Nine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Arial" w:cs="Arial" w:eastAsia="Arial" w:hAnsi="Arial"/>
                <w:sz w:val="18"/>
                <w:szCs w:val="18"/>
                <w:b w:val="1"/>
                <w:bCs w:val="1"/>
                <w:color w:val="auto"/>
              </w:rPr>
              <w:t>February 29,</w:t>
            </w:r>
          </w:p>
        </w:tc>
        <w:tc>
          <w:tcPr>
            <w:tcW w:w="12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7"/>
              </w:rPr>
              <w:t>February 28,</w:t>
            </w:r>
          </w:p>
        </w:tc>
        <w:tc>
          <w:tcPr>
            <w:tcW w:w="200" w:type="dxa"/>
            <w:vAlign w:val="bottom"/>
          </w:tcPr>
          <w:p>
            <w:pPr>
              <w:spacing w:after="0"/>
              <w:rPr>
                <w:sz w:val="18"/>
                <w:szCs w:val="18"/>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29,</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8"/>
                <w:szCs w:val="18"/>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r>
      <w:tr>
        <w:trPr>
          <w:trHeight w:val="228"/>
        </w:trPr>
        <w:tc>
          <w:tcPr>
            <w:tcW w:w="21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60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2012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w w:val="82"/>
              </w:rPr>
              <w:t>change</w:t>
            </w: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19"/>
                <w:szCs w:val="19"/>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w w:val="85"/>
              </w:rPr>
              <w:t>change</w:t>
            </w:r>
          </w:p>
        </w:tc>
        <w:tc>
          <w:tcPr>
            <w:tcW w:w="1020" w:type="dxa"/>
            <w:vAlign w:val="bottom"/>
          </w:tcPr>
          <w:p>
            <w:pPr>
              <w:jc w:val="right"/>
              <w:ind w:right="232"/>
              <w:spacing w:after="0"/>
              <w:rPr>
                <w:sz w:val="20"/>
                <w:szCs w:val="20"/>
                <w:color w:val="auto"/>
              </w:rPr>
            </w:pPr>
            <w:r>
              <w:rPr>
                <w:rFonts w:ascii="Arial" w:cs="Arial" w:eastAsia="Arial" w:hAnsi="Arial"/>
                <w:sz w:val="18"/>
                <w:szCs w:val="18"/>
                <w:b w:val="1"/>
                <w:bCs w:val="1"/>
                <w:color w:val="auto"/>
              </w:rPr>
              <w:t>change</w:t>
            </w:r>
          </w:p>
        </w:tc>
      </w:tr>
      <w:tr>
        <w:trPr>
          <w:trHeight w:val="110"/>
        </w:trPr>
        <w:tc>
          <w:tcPr>
            <w:tcW w:w="2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532"/>
        </w:trPr>
        <w:tc>
          <w:tcPr>
            <w:tcW w:w="2100" w:type="dxa"/>
            <w:vAlign w:val="bottom"/>
          </w:tcPr>
          <w:p>
            <w:pPr>
              <w:spacing w:after="0"/>
              <w:rPr>
                <w:sz w:val="20"/>
                <w:szCs w:val="20"/>
                <w:color w:val="auto"/>
              </w:rPr>
            </w:pPr>
            <w:r>
              <w:rPr>
                <w:rFonts w:ascii="Arial" w:cs="Arial" w:eastAsia="Arial" w:hAnsi="Arial"/>
                <w:sz w:val="18"/>
                <w:szCs w:val="18"/>
                <w:color w:val="auto"/>
              </w:rPr>
              <w:t>Revenues</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40.0</w:t>
            </w:r>
          </w:p>
        </w:tc>
        <w:tc>
          <w:tcPr>
            <w:tcW w:w="76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w w:val="85"/>
              </w:rPr>
              <w:t>38.2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202.0</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169.4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32.6</w:t>
            </w: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(1.7</w:t>
            </w:r>
            <w:r>
              <w:rPr>
                <w:rFonts w:ascii="Arial" w:cs="Arial" w:eastAsia="Arial" w:hAnsi="Arial"/>
                <w:sz w:val="18"/>
                <w:szCs w:val="18"/>
                <w:b w:val="1"/>
                <w:bCs w:val="1"/>
                <w:color w:val="auto"/>
              </w:rPr>
              <w:t>)</w:t>
            </w: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18.1</w:t>
            </w:r>
          </w:p>
        </w:tc>
        <w:tc>
          <w:tcPr>
            <w:tcW w:w="102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110"/>
        </w:trPr>
        <w:tc>
          <w:tcPr>
            <w:tcW w:w="2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316"/>
        </w:trPr>
        <w:tc>
          <w:tcPr>
            <w:tcW w:w="21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60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4"/>
                <w:szCs w:val="24"/>
                <w:color w:val="auto"/>
              </w:rPr>
            </w:pPr>
          </w:p>
        </w:tc>
        <w:tc>
          <w:tcPr>
            <w:tcW w:w="4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37" w:lineRule="exact"/>
        <w:rPr>
          <w:sz w:val="20"/>
          <w:szCs w:val="20"/>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420"/>
        <w:spacing w:after="0" w:line="303" w:lineRule="auto"/>
        <w:rPr>
          <w:sz w:val="20"/>
          <w:szCs w:val="20"/>
          <w:color w:val="auto"/>
        </w:rPr>
      </w:pPr>
      <w:r>
        <w:rPr>
          <w:rFonts w:ascii="Arial" w:cs="Arial" w:eastAsia="Arial" w:hAnsi="Arial"/>
          <w:sz w:val="15"/>
          <w:szCs w:val="15"/>
          <w:color w:val="auto"/>
        </w:rPr>
        <w:t xml:space="preserve">Revenues in the </w:t>
      </w:r>
      <w:r>
        <w:rPr>
          <w:rFonts w:ascii="Arial" w:cs="Arial" w:eastAsia="Arial" w:hAnsi="Arial"/>
          <w:sz w:val="15"/>
          <w:szCs w:val="15"/>
          <w:i w:val="1"/>
          <w:iCs w:val="1"/>
          <w:color w:val="auto"/>
        </w:rPr>
        <w:t>Educational Technology and Services</w:t>
      </w:r>
      <w:r>
        <w:rPr>
          <w:rFonts w:ascii="Arial" w:cs="Arial" w:eastAsia="Arial" w:hAnsi="Arial"/>
          <w:sz w:val="15"/>
          <w:szCs w:val="15"/>
          <w:color w:val="auto"/>
        </w:rPr>
        <w:t xml:space="preserve"> segment for the quarter ended February 29, 2012 increased by $1.8 million, or 4.7%, to $40.0 million, compared to $38.2 million in the prior fiscal year quarter, driven by higher sales of educational technology services</w:t>
      </w:r>
      <w:r>
        <w:rPr>
          <w:rFonts w:ascii="Arial" w:cs="Arial" w:eastAsia="Arial" w:hAnsi="Arial"/>
          <w:sz w:val="15"/>
          <w:szCs w:val="15"/>
          <w:i w:val="1"/>
          <w:iCs w:val="1"/>
          <w:color w:val="auto"/>
        </w:rPr>
        <w:t>.</w:t>
      </w:r>
      <w:r>
        <w:rPr>
          <w:rFonts w:ascii="Arial" w:cs="Arial" w:eastAsia="Arial" w:hAnsi="Arial"/>
          <w:sz w:val="15"/>
          <w:szCs w:val="15"/>
          <w:color w:val="auto"/>
        </w:rPr>
        <w:t xml:space="preserve"> Revenues for the nine months ended February 29, 2012 increased by $32.6 million, or 19.2%, to $202.0 million, compared to $169.4 million in the prior fiscal year period, due to strong sales of</w:t>
      </w:r>
    </w:p>
    <w:p>
      <w:pPr>
        <w:spacing w:after="0" w:line="1" w:lineRule="exact"/>
        <w:rPr>
          <w:sz w:val="20"/>
          <w:szCs w:val="20"/>
          <w:color w:val="auto"/>
        </w:rPr>
      </w:pPr>
    </w:p>
    <w:p>
      <w:pPr>
        <w:ind w:right="340"/>
        <w:spacing w:after="0" w:line="209" w:lineRule="auto"/>
        <w:rPr>
          <w:sz w:val="20"/>
          <w:szCs w:val="20"/>
          <w:color w:val="auto"/>
        </w:rPr>
      </w:pPr>
      <w:r>
        <w:rPr>
          <w:rFonts w:ascii="Arial" w:cs="Arial" w:eastAsia="Arial" w:hAnsi="Arial"/>
          <w:sz w:val="18"/>
          <w:szCs w:val="18"/>
          <w:color w:val="auto"/>
        </w:rPr>
        <w:t xml:space="preserve">educational technology, led by </w:t>
      </w:r>
      <w:r>
        <w:rPr>
          <w:rFonts w:ascii="Arial" w:cs="Arial" w:eastAsia="Arial" w:hAnsi="Arial"/>
          <w:sz w:val="18"/>
          <w:szCs w:val="18"/>
          <w:i w:val="1"/>
          <w:iCs w:val="1"/>
          <w:color w:val="auto"/>
        </w:rPr>
        <w:t>READ 180</w:t>
      </w:r>
      <w:r>
        <w:rPr>
          <w:rFonts w:ascii="Arial" w:cs="Arial" w:eastAsia="Arial" w:hAnsi="Arial"/>
          <w:sz w:val="18"/>
          <w:szCs w:val="18"/>
          <w:color w:val="auto"/>
        </w:rPr>
        <w:t xml:space="preserve"> </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Next Generation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System 44,</w:t>
      </w:r>
      <w:r>
        <w:rPr>
          <w:rFonts w:ascii="Arial" w:cs="Arial" w:eastAsia="Arial" w:hAnsi="Arial"/>
          <w:sz w:val="18"/>
          <w:szCs w:val="18"/>
          <w:color w:val="auto"/>
        </w:rPr>
        <w:t xml:space="preserve"> as well as continued strength in early learning products and consulting and other services.</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Segment operating loss for the quarter ended February 29, 2012 increased by $1.7 million to $5.9 million, compared to a loss of $4.2 million in the prior fiscal year quarter, which was primarily the result of higher prepublication cost amortization in the quarter, partially offset by the increase in revenue noted above. Segment operating income for the nine months ended February 29, 2012 increased by $18.1 million to $47.5 million, compared to $29.4 million in the prior fiscal year period, primarily related to the revenue increases noted above.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4"/>
              </w:rPr>
              <w:t>Classroom and Supplemental Materials Publishing</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3"/>
        </w:trPr>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w w:val="85"/>
              </w:rPr>
              <w:t>Three months ended</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w w:val="95"/>
              </w:rPr>
              <w:t>Nine months ended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rPr>
              <w:t>February 29,</w:t>
            </w: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8"/>
                <w:szCs w:val="18"/>
                <w:color w:val="auto"/>
              </w:rPr>
            </w:pPr>
          </w:p>
        </w:tc>
        <w:tc>
          <w:tcPr>
            <w:tcW w:w="88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29,</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8"/>
                <w:szCs w:val="18"/>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r>
      <w:tr>
        <w:trPr>
          <w:trHeight w:val="228"/>
        </w:trPr>
        <w:tc>
          <w:tcPr>
            <w:tcW w:w="21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600" w:type="dxa"/>
            <w:vAlign w:val="bottom"/>
          </w:tcPr>
          <w:p>
            <w:pPr>
              <w:spacing w:after="0"/>
              <w:rPr>
                <w:sz w:val="19"/>
                <w:szCs w:val="19"/>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2012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b w:val="1"/>
                <w:bCs w:val="1"/>
                <w:color w:val="auto"/>
                <w:w w:val="85"/>
              </w:rPr>
              <w:t>change</w:t>
            </w:r>
          </w:p>
        </w:tc>
        <w:tc>
          <w:tcPr>
            <w:tcW w:w="1080" w:type="dxa"/>
            <w:vAlign w:val="bottom"/>
          </w:tcPr>
          <w:p>
            <w:pPr>
              <w:jc w:val="right"/>
              <w:ind w:right="312"/>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19"/>
                <w:szCs w:val="19"/>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w w:val="82"/>
              </w:rPr>
              <w:t>change</w:t>
            </w: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rPr>
              <w:t>change</w:t>
            </w:r>
          </w:p>
        </w:tc>
      </w:tr>
      <w:tr>
        <w:trPr>
          <w:trHeight w:val="110"/>
        </w:trPr>
        <w:tc>
          <w:tcPr>
            <w:tcW w:w="2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316"/>
        </w:trPr>
        <w:tc>
          <w:tcPr>
            <w:tcW w:w="2120" w:type="dxa"/>
            <w:vAlign w:val="bottom"/>
          </w:tcPr>
          <w:p>
            <w:pPr>
              <w:spacing w:after="0"/>
              <w:rPr>
                <w:sz w:val="20"/>
                <w:szCs w:val="20"/>
                <w:color w:val="auto"/>
              </w:rPr>
            </w:pPr>
            <w:r>
              <w:rPr>
                <w:rFonts w:ascii="Arial" w:cs="Arial" w:eastAsia="Arial" w:hAnsi="Arial"/>
                <w:sz w:val="18"/>
                <w:szCs w:val="18"/>
                <w:color w:val="auto"/>
              </w:rPr>
              <w:t>Revenues</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38.2</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92"/>
              <w:spacing w:after="0"/>
              <w:rPr>
                <w:sz w:val="20"/>
                <w:szCs w:val="20"/>
                <w:color w:val="auto"/>
              </w:rPr>
            </w:pPr>
            <w:r>
              <w:rPr>
                <w:rFonts w:ascii="Arial" w:cs="Arial" w:eastAsia="Arial" w:hAnsi="Arial"/>
                <w:sz w:val="18"/>
                <w:szCs w:val="18"/>
                <w:color w:val="auto"/>
                <w:w w:val="79"/>
              </w:rPr>
              <w:t>43.1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142.6</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132.1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24"/>
                <w:szCs w:val="24"/>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(4.9)</w:t>
            </w: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110"/>
        </w:trPr>
        <w:tc>
          <w:tcPr>
            <w:tcW w:w="2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464"/>
        </w:trPr>
        <w:tc>
          <w:tcPr>
            <w:tcW w:w="21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6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w:t>
            </w: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37"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Classroom and Supplemental Materials Publishing</w:t>
      </w:r>
      <w:r>
        <w:rPr>
          <w:rFonts w:ascii="Arial" w:cs="Arial" w:eastAsia="Arial" w:hAnsi="Arial"/>
          <w:sz w:val="16"/>
          <w:szCs w:val="16"/>
          <w:color w:val="auto"/>
        </w:rPr>
        <w:t xml:space="preserve"> segment for the quarter ended February 29, 2012 decreased by $4.9 million, or 11.4%, to $38.2 million, compared to $43.1 million in the prior fiscal year quarter, related to decreased sales of the Company’s literacy initiatives products. Revenues for the nine months ended February 29, 2012 increased by $10.5 million, or 7.9%, to $142.6 million, compared to $132.1 million in the prior fiscal period, primarily due to increased sales of books to literacy organizations, as well as increased revenue in classroom magazines.</w:t>
      </w:r>
    </w:p>
    <w:p>
      <w:pPr>
        <w:spacing w:after="0" w:line="16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Segment operating results for the quarter ended February 29, 2012 decreased by $4.9 million to a loss of $3.4 million, compared to segment operating income of $1.5 million in the prior year fiscal quarter, primarily driven by the decrease in revenue noted above and the loss associated with the termination of a third party agreement. Segment operating income for the nine months ended February 29, 2012 increased by $1.6 million to $9.0 million, compared to $7.4 million in the prior year fiscal period, primarily related to the revenue increases noted above, partially offset by higher commissions and employee related expenses, primarily relating to incentives resulting from the increase in revenue.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3"/>
        </w:trPr>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w w:val="85"/>
              </w:rPr>
              <w:t>Three months ended</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w w:val="95"/>
              </w:rPr>
              <w:t>Nine months ended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b w:val="1"/>
                <w:bCs w:val="1"/>
                <w:color w:val="auto"/>
              </w:rPr>
              <w:t>February 29,</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80" w:type="dxa"/>
            <w:vAlign w:val="bottom"/>
          </w:tcPr>
          <w:p>
            <w:pPr>
              <w:spacing w:after="0"/>
              <w:rPr>
                <w:sz w:val="18"/>
                <w:szCs w:val="18"/>
                <w:color w:val="auto"/>
              </w:rPr>
            </w:pPr>
          </w:p>
        </w:tc>
        <w:tc>
          <w:tcPr>
            <w:tcW w:w="86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29,</w:t>
            </w: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28,</w:t>
            </w:r>
          </w:p>
        </w:tc>
        <w:tc>
          <w:tcPr>
            <w:tcW w:w="140" w:type="dxa"/>
            <w:vAlign w:val="bottom"/>
          </w:tcPr>
          <w:p>
            <w:pPr>
              <w:spacing w:after="0"/>
              <w:rPr>
                <w:sz w:val="18"/>
                <w:szCs w:val="18"/>
                <w:color w:val="auto"/>
              </w:rPr>
            </w:pPr>
          </w:p>
        </w:tc>
        <w:tc>
          <w:tcPr>
            <w:tcW w:w="8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r>
      <w:tr>
        <w:trPr>
          <w:trHeight w:val="228"/>
        </w:trPr>
        <w:tc>
          <w:tcPr>
            <w:tcW w:w="21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60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w w:val="85"/>
              </w:rPr>
              <w:t>change</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19"/>
                <w:szCs w:val="19"/>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9"/>
                <w:szCs w:val="19"/>
                <w:color w:val="auto"/>
              </w:rPr>
            </w:pPr>
          </w:p>
        </w:tc>
        <w:tc>
          <w:tcPr>
            <w:tcW w:w="980" w:type="dxa"/>
            <w:vAlign w:val="bottom"/>
          </w:tcPr>
          <w:p>
            <w:pPr>
              <w:jc w:val="right"/>
              <w:ind w:right="432"/>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w w:val="82"/>
              </w:rPr>
              <w:t>change</w:t>
            </w:r>
          </w:p>
        </w:tc>
        <w:tc>
          <w:tcPr>
            <w:tcW w:w="1040" w:type="dxa"/>
            <w:vAlign w:val="bottom"/>
          </w:tcPr>
          <w:p>
            <w:pPr>
              <w:jc w:val="right"/>
              <w:ind w:right="252"/>
              <w:spacing w:after="0"/>
              <w:rPr>
                <w:sz w:val="20"/>
                <w:szCs w:val="20"/>
                <w:color w:val="auto"/>
              </w:rPr>
            </w:pPr>
            <w:r>
              <w:rPr>
                <w:rFonts w:ascii="Arial" w:cs="Arial" w:eastAsia="Arial" w:hAnsi="Arial"/>
                <w:sz w:val="18"/>
                <w:szCs w:val="18"/>
                <w:b w:val="1"/>
                <w:bCs w:val="1"/>
                <w:color w:val="auto"/>
              </w:rPr>
              <w:t>change</w:t>
            </w:r>
          </w:p>
        </w:tc>
      </w:tr>
      <w:tr>
        <w:trPr>
          <w:trHeight w:val="110"/>
        </w:trPr>
        <w:tc>
          <w:tcPr>
            <w:tcW w:w="2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316"/>
        </w:trPr>
        <w:tc>
          <w:tcPr>
            <w:tcW w:w="2120" w:type="dxa"/>
            <w:vAlign w:val="bottom"/>
          </w:tcPr>
          <w:p>
            <w:pPr>
              <w:spacing w:after="0"/>
              <w:rPr>
                <w:sz w:val="20"/>
                <w:szCs w:val="20"/>
                <w:color w:val="auto"/>
              </w:rPr>
            </w:pPr>
            <w:r>
              <w:rPr>
                <w:rFonts w:ascii="Arial" w:cs="Arial" w:eastAsia="Arial" w:hAnsi="Arial"/>
                <w:sz w:val="18"/>
                <w:szCs w:val="18"/>
                <w:color w:val="auto"/>
              </w:rPr>
              <w:t>Revenues</w:t>
            </w:r>
          </w:p>
        </w:tc>
        <w:tc>
          <w:tcPr>
            <w:tcW w:w="600" w:type="dxa"/>
            <w:vAlign w:val="bottom"/>
          </w:tcPr>
          <w:p>
            <w:pPr>
              <w:ind w:lef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105.6</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w w:val="79"/>
              </w:rPr>
              <w:t>95.1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10.5</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337.4</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322.9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14.5</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5"/>
        </w:trPr>
        <w:tc>
          <w:tcPr>
            <w:tcW w:w="2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1"/>
              </w:rPr>
              <w:t>(1.4)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9.1</w:t>
            </w:r>
          </w:p>
        </w:tc>
        <w:tc>
          <w:tcPr>
            <w:tcW w:w="104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110"/>
        </w:trPr>
        <w:tc>
          <w:tcPr>
            <w:tcW w:w="2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464"/>
        </w:trPr>
        <w:tc>
          <w:tcPr>
            <w:tcW w:w="21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700" w:type="dxa"/>
            <w:vAlign w:val="bottom"/>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37"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February 29, 2012 increased by $10.5 million, or 11.0%, to $105.6 million, compared to $95.1 million in the prior fiscal year quarter. This was primarily due to higher local currency revenues in the Company’s Canada, UK and Australia trade businesses, which benefited from increased sales through local trade channels. Revenues for the nine months ended February 29, 2012 increased by $14.5 million, or 4.5%, to $337.4 million, compared to $322.9 million during the prior fiscal year period, due to the favorable impact of foreign currency exchange rates of $13.1 million, as well as increased local currency revenue in the Company’s Canada and UK trade businesses, partially offset by lower local currency revenues in the Company’s Australia and New Zealand software distribution businesses.</w:t>
      </w:r>
    </w:p>
    <w:p>
      <w:pPr>
        <w:spacing w:after="0" w:line="1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Segment operating results for the quarter ended February 29, 2012 increased by $5.7 million, resulting in operating income of $4.3 million, compared to an operating loss of $1.4 million in the prior fiscal year quarter, due to higher local currency revenues in the Company’s Canada, UK and Australia trade businesses, as well as the restructuring costs incurred in the prior fiscal year quarter of $1.8 million. Segment operating income for the nine months ended February 29, 2012 increased by $9.1 million, or 41.9%, to $30.8 million, compared to $21.7 million in the prior fiscal year period, related to improved results in the Company’s UK and Canada operations, as well as the favorable impact of foreign currency exchange rates and the restructuring costs incurred in the prior fiscal year period of $3.0 million.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5"/>
              </w:rPr>
              <w:t>Media, Licensing and Advertising</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3"/>
        </w:trPr>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w w:val="85"/>
              </w:rPr>
              <w:t>Three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Nine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29,</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28,</w:t>
            </w:r>
          </w:p>
        </w:tc>
        <w:tc>
          <w:tcPr>
            <w:tcW w:w="200" w:type="dxa"/>
            <w:vAlign w:val="bottom"/>
          </w:tcPr>
          <w:p>
            <w:pPr>
              <w:spacing w:after="0"/>
              <w:rPr>
                <w:sz w:val="18"/>
                <w:szCs w:val="18"/>
                <w:color w:val="auto"/>
              </w:rPr>
            </w:pPr>
          </w:p>
        </w:tc>
        <w:tc>
          <w:tcPr>
            <w:tcW w:w="84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29,</w:t>
            </w: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28,</w:t>
            </w:r>
          </w:p>
        </w:tc>
        <w:tc>
          <w:tcPr>
            <w:tcW w:w="200" w:type="dxa"/>
            <w:vAlign w:val="bottom"/>
          </w:tcPr>
          <w:p>
            <w:pPr>
              <w:spacing w:after="0"/>
              <w:rPr>
                <w:sz w:val="18"/>
                <w:szCs w:val="18"/>
                <w:color w:val="auto"/>
              </w:rPr>
            </w:pPr>
          </w:p>
        </w:tc>
        <w:tc>
          <w:tcPr>
            <w:tcW w:w="88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r>
      <w:tr>
        <w:trPr>
          <w:trHeight w:val="228"/>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 amounts in millions)</w:t>
            </w:r>
          </w:p>
        </w:tc>
        <w:tc>
          <w:tcPr>
            <w:tcW w:w="22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Arial" w:cs="Arial" w:eastAsia="Arial" w:hAnsi="Arial"/>
                <w:sz w:val="18"/>
                <w:szCs w:val="18"/>
                <w:b w:val="1"/>
                <w:bCs w:val="1"/>
                <w:color w:val="auto"/>
              </w:rPr>
              <w:t>2012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82"/>
              </w:rPr>
              <w:t>change</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2012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w w:val="82"/>
              </w:rPr>
              <w:t>change</w:t>
            </w:r>
          </w:p>
        </w:tc>
        <w:tc>
          <w:tcPr>
            <w:tcW w:w="1060" w:type="dxa"/>
            <w:vAlign w:val="bottom"/>
          </w:tcPr>
          <w:p>
            <w:pPr>
              <w:jc w:val="right"/>
              <w:ind w:right="292"/>
              <w:spacing w:after="0"/>
              <w:rPr>
                <w:sz w:val="20"/>
                <w:szCs w:val="20"/>
                <w:color w:val="auto"/>
              </w:rPr>
            </w:pPr>
            <w:r>
              <w:rPr>
                <w:rFonts w:ascii="Arial" w:cs="Arial" w:eastAsia="Arial" w:hAnsi="Arial"/>
                <w:sz w:val="18"/>
                <w:szCs w:val="18"/>
                <w:b w:val="1"/>
                <w:bCs w:val="1"/>
                <w:color w:val="auto"/>
              </w:rPr>
              <w:t>change</w:t>
            </w:r>
          </w:p>
        </w:tc>
      </w:tr>
      <w:tr>
        <w:trPr>
          <w:trHeight w:val="110"/>
        </w:trPr>
        <w:tc>
          <w:tcPr>
            <w:tcW w:w="8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16"/>
        </w:trPr>
        <w:tc>
          <w:tcPr>
            <w:tcW w:w="800" w:type="dxa"/>
            <w:vAlign w:val="bottom"/>
          </w:tcPr>
          <w:p>
            <w:pPr>
              <w:spacing w:after="0"/>
              <w:rPr>
                <w:sz w:val="20"/>
                <w:szCs w:val="20"/>
                <w:color w:val="auto"/>
              </w:rPr>
            </w:pPr>
            <w:r>
              <w:rPr>
                <w:rFonts w:ascii="Arial" w:cs="Arial" w:eastAsia="Arial" w:hAnsi="Arial"/>
                <w:sz w:val="18"/>
                <w:szCs w:val="18"/>
                <w:color w:val="auto"/>
                <w:w w:val="96"/>
              </w:rPr>
              <w:t>Revenues</w:t>
            </w:r>
          </w:p>
        </w:tc>
        <w:tc>
          <w:tcPr>
            <w:tcW w:w="16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17.2</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w w:val="79"/>
              </w:rPr>
              <w:t>14.9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56.4</w:t>
            </w:r>
          </w:p>
        </w:tc>
        <w:tc>
          <w:tcPr>
            <w:tcW w:w="74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w w:val="79"/>
              </w:rPr>
              <w:t>65.0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65"/>
        </w:trPr>
        <w:tc>
          <w:tcPr>
            <w:tcW w:w="24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7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1"/>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1"/>
              </w:rPr>
              <w:t>(0.6)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b w:val="1"/>
                <w:bCs w:val="1"/>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110"/>
        </w:trPr>
        <w:tc>
          <w:tcPr>
            <w:tcW w:w="248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6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Operating margin</w:t>
            </w:r>
          </w:p>
        </w:tc>
        <w:tc>
          <w:tcPr>
            <w:tcW w:w="22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Arial" w:cs="Arial" w:eastAsia="Arial" w:hAnsi="Arial"/>
                <w:sz w:val="18"/>
                <w:szCs w:val="18"/>
                <w:color w:val="auto"/>
              </w:rPr>
              <w:t>Not meaningful</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10"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February 29, 2012 increased by $2.3 million, or 15.4%, to $17.2 million, compared to $14.9 million in the prior fiscal year quarter, primarily due to increased sales of interactive products, as well as increased revenue from the Company’s production business. Revenues for the nine months ended February 29, 2012 decreased by $8.6 million, or 13.2%, to $56.4 million, compared to $65.0 million in the prior year fiscal period, primarily driven by the planned reduction in custom marketing programs.</w:t>
      </w:r>
    </w:p>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Segment operating loss for the quarter ended February 29, 2012 decreased by $2.8 million to an operating loss of $0.8 million, compared to an operating loss of $3.6 million in the prior fiscal year quarter, due to the benefit of the increased revenues noted above. Segment operating loss for the nine months ended February 29, 2012 was $3.2 million, compared to a segment operating loss of $0.6 million in the prior fiscal year period, driven primarily by the planned reduction in custom marketing programs noted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Overhead</w:t>
      </w:r>
    </w:p>
    <w:p>
      <w:pPr>
        <w:spacing w:after="0" w:line="23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Corporate overhead for the quarter ended February 29, 2012 increased by $4.8 million to $17.9 million, compared to $13.1 million in the prior fiscal year quarter. For the nine months ended February 29, 2012, Corporate overhead increased by $18.2 million to $59.8 million, compared to $41.6 million in the prior fiscal year period. These increases primarily reflect higher incentive accruals related to improved quarter and year-to-date results, as well as increased severance expense and loss on subleases.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In the current fiscal quarter, 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were higher than normal due to improved sales in the trade channels. Typically, school-based book club and book fair revenues are greatest in the second and fourth quarters of the fiscal year, while revenues from the sale of instructional materials and educational technology products and services are highest in the first and fourth quarters. The Company typically experiences losses from operations in the first and third quarters of each fiscal year.</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Company’s cash and cash equivalents totaled $111.8 million at February 29, 2012, compared to $105.3 million at May 31, 2011 and $90.7 million at February 28, 2011.</w:t>
      </w:r>
    </w:p>
    <w:p>
      <w:pPr>
        <w:spacing w:after="0" w:line="18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Cash provided by operating activities declined by $22.1 million to $132.8 million for the nine months ended February 29, 2012, compared to $154.9 million in the prior fiscal year period. Primary drivers of the decline include higher spending on inventories compared to last year, partially offset by the higher sales and</w:t>
      </w:r>
    </w:p>
    <w:p>
      <w:pPr>
        <w:spacing w:after="0" w:line="250" w:lineRule="auto"/>
        <w:rPr>
          <w:sz w:val="20"/>
          <w:szCs w:val="20"/>
          <w:color w:val="auto"/>
        </w:rPr>
      </w:pPr>
      <w:r>
        <w:rPr>
          <w:rFonts w:ascii="Arial" w:cs="Arial" w:eastAsia="Arial" w:hAnsi="Arial"/>
          <w:sz w:val="17"/>
          <w:szCs w:val="17"/>
          <w:color w:val="auto"/>
        </w:rPr>
        <w:t xml:space="preserve">earnings of </w:t>
      </w:r>
      <w:r>
        <w:rPr>
          <w:rFonts w:ascii="Arial" w:cs="Arial" w:eastAsia="Arial" w:hAnsi="Arial"/>
          <w:sz w:val="17"/>
          <w:szCs w:val="17"/>
          <w:i w:val="1"/>
          <w:iCs w:val="1"/>
          <w:color w:val="auto"/>
        </w:rPr>
        <w:t>READ 180</w:t>
      </w:r>
      <w:r>
        <w:rPr>
          <w:rFonts w:ascii="Arial" w:cs="Arial" w:eastAsia="Arial" w:hAnsi="Arial"/>
          <w:sz w:val="17"/>
          <w:szCs w:val="17"/>
          <w:color w:val="auto"/>
        </w:rPr>
        <w:t xml:space="preserve"> </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Next Generation</w:t>
      </w:r>
      <w:r>
        <w:rPr>
          <w:rFonts w:ascii="Arial" w:cs="Arial" w:eastAsia="Arial" w:hAnsi="Arial"/>
          <w:sz w:val="17"/>
          <w:szCs w:val="17"/>
          <w:color w:val="auto"/>
        </w:rPr>
        <w:t xml:space="preserve"> in the </w:t>
      </w:r>
      <w:r>
        <w:rPr>
          <w:rFonts w:ascii="Arial" w:cs="Arial" w:eastAsia="Arial" w:hAnsi="Arial"/>
          <w:sz w:val="17"/>
          <w:szCs w:val="17"/>
          <w:i w:val="1"/>
          <w:iCs w:val="1"/>
          <w:color w:val="auto"/>
        </w:rPr>
        <w:t>Educational Technology and Services</w:t>
      </w:r>
      <w:r>
        <w:rPr>
          <w:rFonts w:ascii="Arial" w:cs="Arial" w:eastAsia="Arial" w:hAnsi="Arial"/>
          <w:sz w:val="17"/>
          <w:szCs w:val="17"/>
          <w:color w:val="auto"/>
        </w:rPr>
        <w:t xml:space="preserve"> segment. The higher revenues from the </w:t>
      </w:r>
      <w:r>
        <w:rPr>
          <w:rFonts w:ascii="Arial" w:cs="Arial" w:eastAsia="Arial" w:hAnsi="Arial"/>
          <w:sz w:val="17"/>
          <w:szCs w:val="17"/>
          <w:i w:val="1"/>
          <w:iCs w:val="1"/>
          <w:color w:val="auto"/>
        </w:rPr>
        <w:t>Children’s Book Publishing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Distribution </w:t>
      </w:r>
      <w:r>
        <w:rPr>
          <w:rFonts w:ascii="Arial" w:cs="Arial" w:eastAsia="Arial" w:hAnsi="Arial"/>
          <w:sz w:val="17"/>
          <w:szCs w:val="17"/>
          <w:color w:val="auto"/>
        </w:rPr>
        <w:t>segment generated from sales through the trade channels have also positively impacted cash from operations. However, much of the cash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trade channel revenues will be realized upon collection of receivables in the fourth quarter. The Company is closely managing its credit policy with regard to its retail customers. During the current fiscal quarter, the Company ceased using a third party which coordinated distribution and collected cash on behalf of the Company within its trade channel for future transactions. The Company expects a temporary slowing of receivable collections as it brings this function in-house. The Company made net income tax payments of $36.4 million in the current fiscal year, compared to $30.9 million in the prior fiscal year, due primarily to higher earnings in the current fiscal period.</w:t>
      </w:r>
    </w:p>
    <w:p>
      <w:pPr>
        <w:spacing w:after="0" w:line="20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Cash used in investing activities decreased by $24.1 million to $78.0 million for the nine months ended February 29, 2012, compared to $102.1 million in the prior fiscal year period. In the prior fiscal year, the Company spent $24.3 million on a land purchase and $9.2 million for business acquisitions, while in the current year the Company spent $5.3 million for business acquisitions. In the fourth fiscal quarter, the Company expects to make additional payments of approximately $4.0 million related to the servicing of liabilities assumed for an acquisition made in the current fiscal period. Capital spending for Property, Plant and Equipment and Prepublication Costs increased modestly as the Company continues to invest in its ongoing digital initiatives.</w:t>
      </w:r>
    </w:p>
    <w:p>
      <w:pPr>
        <w:spacing w:after="0" w:line="17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Cash used in financing activities was $47.6 million for the nine months ended February 29, 2012, driven by lower overall borrowings of $36.4 million. The Company also used $5.6 million of cash to reacquire its common stock and $9.3 million to pay dividends. During the nine months ended February 28, 2011, Cash used in financing activities was $209.5 million, with the Company using $166.9 million of cash to reacquire its common stock, through open market purchases and a modified Dutch auction tender offer, and paying dividends of $7.7 million. The Company declared a $0.125 per share dividend in the third quarter, payable in the fourth quarter of the current year, representing a $0.025 increase from the prior quarter’s dividend.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has maintained sufficient liquidity to fund ongoing operations, dividends, authorized common share repurchases, debt service, planned capital expenditures and other investments. As of February 29, 2012, the Company’s primary sources of liquidity consisted of cash and cash equivalents of $111.8 million, cash from operations, and borrowings available under the Revolving Loan (as described under “Financing” below) totaling $325.0 million. Of the Company’s outstanding debt, 92% is not due until after February 28, 2013. The Company may at any time, but in any event not more than once in any calendar year, request that the aggregate availability of credit under the Revolving Loan be increased by an amount of $10.0 million or an integral multiple of $10.0 million (but not to exceed $150.0 million). The Company’s credit rating from Standard &amp; Poor’s Rating Services is “BB-” and its credit rating from Moody’s Investors Service is “Ba1,” which was upgraded from “Ba2” in the current fiscal quarter. Both Moody’s Investors Service and Standard and Poor’s Rating Services have rated the outlook for the Company as “Stable.” The Company believes that existing committed credit lines and the ability to obtain similar financing credit upon expiration of current commitments, cash from operations and other sources of cash are sufficient to meet the Company’s ongoing operating needs. The Company is currently compliant with its debt covenants and expects to remain compliant for the foreseeable future. The Company’s interest rates for the Loan Agreement are dependent upon the Company’s consolidated debt to total capital ratio, and, accordingly, a change in the Company’s credit rating does not result in an increase in interest costs under the Company’s Loan Agreement.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February 29, 2012, the Company’s domestic credit lines available under unsecured money market bid rate credit lines totaled $20.0 million. There were no outstanding borrowings under these credit lines at February 29, 2012, May 31, 2011 and February 28, 2011.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February 29, 2012, the Company had various local currency credit lines, with maximum available borrowings in amounts equivalent to $33.9 million, underwritten by banks primarily in the United States, Canada, Australia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$12.6 million at February 29, 2012 at a weighted average interest rate of 4.7%; $0.7 million at May 31, 2011 at a weighted average interest rate of 6.7%; and $6.7 million at February 28, 2011 at a weighted average interest rate of 4.0%. The increased weighted average interest rate at the end of fiscal 2011 was due to higher local borrowing interest rates in Asia.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was amended on August 16, 2010, and again on October 25, 2011. The October 25, 2011 amendment effectively extended the maturity of the Revolving Loan facility to June 1, 2014 from June 1, 2012 and provided for the repayment of the outstanding balance of the Term Loan on October 25, 2011.</w:t>
      </w:r>
    </w:p>
    <w:p>
      <w:pPr>
        <w:spacing w:after="0" w:line="197"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Loan Agreement, as amended, is a contractually committed unsecured credit facility that is scheduled to expire on June 1, 2014. The $325.0 million Revolving Loan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w:t>
      </w:r>
    </w:p>
    <w:p>
      <w:pPr>
        <w:spacing w:after="0" w:line="16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1160" w:right="100" w:hanging="609"/>
        <w:spacing w:after="0" w:line="259"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26" w:lineRule="exact"/>
        <w:rPr>
          <w:rFonts w:ascii="Arial" w:cs="Arial" w:eastAsia="Arial" w:hAnsi="Arial"/>
          <w:sz w:val="18"/>
          <w:szCs w:val="18"/>
          <w:color w:val="auto"/>
        </w:rPr>
      </w:pPr>
    </w:p>
    <w:p>
      <w:pPr>
        <w:ind w:left="2580" w:hanging="107"/>
        <w:spacing w:after="0"/>
        <w:tabs>
          <w:tab w:leader="none" w:pos="2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1160" w:right="20" w:hanging="609"/>
        <w:spacing w:after="0" w:line="268"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 of February 29, 2012, the indicated spread on Base Rate Advances was 0.25% and the indicated spread on Eurodollar Rate Advances was 1.25%, both based on the Company’s prevailing consolidated debt to total capital ratio. There were no Revolving Loan Advances outstanding on February 29, 2012.</w:t>
      </w:r>
    </w:p>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to total capital ratio. At February 29, 2012, the facility fee rate was 0.25%.</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February 29, 2012, standby letters of credit outstanding under the Loan Agreement totaled $1.4 million. The Loan Agreement contains certain covenants, including interest coverage and leverage ratio tests and certain limitations on the amount of dividends and other distributions, and at February 29, 2012, the Company was in compliance with these covenants.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20" w:firstLine="8"/>
        <w:spacing w:after="0" w:line="261"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did not make any additional repurchases of the 5% Notes during the nine-month period ended February 29, 2012.</w:t>
      </w:r>
    </w:p>
    <w:p>
      <w:pPr>
        <w:spacing w:after="0" w:line="19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Company’s total debt obligations were $165.3 million at February 29, 2012, $203.4 million at May 31, 2011 and $220.1 million at February 28, 2011. The lower level of debt at February 29, 2012 was primarily due to the payment of the Term Loan and reduced borrowings resulting from lower debt requirements.</w:t>
      </w:r>
    </w:p>
    <w:p>
      <w:pPr>
        <w:spacing w:after="0" w:line="1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5 of Notes to condensed consolidated financial statements – unaudited in Item 1,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Note 1 of Notes to condensed consolidated financial statements in Item 1, “Financial Statements,” for information concerning recent accounting pronouncements since the filing of the Company’s Annual Report.</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760" w:right="8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plans, expectations, conditions in the children’s book and educational material markets and acceptance of the Company’s products in those markets, earnings per share, levels of government spending for educational programs, e-commerce and digital initiatives strategies, goals, revenues, sublease income, improved efficiencies, general costs, manufacturing costs, medical costs, merit pay, operating margins, working capital, liquidity, capital needs, expected investing activity, tax estimates, interest costs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As of February 29, 2012, these transactions were not significant. The Company does not enter into derivative transactions or use other financial instruments for trading or speculative purposes.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8% of the Company’s debt at February 29, 2012 bore interest at a variable rate and was sensitive to changes in interest rates, compared to approximately 25% at May 31, 2011 and 31% at February 28, 2011. The decrease in variable-rate debt as of February 29, 2012 compared to May 31, 2011 and February 28, 2011 was primarily due to repayments made on the Term Loan.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February 29, 2012 (see Note 5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amounts in millions</w:t>
            </w:r>
            <w:r>
              <w:rPr>
                <w:rFonts w:ascii="Arial" w:cs="Arial" w:eastAsia="Arial" w:hAnsi="Arial"/>
                <w:sz w:val="18"/>
                <w:szCs w:val="18"/>
                <w:b w:val="1"/>
                <w:bCs w:val="1"/>
                <w:color w:val="auto"/>
              </w:rPr>
              <w:t xml:space="preserve"> )</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Fiscal Year Maturity</w:t>
            </w: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10"/>
        </w:trPr>
        <w:tc>
          <w:tcPr>
            <w:tcW w:w="28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466"/>
        </w:trPr>
        <w:tc>
          <w:tcPr>
            <w:tcW w:w="2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b w:val="1"/>
                <w:bCs w:val="1"/>
                <w:color w:val="auto"/>
                <w:w w:val="84"/>
              </w:rPr>
              <w:t xml:space="preserve">2012 </w:t>
            </w:r>
            <w:r>
              <w:rPr>
                <w:rFonts w:ascii="Arial" w:cs="Arial" w:eastAsia="Arial" w:hAnsi="Arial"/>
                <w:sz w:val="29"/>
                <w:szCs w:val="29"/>
                <w:b w:val="1"/>
                <w:bCs w:val="1"/>
                <w:color w:val="auto"/>
                <w:w w:val="84"/>
                <w:vertAlign w:val="superscript"/>
              </w:rPr>
              <w:t>(1)</w:t>
            </w: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392"/>
              <w:spacing w:after="0"/>
              <w:rPr>
                <w:sz w:val="20"/>
                <w:szCs w:val="20"/>
                <w:color w:val="auto"/>
              </w:rPr>
            </w:pPr>
            <w:r>
              <w:rPr>
                <w:rFonts w:ascii="Arial" w:cs="Arial" w:eastAsia="Arial" w:hAnsi="Arial"/>
                <w:sz w:val="18"/>
                <w:szCs w:val="18"/>
                <w:b w:val="1"/>
                <w:bCs w:val="1"/>
                <w:color w:val="auto"/>
                <w:w w:val="99"/>
              </w:rPr>
              <w:t>2013</w:t>
            </w: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ind w:right="192"/>
              <w:spacing w:after="0"/>
              <w:rPr>
                <w:sz w:val="20"/>
                <w:szCs w:val="20"/>
                <w:color w:val="auto"/>
              </w:rPr>
            </w:pPr>
            <w:r>
              <w:rPr>
                <w:rFonts w:ascii="Arial" w:cs="Arial" w:eastAsia="Arial" w:hAnsi="Arial"/>
                <w:sz w:val="18"/>
                <w:szCs w:val="18"/>
                <w:b w:val="1"/>
                <w:bCs w:val="1"/>
                <w:color w:val="auto"/>
                <w:w w:val="99"/>
              </w:rPr>
              <w:t>2014</w:t>
            </w:r>
          </w:p>
        </w:tc>
        <w:tc>
          <w:tcPr>
            <w:tcW w:w="4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312"/>
              <w:spacing w:after="0"/>
              <w:rPr>
                <w:sz w:val="20"/>
                <w:szCs w:val="20"/>
                <w:color w:val="auto"/>
              </w:rPr>
            </w:pPr>
            <w:r>
              <w:rPr>
                <w:rFonts w:ascii="Arial" w:cs="Arial" w:eastAsia="Arial" w:hAnsi="Arial"/>
                <w:sz w:val="18"/>
                <w:szCs w:val="18"/>
                <w:b w:val="1"/>
                <w:bCs w:val="1"/>
                <w:color w:val="auto"/>
                <w:w w:val="99"/>
              </w:rPr>
              <w:t>2016</w:t>
            </w:r>
          </w:p>
        </w:tc>
        <w:tc>
          <w:tcPr>
            <w:tcW w:w="1320" w:type="dxa"/>
            <w:vAlign w:val="bottom"/>
            <w:tcBorders>
              <w:bottom w:val="single" w:sz="8" w:color="808080"/>
            </w:tcBorders>
            <w:gridSpan w:val="2"/>
          </w:tcPr>
          <w:p>
            <w:pPr>
              <w:ind w:left="260"/>
              <w:spacing w:after="0"/>
              <w:rPr>
                <w:sz w:val="20"/>
                <w:szCs w:val="20"/>
                <w:color w:val="auto"/>
              </w:rPr>
            </w:pPr>
            <w:r>
              <w:rPr>
                <w:rFonts w:ascii="Arial" w:cs="Arial" w:eastAsia="Arial" w:hAnsi="Arial"/>
                <w:sz w:val="18"/>
                <w:szCs w:val="18"/>
                <w:b w:val="1"/>
                <w:bCs w:val="1"/>
                <w:color w:val="auto"/>
              </w:rPr>
              <w:t>Thereafter</w:t>
            </w: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rPr>
              <w:t>Total</w:t>
            </w:r>
          </w:p>
        </w:tc>
      </w:tr>
      <w:tr>
        <w:trPr>
          <w:trHeight w:val="458"/>
        </w:trPr>
        <w:tc>
          <w:tcPr>
            <w:tcW w:w="282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Lines of Credit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12.6</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Average interest rate</w:t>
            </w:r>
          </w:p>
        </w:tc>
        <w:tc>
          <w:tcPr>
            <w:tcW w:w="5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58"/>
        </w:trPr>
        <w:tc>
          <w:tcPr>
            <w:tcW w:w="2820" w:type="dxa"/>
            <w:vAlign w:val="bottom"/>
          </w:tcPr>
          <w:p>
            <w:pPr>
              <w:spacing w:after="0"/>
              <w:rPr>
                <w:sz w:val="20"/>
                <w:szCs w:val="20"/>
                <w:color w:val="auto"/>
              </w:rPr>
            </w:pPr>
            <w:r>
              <w:rPr>
                <w:rFonts w:ascii="Arial" w:cs="Arial" w:eastAsia="Arial" w:hAnsi="Arial"/>
                <w:sz w:val="18"/>
                <w:szCs w:val="18"/>
                <w:color w:val="auto"/>
              </w:rPr>
              <w:t>Long-term debt including current</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820" w:type="dxa"/>
            <w:vAlign w:val="bottom"/>
          </w:tcPr>
          <w:p>
            <w:pPr>
              <w:ind w:left="160"/>
              <w:spacing w:after="0"/>
              <w:rPr>
                <w:sz w:val="20"/>
                <w:szCs w:val="20"/>
                <w:color w:val="auto"/>
              </w:rPr>
            </w:pPr>
            <w:r>
              <w:rPr>
                <w:rFonts w:ascii="Arial" w:cs="Arial" w:eastAsia="Arial" w:hAnsi="Arial"/>
                <w:sz w:val="18"/>
                <w:szCs w:val="18"/>
                <w:color w:val="auto"/>
              </w:rPr>
              <w:t>Fixed-rate debt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153.0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153.0</w:t>
            </w:r>
          </w:p>
        </w:tc>
      </w:tr>
      <w:tr>
        <w:trPr>
          <w:trHeight w:val="222"/>
        </w:trPr>
        <w:tc>
          <w:tcPr>
            <w:tcW w:w="282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10"/>
        </w:trPr>
        <w:tc>
          <w:tcPr>
            <w:tcW w:w="28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5620" w:right="4180" w:hanging="5612"/>
        <w:spacing w:after="0" w:line="800" w:lineRule="auto"/>
        <w:tabs>
          <w:tab w:leader="none" w:pos="4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2012 includes the remaining three months of the current fiscal year, ending May 31, 2012.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February 29, 2012,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third fiscal quarter ended February 29, 2012, the Company changed certain internal controls over financial reporting in the trade channel within its Children’s Book Publishing and Distribution business. Formerly, the Company utilized a third party to process customer orders, coordinate distribution and collect and remit cash to the Company. During the third fiscal quarter, the Company ceased utilizing the third party for future sales transactions, and now executes these controls internally.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The Corporation made no repurchases of shares of Common Stock during the three months ended February 29, 2012.</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Exhibits:</w:t>
            </w:r>
          </w:p>
        </w:tc>
        <w:tc>
          <w:tcPr>
            <w:tcW w:w="9780" w:type="dxa"/>
            <w:vAlign w:val="bottom"/>
          </w:tcPr>
          <w:p>
            <w:pPr>
              <w:spacing w:after="0"/>
              <w:rPr>
                <w:sz w:val="19"/>
                <w:szCs w:val="19"/>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9780" w:type="dxa"/>
            <w:vAlign w:val="bottom"/>
          </w:tcPr>
          <w:p>
            <w:pPr>
              <w:ind w:left="260"/>
              <w:spacing w:after="0"/>
              <w:rPr>
                <w:sz w:val="20"/>
                <w:szCs w:val="20"/>
                <w:color w:val="auto"/>
              </w:rPr>
            </w:pPr>
            <w:r>
              <w:rPr>
                <w:rFonts w:ascii="Arial" w:cs="Arial" w:eastAsia="Arial" w:hAnsi="Arial"/>
                <w:sz w:val="18"/>
                <w:szCs w:val="18"/>
                <w:color w:val="auto"/>
              </w:rPr>
              <w:t>Form of Restricted Stock Unit Agreement under the Scholastic Corporation 2011 Stock Incentive Plan.</w:t>
            </w: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Pr>
          <w:p>
            <w:pPr>
              <w:ind w:left="26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tcPr>
          <w:p>
            <w:pPr>
              <w:ind w:left="26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160" w:hanging="1152"/>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240"/>
              <w:spacing w:after="0"/>
              <w:rPr>
                <w:sz w:val="20"/>
                <w:szCs w:val="20"/>
                <w:color w:val="auto"/>
              </w:rPr>
            </w:pPr>
            <w:r>
              <w:rPr>
                <w:rFonts w:ascii="Arial" w:cs="Arial" w:eastAsia="Arial" w:hAnsi="Arial"/>
                <w:sz w:val="18"/>
                <w:szCs w:val="18"/>
                <w:color w:val="auto"/>
                <w:w w:val="96"/>
              </w:rPr>
              <w:t>XBRL Taxonomy Extension Schema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240"/>
              <w:spacing w:after="0"/>
              <w:rPr>
                <w:sz w:val="20"/>
                <w:szCs w:val="20"/>
                <w:color w:val="auto"/>
              </w:rPr>
            </w:pPr>
            <w:r>
              <w:rPr>
                <w:rFonts w:ascii="Arial" w:cs="Arial" w:eastAsia="Arial" w:hAnsi="Arial"/>
                <w:sz w:val="18"/>
                <w:szCs w:val="18"/>
                <w:color w:val="auto"/>
                <w:w w:val="92"/>
              </w:rPr>
              <w:t>XBRL Taxonomy Extension Definitions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240"/>
              <w:spacing w:after="0"/>
              <w:rPr>
                <w:sz w:val="20"/>
                <w:szCs w:val="20"/>
                <w:color w:val="auto"/>
              </w:rPr>
            </w:pPr>
            <w:r>
              <w:rPr>
                <w:rFonts w:ascii="Arial" w:cs="Arial" w:eastAsia="Arial" w:hAnsi="Arial"/>
                <w:sz w:val="18"/>
                <w:szCs w:val="18"/>
                <w:color w:val="auto"/>
              </w:rPr>
              <w:t>XBRL Taxonomy Extension Labels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240"/>
              <w:spacing w:after="0"/>
              <w:rPr>
                <w:sz w:val="20"/>
                <w:szCs w:val="20"/>
                <w:color w:val="auto"/>
              </w:rPr>
            </w:pPr>
            <w:r>
              <w:rPr>
                <w:rFonts w:ascii="Arial" w:cs="Arial" w:eastAsia="Arial" w:hAnsi="Arial"/>
                <w:sz w:val="18"/>
                <w:szCs w:val="18"/>
                <w:color w:val="auto"/>
                <w:w w:val="88"/>
              </w:rPr>
              <w:t>XBRL Taxonomy Extension Presentation Document</w:t>
            </w:r>
          </w:p>
        </w:tc>
      </w:tr>
    </w:tbl>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760" w:right="6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March 23,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March 23,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760" w:right="6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FEBRUARY 29,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20"/>
                <w:szCs w:val="20"/>
                <w:color w:val="auto"/>
              </w:rPr>
            </w:pPr>
            <w:r>
              <w:rPr>
                <w:rFonts w:ascii="Arial" w:cs="Arial" w:eastAsia="Arial" w:hAnsi="Arial"/>
                <w:sz w:val="18"/>
                <w:szCs w:val="18"/>
                <w:b w:val="1"/>
                <w:bCs w:val="1"/>
                <w:color w:val="auto"/>
                <w:w w:val="93"/>
              </w:rPr>
              <w:t>Exhibit Number</w:t>
            </w:r>
          </w:p>
        </w:tc>
        <w:tc>
          <w:tcPr>
            <w:tcW w:w="9980" w:type="dxa"/>
            <w:vAlign w:val="bottom"/>
            <w:gridSpan w:val="3"/>
          </w:tcPr>
          <w:p>
            <w:pPr>
              <w:ind w:left="420"/>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2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7660" w:type="dxa"/>
            <w:vAlign w:val="bottom"/>
          </w:tcPr>
          <w:p>
            <w:pPr>
              <w:spacing w:after="0"/>
              <w:rPr>
                <w:sz w:val="9"/>
                <w:szCs w:val="9"/>
                <w:color w:val="auto"/>
              </w:rPr>
            </w:pPr>
          </w:p>
        </w:tc>
      </w:tr>
      <w:tr>
        <w:trPr>
          <w:trHeight w:val="464"/>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Form of Restricted Stock Unit Agreement under the Scholastic Corporation 2011 Stock Incentive Plan.*</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the Chief Executive Officer of Scholastic Corporation filed pursuant to Section 302 of the Sarbanes-Oxley Act of 2002.</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Certifications of the Chief Executive Officer and Chief Financial Officer of Scholastic Corporation furnished pursuant to Section 906 of</w:t>
            </w:r>
          </w:p>
        </w:tc>
      </w:tr>
      <w:tr>
        <w:trPr>
          <w:trHeight w:val="222"/>
        </w:trPr>
        <w:tc>
          <w:tcPr>
            <w:tcW w:w="126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the Sarbanes-Oxley Act of 2002.</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Instance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Calculation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Definitions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The referenced exhibit is a management contract or compensation plan or arrangement described in Item 601(b)(10)(iii) of Regulation S-K.</w:t>
      </w:r>
    </w:p>
    <w:p>
      <w:pPr>
        <w:spacing w:after="0" w:line="225" w:lineRule="exact"/>
        <w:rPr>
          <w:sz w:val="20"/>
          <w:szCs w:val="20"/>
          <w:color w:val="auto"/>
        </w:rPr>
      </w:pPr>
    </w:p>
    <w:p>
      <w:pPr>
        <w:ind w:right="100" w:firstLine="8"/>
        <w:spacing w:after="0" w:line="26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760" w:right="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SCHOLASTIC CORPORATION 2011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Effective as of ______________ (the “Grant Date”), SCHOLASTIC CORPORATION, a Delaware corporation (the “Company”), hereby grants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 (the “Participant”) ____ (____) Restricted Stock Units in respect of shares of common stock, par value $.01 per share, of the Company</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“Common Stock”) on the terms set forth herein, and in all respects subject to the terms and provisions of the Scholastic Corporation 2011 Stock Incentive Plan (the “Plan”), which terms and provisions are incorporated by reference herein. Unless the context herein otherwise requires, the terms defined in the Plan shall have the same meanings in this Agreement.</w:t>
      </w:r>
    </w:p>
    <w:p>
      <w:pPr>
        <w:spacing w:after="0" w:line="192" w:lineRule="exact"/>
        <w:rPr>
          <w:sz w:val="20"/>
          <w:szCs w:val="20"/>
          <w:color w:val="auto"/>
        </w:rPr>
      </w:pPr>
    </w:p>
    <w:p>
      <w:pPr>
        <w:ind w:left="620" w:hanging="17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Vesting and Payment.</w:t>
      </w:r>
    </w:p>
    <w:p>
      <w:pPr>
        <w:spacing w:after="0" w:line="225" w:lineRule="exact"/>
        <w:rPr>
          <w:rFonts w:ascii="Arial" w:cs="Arial" w:eastAsia="Arial" w:hAnsi="Arial"/>
          <w:sz w:val="18"/>
          <w:szCs w:val="18"/>
          <w:color w:val="auto"/>
        </w:rPr>
      </w:pPr>
    </w:p>
    <w:p>
      <w:pPr>
        <w:jc w:val="both"/>
        <w:ind w:firstLine="963"/>
        <w:spacing w:after="0" w:line="258" w:lineRule="auto"/>
        <w:tabs>
          <w:tab w:leader="none" w:pos="1198" w:val="left"/>
        </w:tabs>
        <w:numPr>
          <w:ilvl w:val="2"/>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Except as provided in Section 2 of this Agreement, the Restricted Stock Units shall vest at the rate of 25% per year beginning one year</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Grant Date and on each anniversary thereafter, provided that the Participant is continuously employed by the Company or any of its Affiliates (including any period during which the Participant is on leave of absence or any other break in employment in accordance with the Company’s policies and procedures) on each applicable vesting date.</w:t>
      </w:r>
    </w:p>
    <w:p>
      <w:pPr>
        <w:spacing w:after="0" w:line="190" w:lineRule="exact"/>
        <w:rPr>
          <w:rFonts w:ascii="Arial" w:cs="Arial" w:eastAsia="Arial" w:hAnsi="Arial"/>
          <w:sz w:val="18"/>
          <w:szCs w:val="18"/>
          <w:color w:val="auto"/>
        </w:rPr>
      </w:pPr>
    </w:p>
    <w:p>
      <w:pPr>
        <w:jc w:val="both"/>
        <w:ind w:firstLine="937"/>
        <w:spacing w:after="0" w:line="258" w:lineRule="auto"/>
        <w:tabs>
          <w:tab w:leader="none" w:pos="118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A share of Common Stock shall be distributed with respect to each vested Restricted Stock Unit on the applicable vesting date,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2. Notwithstanding the foregoing, in the case of a Participant who, on the date of grant is, or during the vesting period becomes, eligible for Retirement, a share of Common Stock shall be distributed with respect to each vested Restricted Stock Unit on the earlier to occur of (i) the applicable vesting date, or (ii) the date of Termination of Employment or Termination of Consultancy.</w:t>
      </w:r>
    </w:p>
    <w:p>
      <w:pPr>
        <w:spacing w:after="0" w:line="190" w:lineRule="exact"/>
        <w:rPr>
          <w:rFonts w:ascii="Arial" w:cs="Arial" w:eastAsia="Arial" w:hAnsi="Arial"/>
          <w:sz w:val="18"/>
          <w:szCs w:val="18"/>
          <w:color w:val="auto"/>
        </w:rPr>
      </w:pPr>
    </w:p>
    <w:p>
      <w:pPr>
        <w:ind w:left="620" w:hanging="173"/>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Termination of Employment or Termination of Consultancy.</w:t>
      </w:r>
    </w:p>
    <w:p>
      <w:pPr>
        <w:spacing w:after="0" w:line="225" w:lineRule="exact"/>
        <w:rPr>
          <w:rFonts w:ascii="Arial" w:cs="Arial" w:eastAsia="Arial" w:hAnsi="Arial"/>
          <w:sz w:val="18"/>
          <w:szCs w:val="18"/>
          <w:color w:val="auto"/>
        </w:rPr>
      </w:pPr>
    </w:p>
    <w:p>
      <w:pPr>
        <w:jc w:val="both"/>
        <w:ind w:firstLine="1285"/>
        <w:spacing w:after="0" w:line="296" w:lineRule="auto"/>
        <w:tabs>
          <w:tab w:leader="none" w:pos="1535" w:val="left"/>
        </w:tabs>
        <w:numPr>
          <w:ilvl w:val="3"/>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Death, Disability, or Retirement. </w:t>
      </w:r>
      <w:r>
        <w:rPr>
          <w:rFonts w:ascii="Arial" w:cs="Arial" w:eastAsia="Arial" w:hAnsi="Arial"/>
          <w:sz w:val="16"/>
          <w:szCs w:val="16"/>
          <w:color w:val="auto"/>
        </w:rPr>
        <w:t>Upon a Termination of Employment or Termination of Consultancy (as applicable) as a result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death, Disability or Retirement, all outstanding unvested Restricted Stock Units shall immediately vest and a share of Common Stock with respect to each such vested Restricted Stock Unit shall be distributed within thirty (30) days following such termination. Notwithstanding the foregoing, in the case of a Participant who, on the date of grant or within one year of the date of grant, is or becomes eligible for Retirement, upon a Termination of Employment or Termination of Consultancy for Retirement within one year from the date of grant, no portion of the Restricted Stock Units shall be treated as vested.</w:t>
      </w:r>
    </w:p>
    <w:p>
      <w:pPr>
        <w:spacing w:after="0" w:line="161" w:lineRule="exact"/>
        <w:rPr>
          <w:rFonts w:ascii="Arial" w:cs="Arial" w:eastAsia="Arial" w:hAnsi="Arial"/>
          <w:sz w:val="16"/>
          <w:szCs w:val="16"/>
          <w:color w:val="auto"/>
        </w:rPr>
      </w:pPr>
    </w:p>
    <w:p>
      <w:pPr>
        <w:ind w:left="1200" w:hanging="250"/>
        <w:spacing w:after="0"/>
        <w:tabs>
          <w:tab w:leader="none" w:pos="1200" w:val="left"/>
        </w:tabs>
        <w:numPr>
          <w:ilvl w:val="2"/>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Other Termination. </w:t>
      </w:r>
      <w:r>
        <w:rPr>
          <w:rFonts w:ascii="Arial" w:cs="Arial" w:eastAsia="Arial" w:hAnsi="Arial"/>
          <w:sz w:val="16"/>
          <w:szCs w:val="16"/>
          <w:color w:val="auto"/>
        </w:rPr>
        <w:t>Except as otherwise provided in Section 2(a) of this Agreement, Restricted Stock Units that are not vested as of the date of</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ind w:right="20"/>
        <w:spacing w:after="0" w:line="268" w:lineRule="auto"/>
        <w:rPr>
          <w:sz w:val="20"/>
          <w:szCs w:val="20"/>
          <w:color w:val="auto"/>
        </w:rPr>
      </w:pPr>
      <w:r>
        <w:rPr>
          <w:rFonts w:ascii="Arial" w:cs="Arial" w:eastAsia="Arial" w:hAnsi="Arial"/>
          <w:sz w:val="18"/>
          <w:szCs w:val="18"/>
          <w:color w:val="auto"/>
        </w:rPr>
        <w:t>Participant’s Termination of Employment or Termination of Consultancy for any reason shall terminate and be forfeited in their entirety as of the date of such termination.</w:t>
      </w:r>
    </w:p>
    <w:p>
      <w:pPr>
        <w:spacing w:after="0" w:line="180" w:lineRule="exact"/>
        <w:rPr>
          <w:sz w:val="20"/>
          <w:szCs w:val="20"/>
          <w:color w:val="auto"/>
        </w:rPr>
      </w:pPr>
    </w:p>
    <w:p>
      <w:pPr>
        <w:jc w:val="both"/>
        <w:ind w:firstLine="924"/>
        <w:spacing w:after="0" w:line="296" w:lineRule="auto"/>
        <w:tabs>
          <w:tab w:leader="none" w:pos="1157"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Award. </w:t>
      </w:r>
      <w:r>
        <w:rPr>
          <w:rFonts w:ascii="Arial" w:cs="Arial" w:eastAsia="Arial" w:hAnsi="Arial"/>
          <w:sz w:val="16"/>
          <w:szCs w:val="16"/>
          <w:color w:val="auto"/>
        </w:rPr>
        <w:t>Notwithstanding the foregoing, to the extent required by Section 409A of the Code upon a Termination of Employment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Consultancy (other than as a result of death) of a Specified Employee, distributions determined, in whole or in part, to constitute a Section 409A Award shall be delayed until six months after such Termination of Employment or Termination of Consultancy if such termination constitutes a “separation from service” (within the meaning of Section 409A of the Code) and such distribution shall be made at the beginning of the seventh month following the date of the Specified Employee’s Termination of Employment or Termination of Consultancy.</w:t>
      </w:r>
    </w:p>
    <w:p>
      <w:pPr>
        <w:spacing w:after="0" w:line="161" w:lineRule="exact"/>
        <w:rPr>
          <w:rFonts w:ascii="Arial" w:cs="Arial" w:eastAsia="Arial" w:hAnsi="Arial"/>
          <w:sz w:val="16"/>
          <w:szCs w:val="16"/>
          <w:color w:val="auto"/>
        </w:rPr>
      </w:pPr>
    </w:p>
    <w:p>
      <w:pPr>
        <w:jc w:val="both"/>
        <w:ind w:firstLine="963"/>
        <w:spacing w:after="0" w:line="296" w:lineRule="auto"/>
        <w:tabs>
          <w:tab w:leader="none" w:pos="1207" w:val="left"/>
        </w:tabs>
        <w:numPr>
          <w:ilvl w:val="2"/>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Compliance. </w:t>
      </w:r>
      <w:r>
        <w:rPr>
          <w:rFonts w:ascii="Arial" w:cs="Arial" w:eastAsia="Arial" w:hAnsi="Arial"/>
          <w:sz w:val="16"/>
          <w:szCs w:val="16"/>
          <w:color w:val="auto"/>
        </w:rPr>
        <w:t>No distribution in respect of a Section 409A Award shall be made upon a Participant’s Termination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or a Termination of Consultancy unless such termination constitutes a “separation from service” within the meaning of Section 409A of the Code. This Agreement is intended to comply with Section 409A of the Code and the Company shall construe, interpret and amend the provisions of this Agreement in such manner as the Company deems necessary, in its sole discretion, to comply with Section 409A of the Code with respect to a Section 409A Award but in no event shall the foregoing provisions or any other provision of this Agreement or the Plan be construed as a guarantee by the Company of any particular tax treatment.</w:t>
      </w:r>
    </w:p>
    <w:p>
      <w:pPr>
        <w:spacing w:after="0" w:line="161" w:lineRule="exact"/>
        <w:rPr>
          <w:rFonts w:ascii="Arial" w:cs="Arial" w:eastAsia="Arial" w:hAnsi="Arial"/>
          <w:sz w:val="16"/>
          <w:szCs w:val="16"/>
          <w:color w:val="auto"/>
        </w:rPr>
      </w:pPr>
    </w:p>
    <w:p>
      <w:pPr>
        <w:jc w:val="both"/>
        <w:ind w:firstLine="619"/>
        <w:spacing w:after="0" w:line="286" w:lineRule="auto"/>
        <w:tabs>
          <w:tab w:leader="none" w:pos="804"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 Liability. </w:t>
      </w:r>
      <w:r>
        <w:rPr>
          <w:rFonts w:ascii="Arial" w:cs="Arial" w:eastAsia="Arial" w:hAnsi="Arial"/>
          <w:sz w:val="16"/>
          <w:szCs w:val="16"/>
          <w:color w:val="auto"/>
        </w:rPr>
        <w:t>In connection with the vesting and payment of the Restricted Stock Unit, the Company and the Participant will incur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for income or withholding tax. The Company shall have the right to withhold from any payment in respect of Restricted Stock Units, transfer of Common Stock, or payment made to the Participant or to any person hereunder, whether such payment is to be made in cash or in Common Stock, all applicable minimum federal, state, city or other taxes as shall be required, in the determination of the Company, pursuant to any statute or governmental regulation or ruling. In its discretion, the Company may satisfy such withholding obligation by any one or combination of the following methods: (i) by requiring the Participant to pay such amount in cash or check; (ii) by deducting such amount from the Participant’s current compensation; (iii) by allowing the Participant to surrender other shares of Common Stock of the Company which (a) in the case of shares initially acquired from the Company (upon exercise of a stock option or otherwise), have been owned by the Participant for such period (if any) as may be required to avoid a charge to the Company’s earnings, and (b) have a fair market value on the date of surrender equal to the amount required to be withheld; (iv) by delivery by the Participant of a properly executed notice together with irrevocable instructions to a broker approved by the Company to sell shares of Common Stock and deliver promptly to the Company the amount of sale or loan proceeds required to pay the amount required to be withheld, or (v) by withholding a number of shares of Common Stock to be issued upon delivery of Common Stock which have a fair market value equal to the minimum statutory amount required to be withheld. For these purposes, the fair market value of the shares to be withheld shall be determined by the Company on the date that the amount of tax to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line="268" w:lineRule="auto"/>
        <w:rPr>
          <w:sz w:val="20"/>
          <w:szCs w:val="20"/>
          <w:color w:val="auto"/>
        </w:rPr>
      </w:pPr>
      <w:r>
        <w:rPr>
          <w:rFonts w:ascii="Arial" w:cs="Arial" w:eastAsia="Arial" w:hAnsi="Arial"/>
          <w:sz w:val="18"/>
          <w:szCs w:val="18"/>
          <w:color w:val="auto"/>
        </w:rPr>
        <w:t>withheld is to be determined. The Company shall also be authorized to sell any shares of Common Stock to the extent required to satisfy the Company’s withholding obligations.</w:t>
      </w:r>
    </w:p>
    <w:p>
      <w:pPr>
        <w:spacing w:after="0" w:line="180" w:lineRule="exact"/>
        <w:rPr>
          <w:sz w:val="20"/>
          <w:szCs w:val="20"/>
          <w:color w:val="auto"/>
        </w:rPr>
      </w:pPr>
    </w:p>
    <w:p>
      <w:pPr>
        <w:jc w:val="both"/>
        <w:ind w:firstLine="643"/>
        <w:spacing w:after="0" w:line="301" w:lineRule="auto"/>
        <w:tabs>
          <w:tab w:leader="none" w:pos="831" w:val="left"/>
        </w:tabs>
        <w:numPr>
          <w:ilvl w:val="2"/>
          <w:numId w:val="24"/>
        </w:numPr>
        <w:rPr>
          <w:rFonts w:ascii="Arial" w:cs="Arial" w:eastAsia="Arial" w:hAnsi="Arial"/>
          <w:sz w:val="16"/>
          <w:szCs w:val="16"/>
          <w:color w:val="auto"/>
        </w:rPr>
      </w:pPr>
      <w:r>
        <w:rPr>
          <w:rFonts w:ascii="Arial" w:cs="Arial" w:eastAsia="Arial" w:hAnsi="Arial"/>
          <w:sz w:val="16"/>
          <w:szCs w:val="16"/>
          <w:b w:val="1"/>
          <w:bCs w:val="1"/>
          <w:color w:val="auto"/>
        </w:rPr>
        <w:t>Nontransferability of Restricted Stock Unit</w:t>
      </w:r>
      <w:r>
        <w:rPr>
          <w:rFonts w:ascii="Arial" w:cs="Arial" w:eastAsia="Arial" w:hAnsi="Arial"/>
          <w:sz w:val="16"/>
          <w:szCs w:val="16"/>
          <w:color w:val="auto"/>
        </w:rPr>
        <w:t>. The Restricted Stock Unit may not be sold, pledged, assigned, hypothecated, gifted, transferred or</w:t>
      </w:r>
      <w:r>
        <w:rPr>
          <w:rFonts w:ascii="Arial" w:cs="Arial" w:eastAsia="Arial" w:hAnsi="Arial"/>
          <w:sz w:val="16"/>
          <w:szCs w:val="16"/>
          <w:b w:val="1"/>
          <w:bCs w:val="1"/>
          <w:color w:val="auto"/>
        </w:rPr>
        <w:t xml:space="preserve"> </w:t>
      </w:r>
      <w:r>
        <w:rPr>
          <w:rFonts w:ascii="Arial" w:cs="Arial" w:eastAsia="Arial" w:hAnsi="Arial"/>
          <w:sz w:val="16"/>
          <w:szCs w:val="16"/>
          <w:color w:val="auto"/>
        </w:rPr>
        <w:t>disposed of in any manner either voluntarily or involuntarily by operation of law, whether for value or no value and whether voluntary or involuntary (including by operation of law) other than by will or by the laws of descent and distribution. Subject to the foregoing and the terms of the Plan, the terms of this Agreement shall be binding upon the executors, administrators, heirs, successors and assigns of the Participant.</w:t>
      </w:r>
    </w:p>
    <w:p>
      <w:pPr>
        <w:spacing w:after="0" w:line="157" w:lineRule="exact"/>
        <w:rPr>
          <w:rFonts w:ascii="Arial" w:cs="Arial" w:eastAsia="Arial" w:hAnsi="Arial"/>
          <w:sz w:val="16"/>
          <w:szCs w:val="16"/>
          <w:color w:val="auto"/>
        </w:rPr>
      </w:pPr>
    </w:p>
    <w:p>
      <w:pPr>
        <w:jc w:val="both"/>
        <w:ind w:firstLine="484"/>
        <w:spacing w:after="0" w:line="256" w:lineRule="auto"/>
        <w:tabs>
          <w:tab w:leader="none" w:pos="655"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No Enlargement of Rights. </w:t>
      </w:r>
      <w:r>
        <w:rPr>
          <w:rFonts w:ascii="Arial" w:cs="Arial" w:eastAsia="Arial" w:hAnsi="Arial"/>
          <w:sz w:val="18"/>
          <w:szCs w:val="18"/>
          <w:color w:val="auto"/>
        </w:rPr>
        <w:t>This Agreement is not an agreement of employment. Neither the Plan nor this Agreement shall confer upon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to continue as an officer, employee, or consultant of the Company or any Affiliate. Nothing contained in the Plan or this Agreement shall interfere in any way with the rights of the Company or any Affiliate to terminate the employment (or consulting arrangement) of the Participant at any time or to modify the Participant’s employment or compensation. The Participant shall have only such rights and interests with respect to the Restricted Stock Units as are expressly provided in this Agreement and the Plan.</w:t>
      </w:r>
    </w:p>
    <w:p>
      <w:pPr>
        <w:spacing w:after="0" w:line="192" w:lineRule="exact"/>
        <w:rPr>
          <w:rFonts w:ascii="Arial" w:cs="Arial" w:eastAsia="Arial" w:hAnsi="Arial"/>
          <w:sz w:val="18"/>
          <w:szCs w:val="18"/>
          <w:color w:val="auto"/>
        </w:rPr>
      </w:pPr>
    </w:p>
    <w:p>
      <w:pPr>
        <w:ind w:left="620" w:hanging="173"/>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No Shareholder Rights before Exercise and Issuance.</w:t>
      </w:r>
    </w:p>
    <w:p>
      <w:pPr>
        <w:spacing w:after="0" w:line="225" w:lineRule="exact"/>
        <w:rPr>
          <w:rFonts w:ascii="Arial" w:cs="Arial" w:eastAsia="Arial" w:hAnsi="Arial"/>
          <w:sz w:val="18"/>
          <w:szCs w:val="18"/>
          <w:color w:val="auto"/>
        </w:rPr>
      </w:pPr>
    </w:p>
    <w:p>
      <w:pPr>
        <w:jc w:val="both"/>
        <w:ind w:firstLine="950"/>
        <w:spacing w:after="0" w:line="301" w:lineRule="auto"/>
        <w:tabs>
          <w:tab w:leader="none" w:pos="1184" w:val="left"/>
        </w:tabs>
        <w:numPr>
          <w:ilvl w:val="3"/>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No Shareholder Rights. </w:t>
      </w:r>
      <w:r>
        <w:rPr>
          <w:rFonts w:ascii="Arial" w:cs="Arial" w:eastAsia="Arial" w:hAnsi="Arial"/>
          <w:sz w:val="16"/>
          <w:szCs w:val="16"/>
          <w:color w:val="auto"/>
        </w:rPr>
        <w:t>No rights as a stockholder shall exist with respect to the Common Stock subject to the Restricted Stock Unit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grant of the Restricted Stock Unit, and no adjustments shall be made for dividends in cash or other property, distributions or other rights in respect of any such shares, except as otherwise specifically provided for in the Plan or in subparagraph 6(b) below. Shareholder rights shall exist only after issuance of stock following the settlement of vested Restricted Stock Units by delivery of Common Stock as provided in the Plan.</w:t>
      </w:r>
    </w:p>
    <w:p>
      <w:pPr>
        <w:spacing w:after="0" w:line="157" w:lineRule="exact"/>
        <w:rPr>
          <w:rFonts w:ascii="Arial" w:cs="Arial" w:eastAsia="Arial" w:hAnsi="Arial"/>
          <w:sz w:val="16"/>
          <w:szCs w:val="16"/>
          <w:color w:val="auto"/>
        </w:rPr>
      </w:pPr>
    </w:p>
    <w:p>
      <w:pPr>
        <w:jc w:val="both"/>
        <w:ind w:firstLine="937"/>
        <w:spacing w:after="0" w:line="256" w:lineRule="auto"/>
        <w:tabs>
          <w:tab w:leader="none" w:pos="1180" w:val="left"/>
        </w:tabs>
        <w:numPr>
          <w:ilvl w:val="3"/>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Cash dividend equivalents shall be credited to a separate Restricted Stock Unit dividend book entry account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with respect to each Restricted Stock Unit held by a Participant, provided that the right of each Participant to actually receive such dividend equivalent shall be subject to the same vesting restrictions as apply to the Restricted Stock Unit to which the dividend relates. Vested dividend equivalents shall be distributed in cash (or used for tax withholding) to a Participant at the same time a share of Common Stock is distributed with respect to the Restricted Stock Unit to which the dividend equivalent relates.</w:t>
      </w:r>
    </w:p>
    <w:p>
      <w:pPr>
        <w:spacing w:after="0" w:line="192" w:lineRule="exact"/>
        <w:rPr>
          <w:rFonts w:ascii="Arial" w:cs="Arial" w:eastAsia="Arial" w:hAnsi="Arial"/>
          <w:sz w:val="18"/>
          <w:szCs w:val="18"/>
          <w:color w:val="auto"/>
        </w:rPr>
      </w:pPr>
    </w:p>
    <w:p>
      <w:pPr>
        <w:jc w:val="both"/>
        <w:ind w:firstLine="484"/>
        <w:spacing w:after="0" w:line="301" w:lineRule="auto"/>
        <w:tabs>
          <w:tab w:leader="none" w:pos="655"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Effect of the Plan on Restricted Stock Unit. </w:t>
      </w:r>
      <w:r>
        <w:rPr>
          <w:rFonts w:ascii="Arial" w:cs="Arial" w:eastAsia="Arial" w:hAnsi="Arial"/>
          <w:sz w:val="16"/>
          <w:szCs w:val="16"/>
          <w:color w:val="auto"/>
        </w:rPr>
        <w:t>The Restricted Stock Unit is subject to, and the Company and the Participant agree to be bound by, all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of the Plan, as such may be amended from time to time in accordance with the terms thereof. The Participant acknowledges that he/she has received a copy of the Plan and has had an opportunity to review the Plan. Without the consent of the Participant, the Company may amend or modify this Agreement in any manner not inconsistent with the Plan, including without limitation, to change the date or dates as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8"/>
          <w:szCs w:val="18"/>
          <w:color w:val="auto"/>
        </w:rPr>
        <w:t>which a Restricted Stock Unit becomes vested, or to cure any ambiguity, defect or inconsistency, provided such amendment, modification or change does not adversely affect the rights of the Participant.</w:t>
      </w:r>
    </w:p>
    <w:p>
      <w:pPr>
        <w:spacing w:after="0" w:line="180" w:lineRule="exact"/>
        <w:rPr>
          <w:sz w:val="20"/>
          <w:szCs w:val="20"/>
          <w:color w:val="auto"/>
        </w:rPr>
      </w:pPr>
    </w:p>
    <w:p>
      <w:pPr>
        <w:jc w:val="both"/>
        <w:ind w:firstLine="496"/>
        <w:spacing w:after="0" w:line="255" w:lineRule="auto"/>
        <w:tabs>
          <w:tab w:leader="none" w:pos="669"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terms of this Agreement and the Plan constitute the entire agreement between the Company and the Participant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hereof and supersede any and all previous agreements between the Company and the Participant and all prior communications, representations and negotiations in respect thereto. No waiver by any party of any breach by the other of any provision of this Agreement shall be deemed to be a waiver of any other breaches thereof or the waiver of any such or other provision of this Agreement. Subject to the restrictions on assignment and transfer set forth above, this Agreement shall be binding upon and inure to the benefit of the parties hereto, their estates, personal representatives, successors and assigns. This Agreement may be signed in counterparts.</w:t>
      </w:r>
    </w:p>
    <w:p>
      <w:pPr>
        <w:spacing w:after="0" w:line="193" w:lineRule="exact"/>
        <w:rPr>
          <w:rFonts w:ascii="Arial" w:cs="Arial" w:eastAsia="Arial" w:hAnsi="Arial"/>
          <w:sz w:val="18"/>
          <w:szCs w:val="18"/>
          <w:color w:val="auto"/>
        </w:rPr>
      </w:pPr>
    </w:p>
    <w:p>
      <w:pPr>
        <w:jc w:val="both"/>
        <w:ind w:firstLine="521"/>
        <w:spacing w:after="0" w:line="262" w:lineRule="auto"/>
        <w:tabs>
          <w:tab w:leader="none" w:pos="696" w:val="left"/>
        </w:tabs>
        <w:numPr>
          <w:ilvl w:val="1"/>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provision of this Agreement, or the application of such provision to any person or circumstances, is held invalid or unenforceable,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this Agreement, or the application of such provision to persons or circumstances other than those as to which it is held valid or unenforceable, shall not be affected thereby.</w:t>
      </w:r>
    </w:p>
    <w:p>
      <w:pPr>
        <w:spacing w:after="0" w:line="186" w:lineRule="exact"/>
        <w:rPr>
          <w:rFonts w:ascii="Arial" w:cs="Arial" w:eastAsia="Arial" w:hAnsi="Arial"/>
          <w:sz w:val="18"/>
          <w:szCs w:val="18"/>
          <w:color w:val="auto"/>
        </w:rPr>
      </w:pPr>
    </w:p>
    <w:p>
      <w:pPr>
        <w:ind w:right="20" w:firstLine="557"/>
        <w:spacing w:after="0" w:line="275" w:lineRule="auto"/>
        <w:tabs>
          <w:tab w:leader="none" w:pos="824" w:val="left"/>
        </w:tabs>
        <w:numPr>
          <w:ilvl w:val="2"/>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and construed in accordance with the laws of the State of Delaware (regardless of the law that</w:t>
      </w:r>
      <w:r>
        <w:rPr>
          <w:rFonts w:ascii="Arial" w:cs="Arial" w:eastAsia="Arial" w:hAnsi="Arial"/>
          <w:sz w:val="18"/>
          <w:szCs w:val="18"/>
          <w:b w:val="1"/>
          <w:bCs w:val="1"/>
          <w:color w:val="auto"/>
        </w:rPr>
        <w:t xml:space="preserve"> </w:t>
      </w:r>
      <w:r>
        <w:rPr>
          <w:rFonts w:ascii="Arial" w:cs="Arial" w:eastAsia="Arial" w:hAnsi="Arial"/>
          <w:sz w:val="18"/>
          <w:szCs w:val="18"/>
          <w:color w:val="auto"/>
        </w:rPr>
        <w:t>might otherwise govern under applicable Delaware principles of conflict of laws).</w:t>
      </w:r>
    </w:p>
    <w:p>
      <w:pPr>
        <w:spacing w:after="0" w:line="174" w:lineRule="exact"/>
        <w:rPr>
          <w:sz w:val="20"/>
          <w:szCs w:val="20"/>
          <w:color w:val="auto"/>
        </w:rPr>
      </w:pPr>
    </w:p>
    <w:p>
      <w:pPr>
        <w:jc w:val="both"/>
        <w:ind w:firstLine="447"/>
        <w:spacing w:after="0" w:line="296" w:lineRule="auto"/>
        <w:tabs>
          <w:tab w:leader="none" w:pos="696"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or communication given hereunder shall be in writing and shall be deemed to have been duly given when delivered in person,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mail, to the appropriate party at the address set forth below (or such other address as the party shall from time to time specify): If to the Company, to: Scholastic Corporation, 557 Broadway, New York, New York 10012, Attention: Corporate Secretary. If to the Participant, to the most recent address on file with the Company. Notwithstanding the foregoing, the Company may require that any notice by the Participant be provided electronically or in writing to the Company or to the stock plan administrator pursuant to such procedures as the Company shall establish from time to time in its sole discretion.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day and year first set forth above.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SCHOLASTIC CORPORATION</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80010</wp:posOffset>
            </wp:positionV>
            <wp:extent cx="3542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220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177800</wp:posOffset>
            </wp:positionV>
            <wp:extent cx="37388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920" w:hanging="453"/>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2012</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217170</wp:posOffset>
            </wp:positionV>
            <wp:extent cx="14662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920" w:hanging="453"/>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2012</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217170</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263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536575</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February 29,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920" w:right="60" w:hanging="453"/>
        <w:spacing w:after="0" w:line="268" w:lineRule="auto"/>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February 29, 2012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Date: March 23, 2012</w:t>
            </w:r>
          </w:p>
        </w:tc>
        <w:tc>
          <w:tcPr>
            <w:tcW w:w="2880" w:type="dxa"/>
            <w:vAlign w:val="bottom"/>
          </w:tcPr>
          <w:p>
            <w:pPr>
              <w:spacing w:after="0"/>
              <w:rPr>
                <w:sz w:val="20"/>
                <w:szCs w:val="20"/>
                <w:color w:val="auto"/>
              </w:rPr>
            </w:pPr>
            <w:r>
              <w:rPr>
                <w:rFonts w:ascii="Arial" w:cs="Arial" w:eastAsia="Arial" w:hAnsi="Arial"/>
                <w:sz w:val="18"/>
                <w:szCs w:val="18"/>
                <w:color w:val="auto"/>
              </w:rPr>
              <w:t>/s/Richard Robinson</w:t>
            </w:r>
          </w:p>
        </w:tc>
      </w:tr>
      <w:tr>
        <w:trPr>
          <w:trHeight w:val="326"/>
        </w:trPr>
        <w:tc>
          <w:tcPr>
            <w:tcW w:w="572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309"/>
        </w:trPr>
        <w:tc>
          <w:tcPr>
            <w:tcW w:w="572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5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5720" w:type="dxa"/>
            <w:vAlign w:val="bottom"/>
          </w:tcPr>
          <w:p>
            <w:pPr>
              <w:spacing w:after="0"/>
              <w:rPr>
                <w:sz w:val="20"/>
                <w:szCs w:val="20"/>
                <w:color w:val="auto"/>
              </w:rPr>
            </w:pPr>
            <w:r>
              <w:rPr>
                <w:rFonts w:ascii="Arial" w:cs="Arial" w:eastAsia="Arial" w:hAnsi="Arial"/>
                <w:sz w:val="18"/>
                <w:szCs w:val="18"/>
                <w:color w:val="auto"/>
              </w:rPr>
              <w:t>Date: March 23, 2012</w:t>
            </w:r>
          </w:p>
        </w:tc>
        <w:tc>
          <w:tcPr>
            <w:tcW w:w="2880" w:type="dxa"/>
            <w:vAlign w:val="bottom"/>
          </w:tcPr>
          <w:p>
            <w:pPr>
              <w:spacing w:after="0"/>
              <w:rPr>
                <w:sz w:val="20"/>
                <w:szCs w:val="20"/>
                <w:color w:val="auto"/>
              </w:rPr>
            </w:pPr>
            <w:r>
              <w:rPr>
                <w:rFonts w:ascii="Arial" w:cs="Arial" w:eastAsia="Arial" w:hAnsi="Arial"/>
                <w:sz w:val="18"/>
                <w:szCs w:val="18"/>
                <w:color w:val="auto"/>
              </w:rPr>
              <w:t>/s/Maureen O’Connell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207010</wp:posOffset>
            </wp:positionV>
            <wp:extent cx="1826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498475</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5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lvl w:ilvl="1">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lvl w:ilvl="1">
      <w:lvlJc w:val="left"/>
      <w:lvlText w:val="o"/>
      <w:numFmt w:val="bullet"/>
      <w:start w:val="1"/>
    </w:lvl>
  </w:abstractNum>
  <w:abstractNum w:abstractNumId="9">
    <w:nsid w:val="436C6125"/>
    <w:multiLevelType w:val="hybridMultilevel"/>
    <w:lvl w:ilvl="0">
      <w:lvlJc w:val="left"/>
      <w:lvlText w:val="%1."/>
      <w:numFmt w:val="decimal"/>
      <w:start w:val="15"/>
    </w:lvl>
    <w:lvl w:ilvl="1">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
      <w:numFmt w:val="bullet"/>
      <w:start w:val="1"/>
    </w:lvl>
  </w:abstractNum>
  <w:abstractNum w:abstractNumId="15">
    <w:nsid w:val="6763845E"/>
    <w:multiLevelType w:val="hybridMultilevel"/>
    <w:lvl w:ilvl="0">
      <w:lvlJc w:val="left"/>
      <w:lvlText w:val="(%1)"/>
      <w:numFmt w:val="lowerRoman"/>
      <w:start w:val="2"/>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32"/>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0">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21">
    <w:nsid w:val="189A769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22">
    <w:nsid w:val="54E49EB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3">
    <w:nsid w:val="71F32454"/>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lvl w:ilvl="3">
      <w:lvlJc w:val="left"/>
      <w:lvlText w:val="%4"/>
      <w:numFmt w:val="lowerLetter"/>
      <w:start w:val="1"/>
    </w:lvl>
  </w:abstractNum>
  <w:abstractNum w:abstractNumId="24">
    <w:nsid w:val="2CA88611"/>
    <w:multiLevelType w:val="hybridMultilevel"/>
    <w:lvl w:ilvl="0">
      <w:lvlJc w:val="left"/>
      <w:lvlText w:val="%1"/>
      <w:numFmt w:val="decimal"/>
      <w:start w:val="1"/>
    </w:lvl>
    <w:lvl w:ilvl="1">
      <w:lvlJc w:val="left"/>
      <w:lvlText w:val="%2."/>
      <w:numFmt w:val="decimal"/>
      <w:start w:val="5"/>
    </w:lvl>
    <w:lvl w:ilvl="2">
      <w:lvlJc w:val="left"/>
      <w:lvlText w:val="%3"/>
      <w:numFmt w:val="decimal"/>
      <w:start w:val="1"/>
    </w:lvl>
    <w:lvl w:ilvl="3">
      <w:lvlJc w:val="left"/>
      <w:lvlText w:val="%4"/>
      <w:numFmt w:val="lowerLetter"/>
      <w:start w:val="1"/>
    </w:lvl>
  </w:abstractNum>
  <w:abstractNum w:abstractNumId="25">
    <w:nsid w:val="836C40E"/>
    <w:multiLevelType w:val="hybridMultilevel"/>
    <w:lvl w:ilvl="0">
      <w:lvlJc w:val="left"/>
      <w:lvlText w:val="%1."/>
      <w:numFmt w:val="decimal"/>
      <w:start w:val="6"/>
    </w:lvl>
    <w:lvl w:ilvl="1">
      <w:lvlJc w:val="left"/>
      <w:lvlText w:val="%2."/>
      <w:numFmt w:val="decimal"/>
      <w:start w:val="6"/>
    </w:lvl>
    <w:lvl w:ilvl="2">
      <w:lvlJc w:val="left"/>
      <w:lvlText w:val="%3"/>
      <w:numFmt w:val="decimal"/>
      <w:start w:val="1"/>
    </w:lvl>
    <w:lvl w:ilvl="3">
      <w:lvlJc w:val="left"/>
      <w:lvlText w:val="(%4)"/>
      <w:numFmt w:val="lowerLetter"/>
      <w:start w:val="1"/>
    </w:lvl>
  </w:abstractNum>
  <w:abstractNum w:abstractNumId="26">
    <w:nsid w:val="2901D82"/>
    <w:multiLevelType w:val="hybridMultilevel"/>
    <w:lvl w:ilvl="0">
      <w:lvlJc w:val="left"/>
      <w:lvlText w:val="%1."/>
      <w:numFmt w:val="decimal"/>
      <w:start w:val="8"/>
    </w:lvl>
    <w:lvl w:ilvl="1">
      <w:lvlJc w:val="left"/>
      <w:lvlText w:val="%2."/>
      <w:numFmt w:val="decimal"/>
      <w:start w:val="9"/>
    </w:lvl>
    <w:lvl w:ilvl="2">
      <w:lvlJc w:val="left"/>
      <w:lvlText w:val="%3."/>
      <w:numFmt w:val="decimal"/>
      <w:start w:val="10"/>
    </w:lvl>
  </w:abstractNum>
  <w:abstractNum w:abstractNumId="27">
    <w:nsid w:val="3A95F874"/>
    <w:multiLevelType w:val="hybridMultilevel"/>
    <w:lvl w:ilvl="0">
      <w:lvlJc w:val="left"/>
      <w:lvlText w:val="%1."/>
      <w:numFmt w:val="decimal"/>
      <w:start w:val="1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2019-12-09T09:42:02Z</dcterms:created>
  <dcterms:modified xsi:type="dcterms:W3CDTF">2019-12-09T09:42:02Z</dcterms:modified>
</cp:coreProperties>
</file>