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91032.xml.htm"/>
      <w:bookmarkStart w:id="1" w:name="ksform410052026_091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Lucchese Iole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 SCHOLASTIC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667"/>
        <w:gridCol w:w="1158"/>
        <w:gridCol w:w="993"/>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2,844</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71,442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289,623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Estate of M. Richard Robinson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cover taxes owed upon the vesting of 5,839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previously disclosed, Ms. Lucchese is a preliminary executor of the Estate of M. Richard Robinson, Jr. These securities are held by the Estate of M. Richard Robinson, Jr. Ms. Lucchese disclaims beneficial ownership of these securities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Iole Lucchese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522"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3495</Characters>
  <CharactersWithSpaces>4065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