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220" w:lineRule="exact"/>
        <w:rPr>
          <w:sz w:val="24"/>
          <w:szCs w:val="24"/>
          <w:color w:val="auto"/>
        </w:rPr>
      </w:pPr>
    </w:p>
    <w:p>
      <w:pPr>
        <w:ind w:left="3780"/>
        <w:spacing w:after="0"/>
        <w:rPr>
          <w:sz w:val="20"/>
          <w:szCs w:val="20"/>
          <w:color w:val="auto"/>
        </w:rPr>
      </w:pPr>
      <w:r>
        <w:rPr>
          <w:rFonts w:ascii="Arial" w:cs="Arial" w:eastAsia="Arial" w:hAnsi="Arial"/>
          <w:sz w:val="20"/>
          <w:szCs w:val="20"/>
          <w:b w:val="1"/>
          <w:bCs w:val="1"/>
          <w:color w:val="auto"/>
        </w:rPr>
        <w:t>Annual report pursuant to section 13 or 15(d)</w:t>
      </w:r>
    </w:p>
    <w:p>
      <w:pPr>
        <w:spacing w:after="0" w:line="14"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May 31, 2003 | Commission File No. 000-19860</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53"/>
          <w:szCs w:val="53"/>
          <w:color w:val="auto"/>
        </w:rPr>
        <w:t>Scholastic Corporation</w:t>
      </w:r>
    </w:p>
    <w:p>
      <w:pPr>
        <w:sectPr>
          <w:pgSz w:w="11900" w:h="16838" w:orient="portrait"/>
          <w:cols w:equalWidth="0" w:num="1">
            <w:col w:w="11420"/>
          </w:cols>
          <w:pgMar w:left="240" w:top="21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left="182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(State or other jurisdiction of</w:t>
      </w:r>
    </w:p>
    <w:p>
      <w:pPr>
        <w:spacing w:after="0" w:line="53" w:lineRule="exact"/>
        <w:rPr>
          <w:sz w:val="24"/>
          <w:szCs w:val="24"/>
          <w:color w:val="auto"/>
        </w:r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(Exact name of Registrant as specified in its charter)</w:t>
      </w:r>
    </w:p>
    <w:p>
      <w:pPr>
        <w:spacing w:after="0" w:line="206" w:lineRule="exact"/>
        <w:rPr>
          <w:sz w:val="24"/>
          <w:szCs w:val="24"/>
          <w:color w:val="auto"/>
        </w:rPr>
      </w:pPr>
    </w:p>
    <w:p>
      <w:pPr>
        <w:jc w:val="center"/>
        <w:ind w:left="-1339"/>
        <w:spacing w:after="0"/>
        <w:rPr>
          <w:sz w:val="20"/>
          <w:szCs w:val="20"/>
          <w:color w:val="auto"/>
        </w:rPr>
      </w:pPr>
      <w:r>
        <w:rPr>
          <w:rFonts w:ascii="Arial" w:cs="Arial" w:eastAsia="Arial" w:hAnsi="Arial"/>
          <w:sz w:val="16"/>
          <w:szCs w:val="16"/>
          <w:b w:val="1"/>
          <w:bCs w:val="1"/>
          <w:color w:val="auto"/>
        </w:rPr>
        <w:t>13-3385513</w:t>
      </w:r>
    </w:p>
    <w:p>
      <w:pPr>
        <w:spacing w:after="0" w:line="25" w:lineRule="exact"/>
        <w:rPr>
          <w:sz w:val="24"/>
          <w:szCs w:val="24"/>
          <w:color w:val="auto"/>
        </w:rPr>
      </w:pPr>
    </w:p>
    <w:p>
      <w:pPr>
        <w:jc w:val="center"/>
        <w:ind w:left="-1339"/>
        <w:spacing w:after="0"/>
        <w:rPr>
          <w:sz w:val="20"/>
          <w:szCs w:val="20"/>
          <w:color w:val="auto"/>
        </w:rPr>
      </w:pPr>
      <w:r>
        <w:rPr>
          <w:rFonts w:ascii="Arial" w:cs="Arial" w:eastAsia="Arial" w:hAnsi="Arial"/>
          <w:sz w:val="15"/>
          <w:szCs w:val="15"/>
          <w:color w:val="auto"/>
        </w:rPr>
        <w:t>(IRS Employer Identification No.)</w:t>
      </w:r>
    </w:p>
    <w:p>
      <w:pPr>
        <w:spacing w:after="0" w:line="426" w:lineRule="exact"/>
        <w:rPr>
          <w:sz w:val="24"/>
          <w:szCs w:val="24"/>
          <w:color w:val="auto"/>
        </w:rPr>
      </w:pPr>
    </w:p>
    <w:p>
      <w:pPr>
        <w:sectPr>
          <w:pgSz w:w="11900" w:h="16838" w:orient="portrait"/>
          <w:cols w:equalWidth="0" w:num="2">
            <w:col w:w="3740" w:space="300"/>
            <w:col w:w="7380"/>
          </w:cols>
          <w:pgMar w:left="240" w:top="219" w:right="239" w:bottom="0" w:gutter="0" w:footer="0" w:header="0"/>
          <w:type w:val="continuous"/>
        </w:sectPr>
      </w:pPr>
    </w:p>
    <w:p>
      <w:pPr>
        <w:spacing w:after="0" w:line="53" w:lineRule="exact"/>
        <w:rPr>
          <w:sz w:val="24"/>
          <w:szCs w:val="24"/>
          <w:color w:val="auto"/>
        </w:rPr>
      </w:pPr>
    </w:p>
    <w:p>
      <w:pPr>
        <w:ind w:left="1560"/>
        <w:spacing w:after="0"/>
        <w:tabs>
          <w:tab w:leader="none" w:pos="8300" w:val="left"/>
        </w:tabs>
        <w:rPr>
          <w:sz w:val="20"/>
          <w:szCs w:val="20"/>
          <w:color w:val="auto"/>
        </w:rPr>
      </w:pPr>
      <w:r>
        <w:rPr>
          <w:rFonts w:ascii="Arial" w:cs="Arial" w:eastAsia="Arial" w:hAnsi="Arial"/>
          <w:sz w:val="16"/>
          <w:szCs w:val="16"/>
          <w:b w:val="1"/>
          <w:bCs w:val="1"/>
          <w:color w:val="auto"/>
        </w:rPr>
        <w:t>557 Broadway, New York, New York</w:t>
      </w:r>
      <w:r>
        <w:rPr>
          <w:sz w:val="20"/>
          <w:szCs w:val="20"/>
          <w:color w:val="auto"/>
        </w:rPr>
        <w:tab/>
      </w:r>
      <w:r>
        <w:rPr>
          <w:rFonts w:ascii="Arial" w:cs="Arial" w:eastAsia="Arial" w:hAnsi="Arial"/>
          <w:sz w:val="14"/>
          <w:szCs w:val="14"/>
          <w:b w:val="1"/>
          <w:bCs w:val="1"/>
          <w:color w:val="auto"/>
        </w:rPr>
        <w:t>10012</w:t>
      </w:r>
    </w:p>
    <w:p>
      <w:pPr>
        <w:spacing w:after="0" w:line="25" w:lineRule="exact"/>
        <w:rPr>
          <w:sz w:val="24"/>
          <w:szCs w:val="24"/>
          <w:color w:val="auto"/>
        </w:rPr>
      </w:pPr>
    </w:p>
    <w:p>
      <w:pPr>
        <w:ind w:left="1540"/>
        <w:spacing w:after="0"/>
        <w:tabs>
          <w:tab w:leader="none" w:pos="8140" w:val="left"/>
        </w:tabs>
        <w:rPr>
          <w:sz w:val="20"/>
          <w:szCs w:val="20"/>
          <w:color w:val="auto"/>
        </w:rPr>
      </w:pPr>
      <w:r>
        <w:rPr>
          <w:rFonts w:ascii="Arial" w:cs="Arial" w:eastAsia="Arial" w:hAnsi="Arial"/>
          <w:sz w:val="16"/>
          <w:szCs w:val="16"/>
          <w:color w:val="auto"/>
        </w:rPr>
        <w:t>(Address of principal executive offices)</w:t>
      </w:r>
      <w:r>
        <w:rPr>
          <w:sz w:val="20"/>
          <w:szCs w:val="20"/>
          <w:color w:val="auto"/>
        </w:rPr>
        <w:tab/>
      </w:r>
      <w:r>
        <w:rPr>
          <w:rFonts w:ascii="Arial" w:cs="Arial" w:eastAsia="Arial" w:hAnsi="Arial"/>
          <w:sz w:val="15"/>
          <w:szCs w:val="15"/>
          <w:color w:val="auto"/>
        </w:rPr>
        <w:t>(Zip Code)</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(212) 343-6100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121285</wp:posOffset>
            </wp:positionV>
            <wp:extent cx="7284085" cy="431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431800"/>
                    </a:xfrm>
                    <a:prstGeom prst="rect">
                      <a:avLst/>
                    </a:prstGeom>
                    <a:noFill/>
                  </pic:spPr>
                </pic:pic>
              </a:graphicData>
            </a:graphic>
          </wp:anchor>
        </w:drawing>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440" w:type="dxa"/>
            <w:vAlign w:val="bottom"/>
          </w:tcPr>
          <w:p>
            <w:pPr>
              <w:jc w:val="center"/>
              <w:ind w:left="200"/>
              <w:spacing w:after="0"/>
              <w:rPr>
                <w:sz w:val="20"/>
                <w:szCs w:val="20"/>
                <w:color w:val="auto"/>
              </w:rPr>
            </w:pPr>
            <w:r>
              <w:rPr>
                <w:rFonts w:ascii="Arial" w:cs="Arial" w:eastAsia="Arial" w:hAnsi="Arial"/>
                <w:sz w:val="16"/>
                <w:szCs w:val="16"/>
                <w:b w:val="1"/>
                <w:bCs w:val="1"/>
                <w:color w:val="auto"/>
                <w:w w:val="86"/>
              </w:rPr>
              <w:t>Title of class</w:t>
            </w:r>
          </w:p>
        </w:tc>
        <w:tc>
          <w:tcPr>
            <w:tcW w:w="5960" w:type="dxa"/>
            <w:vAlign w:val="bottom"/>
          </w:tcPr>
          <w:p>
            <w:pPr>
              <w:jc w:val="center"/>
              <w:ind w:left="2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55"/>
        </w:trPr>
        <w:tc>
          <w:tcPr>
            <w:tcW w:w="20" w:type="dxa"/>
            <w:vAlign w:val="bottom"/>
          </w:tcPr>
          <w:p>
            <w:pPr>
              <w:spacing w:after="0"/>
              <w:rPr>
                <w:sz w:val="4"/>
                <w:szCs w:val="4"/>
                <w:color w:val="auto"/>
              </w:rPr>
            </w:pPr>
          </w:p>
        </w:tc>
        <w:tc>
          <w:tcPr>
            <w:tcW w:w="5440" w:type="dxa"/>
            <w:vAlign w:val="bottom"/>
            <w:tcBorders>
              <w:bottom w:val="single" w:sz="8" w:color="2C2C2C"/>
            </w:tcBorders>
          </w:tcPr>
          <w:p>
            <w:pPr>
              <w:spacing w:after="0"/>
              <w:rPr>
                <w:sz w:val="4"/>
                <w:szCs w:val="4"/>
                <w:color w:val="auto"/>
              </w:rPr>
            </w:pPr>
          </w:p>
        </w:tc>
        <w:tc>
          <w:tcPr>
            <w:tcW w:w="5960" w:type="dxa"/>
            <w:vAlign w:val="bottom"/>
            <w:tcBorders>
              <w:bottom w:val="single" w:sz="8" w:color="2C2C2C"/>
            </w:tcBorders>
          </w:tcPr>
          <w:p>
            <w:pPr>
              <w:spacing w:after="0"/>
              <w:rPr>
                <w:sz w:val="4"/>
                <w:szCs w:val="4"/>
                <w:color w:val="auto"/>
              </w:rPr>
            </w:pPr>
          </w:p>
        </w:tc>
      </w:tr>
      <w:tr>
        <w:trPr>
          <w:trHeight w:val="233"/>
        </w:trPr>
        <w:tc>
          <w:tcPr>
            <w:tcW w:w="20" w:type="dxa"/>
            <w:vAlign w:val="bottom"/>
          </w:tcPr>
          <w:p>
            <w:pPr>
              <w:spacing w:after="0"/>
              <w:rPr>
                <w:sz w:val="20"/>
                <w:szCs w:val="20"/>
                <w:color w:val="auto"/>
              </w:rPr>
            </w:pPr>
          </w:p>
        </w:tc>
        <w:tc>
          <w:tcPr>
            <w:tcW w:w="5440" w:type="dxa"/>
            <w:vAlign w:val="bottom"/>
          </w:tcPr>
          <w:p>
            <w:pPr>
              <w:jc w:val="center"/>
              <w:ind w:left="180"/>
              <w:spacing w:after="0"/>
              <w:rPr>
                <w:sz w:val="20"/>
                <w:szCs w:val="20"/>
                <w:color w:val="auto"/>
              </w:rPr>
            </w:pPr>
            <w:r>
              <w:rPr>
                <w:rFonts w:ascii="Arial" w:cs="Arial" w:eastAsia="Arial" w:hAnsi="Arial"/>
                <w:sz w:val="16"/>
                <w:szCs w:val="16"/>
                <w:color w:val="auto"/>
                <w:w w:val="90"/>
              </w:rPr>
              <w:t>Common Stock, $0.01 par value</w:t>
            </w:r>
          </w:p>
        </w:tc>
        <w:tc>
          <w:tcPr>
            <w:tcW w:w="5960" w:type="dxa"/>
            <w:vAlign w:val="bottom"/>
          </w:tcPr>
          <w:p>
            <w:pPr>
              <w:jc w:val="center"/>
              <w:ind w:left="220"/>
              <w:spacing w:after="0"/>
              <w:rPr>
                <w:sz w:val="20"/>
                <w:szCs w:val="20"/>
                <w:color w:val="auto"/>
              </w:rPr>
            </w:pPr>
            <w:r>
              <w:rPr>
                <w:rFonts w:ascii="Arial" w:cs="Arial" w:eastAsia="Arial" w:hAnsi="Arial"/>
                <w:sz w:val="16"/>
                <w:szCs w:val="16"/>
                <w:color w:val="auto"/>
                <w:w w:val="94"/>
              </w:rPr>
              <w:t>The NASDAQ Stock Market</w:t>
            </w:r>
          </w:p>
        </w:tc>
      </w:tr>
      <w:tr>
        <w:trPr>
          <w:trHeight w:val="55"/>
        </w:trPr>
        <w:tc>
          <w:tcPr>
            <w:tcW w:w="20" w:type="dxa"/>
            <w:vAlign w:val="bottom"/>
            <w:tcBorders>
              <w:bottom w:val="single" w:sz="8" w:color="2C2C2C"/>
            </w:tcBorders>
          </w:tcPr>
          <w:p>
            <w:pPr>
              <w:spacing w:after="0"/>
              <w:rPr>
                <w:sz w:val="4"/>
                <w:szCs w:val="4"/>
                <w:color w:val="auto"/>
              </w:rPr>
            </w:pPr>
          </w:p>
        </w:tc>
        <w:tc>
          <w:tcPr>
            <w:tcW w:w="5440" w:type="dxa"/>
            <w:vAlign w:val="bottom"/>
            <w:tcBorders>
              <w:bottom w:val="single" w:sz="8" w:color="2C2C2C"/>
            </w:tcBorders>
          </w:tcPr>
          <w:p>
            <w:pPr>
              <w:spacing w:after="0"/>
              <w:rPr>
                <w:sz w:val="4"/>
                <w:szCs w:val="4"/>
                <w:color w:val="auto"/>
              </w:rPr>
            </w:pPr>
          </w:p>
        </w:tc>
        <w:tc>
          <w:tcPr>
            <w:tcW w:w="5960" w:type="dxa"/>
            <w:vAlign w:val="bottom"/>
            <w:tcBorders>
              <w:bottom w:val="single" w:sz="8" w:color="2C2C2C"/>
            </w:tcBorders>
          </w:tcPr>
          <w:p>
            <w:pPr>
              <w:spacing w:after="0"/>
              <w:rPr>
                <w:sz w:val="4"/>
                <w:szCs w:val="4"/>
                <w:color w:val="auto"/>
              </w:rPr>
            </w:pPr>
          </w:p>
        </w:tc>
      </w:tr>
    </w:tbl>
    <w:p>
      <w:pPr>
        <w:spacing w:after="0" w:line="188" w:lineRule="exact"/>
        <w:rPr>
          <w:sz w:val="24"/>
          <w:szCs w:val="24"/>
          <w:color w:val="auto"/>
        </w:rPr>
      </w:pPr>
    </w:p>
    <w:p>
      <w:pPr>
        <w:ind w:right="80"/>
        <w:spacing w:after="0" w:line="3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10" w:lineRule="exact"/>
        <w:rPr>
          <w:sz w:val="24"/>
          <w:szCs w:val="24"/>
          <w:color w:val="auto"/>
        </w:rPr>
      </w:pPr>
    </w:p>
    <w:p>
      <w:pPr>
        <w:ind w:right="360"/>
        <w:spacing w:after="0" w:line="318"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accelerated filer (as defined in Exchange Act Rule 12b-2). Yes X No _</w:t>
      </w:r>
    </w:p>
    <w:p>
      <w:pPr>
        <w:spacing w:after="0" w:line="210" w:lineRule="exact"/>
        <w:rPr>
          <w:sz w:val="24"/>
          <w:szCs w:val="24"/>
          <w:color w:val="auto"/>
        </w:rPr>
      </w:pPr>
    </w:p>
    <w:p>
      <w:pPr>
        <w:ind w:right="100"/>
        <w:spacing w:after="0" w:line="283" w:lineRule="auto"/>
        <w:rPr>
          <w:sz w:val="20"/>
          <w:szCs w:val="20"/>
          <w:color w:val="auto"/>
        </w:rPr>
      </w:pPr>
      <w:r>
        <w:rPr>
          <w:rFonts w:ascii="Arial" w:cs="Arial" w:eastAsia="Arial" w:hAnsi="Arial"/>
          <w:sz w:val="16"/>
          <w:szCs w:val="16"/>
          <w:color w:val="auto"/>
        </w:rPr>
        <w:t>The aggregate market value of the Common Stock, par value $0.01, held by non-affiliates as of August 1, 2003, was approximately $877,689,000. As of such date, non-affiliates held no shares of the Class A Stock, $0.01 par value. There is no active market for the Class A Stock.</w:t>
      </w:r>
    </w:p>
    <w:p>
      <w:pPr>
        <w:spacing w:after="0" w:line="157" w:lineRule="exact"/>
        <w:rPr>
          <w:sz w:val="24"/>
          <w:szCs w:val="24"/>
          <w:color w:val="auto"/>
        </w:rPr>
      </w:pPr>
    </w:p>
    <w:p>
      <w:pPr>
        <w:ind w:right="160"/>
        <w:spacing w:after="0" w:line="283" w:lineRule="auto"/>
        <w:rPr>
          <w:sz w:val="20"/>
          <w:szCs w:val="20"/>
          <w:color w:val="auto"/>
        </w:rPr>
      </w:pPr>
      <w:r>
        <w:rPr>
          <w:rFonts w:ascii="Arial" w:cs="Arial" w:eastAsia="Arial" w:hAnsi="Arial"/>
          <w:sz w:val="16"/>
          <w:szCs w:val="16"/>
          <w:color w:val="auto"/>
        </w:rPr>
        <w:t>The number of shares outstanding of each class of the Registrant’s voting stock as of August 1, 2003 was as follows: 37,609,332 shares of Common Stock and 1,656,200 shares of Class A Stock.</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Part III incorporates certain information by reference from the Registrant’s definitive proxy statement for the Annual Meeting of Stockholders to be held September 23,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409575</wp:posOffset>
            </wp:positionV>
            <wp:extent cx="7263765"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568325</wp:posOffset>
            </wp:positionV>
            <wp:extent cx="3891280" cy="328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9"/>
          <w:szCs w:val="39"/>
          <w:color w:val="auto"/>
        </w:rPr>
        <w:t>Part 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6376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 | Business</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140"/>
        <w:spacing w:after="0" w:line="259" w:lineRule="auto"/>
        <w:rPr>
          <w:sz w:val="20"/>
          <w:szCs w:val="20"/>
          <w:color w:val="auto"/>
        </w:rPr>
      </w:pPr>
      <w:r>
        <w:rPr>
          <w:rFonts w:ascii="Arial" w:cs="Arial" w:eastAsia="Arial" w:hAnsi="Arial"/>
          <w:sz w:val="16"/>
          <w:szCs w:val="16"/>
          <w:color w:val="auto"/>
        </w:rPr>
        <w:t>Scholastic Corporation (together with its subsidiaries, “Scholastic” or the “Company”) is a global children’s publishing and media company. The Company believes that it is the world’s largest publisher and distributor of children’s books. Scholastic creates quality educational and entertaining materials and products for use in school and at home, including children’s books, textbooks, magazines, technology-based products, teacher materials, television programming, film, videos and toys. The Company distributes its products and services through a variety of channels, including school-based book clubs, school-based book fairs, school-based and direct-to-home continuity programs, retail stores, schools, libraries and television networks. The Company’s Website, Scholastic.com, is a leading site for teachers, classrooms and parents, and an award-winning destination for children. With the June 2000 acquisition of Grolier Incorporated (“Grolier”), the Company became the leading operator in the United States of direct-to-home book clubs primarily serving children age five and under, and the leading print and on-line publisher of children’s reference and non-fiction products sold primarily to United States school libraries. Internationally, Scholastic has long-established operations in Canada, the United Kingdom, Australia and New Zealand, and newer operations in Argentina, Hong Kong, India, Ireland and Mexico. The Grolier acquisition expanded the Company’s international operations in Canada, the United Kingdom, Australia and Southeast Asia.</w:t>
      </w:r>
    </w:p>
    <w:p>
      <w:pPr>
        <w:sectPr>
          <w:pgSz w:w="11900" w:h="16838" w:orient="portrait"/>
          <w:cols w:equalWidth="0" w:num="1">
            <w:col w:w="11420"/>
          </w:cols>
          <w:pgMar w:left="240" w:top="219" w:right="239" w:bottom="0" w:gutter="0" w:footer="0" w:header="0"/>
          <w:type w:val="continuous"/>
        </w:sectPr>
      </w:pPr>
    </w:p>
    <w:bookmarkStart w:id="1" w:name="page2"/>
    <w:bookmarkEnd w:id="1"/>
    <w:p>
      <w:pPr>
        <w:spacing w:after="0" w:line="105"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During its 83 years of operation, Scholastic has emphasized quality products and a dedication to learning. Scholastic Corporation was incorporated under the laws of Delaware in 1986 and, through predecessor entities, has been in business since 1920. Grolier, through its predecessor entities, has been in business since 1895.</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 xml:space="preserve">The Company categorizes its businesses into four operating segments: </w:t>
      </w:r>
      <w:r>
        <w:rPr>
          <w:rFonts w:ascii="Arial" w:cs="Arial" w:eastAsia="Arial" w:hAnsi="Arial"/>
          <w:sz w:val="16"/>
          <w:szCs w:val="16"/>
          <w:i w:val="1"/>
          <w:iCs w:val="1"/>
          <w:color w:val="auto"/>
        </w:rPr>
        <w:t>Children’s Book Publishing and Distribution; Educational Publishing; Media, Licensing and Advertising</w:t>
      </w:r>
      <w:r>
        <w:rPr>
          <w:rFonts w:ascii="Arial" w:cs="Arial" w:eastAsia="Arial" w:hAnsi="Arial"/>
          <w:sz w:val="16"/>
          <w:szCs w:val="16"/>
          <w:color w:val="auto"/>
        </w:rPr>
        <w:t xml:space="preserve"> (which collectively represent the Company’s domestic operations); and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This classification reflects the nature of products and services consistent with the method by which the Company’s chief operating decision-maker assesses operating performance and allocates resources. During the three-year period ended May 31, 2003, Scholastic’s revenues have grown at an average annual compounded rate of 11.8%, including the Grolier acquisition, and 4.7%, excluding the Grolier acquisition. The following table sets forth revenues by operating segment for the three fiscal years ended May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color w:val="auto"/>
                <w:w w:val="95"/>
              </w:rPr>
              <w:t>(Amounts in millions)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64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660" w:type="dxa"/>
            <w:vAlign w:val="bottom"/>
          </w:tcPr>
          <w:p>
            <w:pPr>
              <w:jc w:val="right"/>
              <w:ind w:right="517"/>
              <w:spacing w:after="0"/>
              <w:rPr>
                <w:sz w:val="20"/>
                <w:szCs w:val="20"/>
                <w:color w:val="auto"/>
              </w:rPr>
            </w:pPr>
            <w:r>
              <w:rPr>
                <w:rFonts w:ascii="Arial" w:cs="Arial" w:eastAsia="Arial" w:hAnsi="Arial"/>
                <w:sz w:val="20"/>
                <w:szCs w:val="20"/>
                <w:b w:val="1"/>
                <w:bCs w:val="1"/>
                <w:color w:val="auto"/>
              </w:rPr>
              <w:t>2003</w:t>
            </w:r>
          </w:p>
        </w:tc>
        <w:tc>
          <w:tcPr>
            <w:tcW w:w="1440" w:type="dxa"/>
            <w:vAlign w:val="bottom"/>
          </w:tcPr>
          <w:p>
            <w:pPr>
              <w:jc w:val="right"/>
              <w:ind w:right="177"/>
              <w:spacing w:after="0"/>
              <w:rPr>
                <w:sz w:val="20"/>
                <w:szCs w:val="20"/>
                <w:color w:val="auto"/>
              </w:rPr>
            </w:pPr>
            <w:r>
              <w:rPr>
                <w:rFonts w:ascii="Arial" w:cs="Arial" w:eastAsia="Arial" w:hAnsi="Arial"/>
                <w:sz w:val="20"/>
                <w:szCs w:val="20"/>
                <w:b w:val="1"/>
                <w:bCs w:val="1"/>
                <w:color w:val="auto"/>
              </w:rPr>
              <w:t>2002</w:t>
            </w:r>
          </w:p>
        </w:tc>
        <w:tc>
          <w:tcPr>
            <w:tcW w:w="1660" w:type="dxa"/>
            <w:vAlign w:val="bottom"/>
          </w:tcPr>
          <w:p>
            <w:pPr>
              <w:jc w:val="right"/>
              <w:ind w:right="57"/>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660" w:type="dxa"/>
            <w:vAlign w:val="bottom"/>
            <w:gridSpan w:val="2"/>
          </w:tcPr>
          <w:p>
            <w:pPr>
              <w:spacing w:after="0"/>
              <w:rPr>
                <w:sz w:val="7"/>
                <w:szCs w:val="7"/>
                <w:color w:val="auto"/>
              </w:rPr>
            </w:pPr>
          </w:p>
        </w:tc>
        <w:tc>
          <w:tcPr>
            <w:tcW w:w="3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640" w:type="dxa"/>
            <w:vAlign w:val="bottom"/>
            <w:tcBorders>
              <w:top w:val="single" w:sz="8" w:color="808080"/>
            </w:tcBorders>
          </w:tcPr>
          <w:p>
            <w:pPr>
              <w:spacing w:after="0"/>
              <w:rPr>
                <w:sz w:val="7"/>
                <w:szCs w:val="7"/>
                <w:color w:val="auto"/>
              </w:rPr>
            </w:pPr>
          </w:p>
        </w:tc>
        <w:tc>
          <w:tcPr>
            <w:tcW w:w="3660" w:type="dxa"/>
            <w:vAlign w:val="bottom"/>
            <w:tcBorders>
              <w:top w:val="single" w:sz="8" w:color="808080"/>
            </w:tcBorders>
          </w:tcPr>
          <w:p>
            <w:pPr>
              <w:spacing w:after="0"/>
              <w:rPr>
                <w:sz w:val="7"/>
                <w:szCs w:val="7"/>
                <w:color w:val="auto"/>
              </w:rPr>
            </w:pPr>
          </w:p>
        </w:tc>
        <w:tc>
          <w:tcPr>
            <w:tcW w:w="1440" w:type="dxa"/>
            <w:vAlign w:val="bottom"/>
            <w:tcBorders>
              <w:top w:val="single" w:sz="8" w:color="808080"/>
            </w:tcBorders>
          </w:tcPr>
          <w:p>
            <w:pPr>
              <w:spacing w:after="0"/>
              <w:rPr>
                <w:sz w:val="7"/>
                <w:szCs w:val="7"/>
                <w:color w:val="auto"/>
              </w:rPr>
            </w:pPr>
          </w:p>
        </w:tc>
        <w:tc>
          <w:tcPr>
            <w:tcW w:w="166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40" w:type="dxa"/>
            <w:vAlign w:val="bottom"/>
            <w:shd w:val="clear" w:color="auto" w:fill="DDDDDD"/>
          </w:tcPr>
          <w:p>
            <w:pPr>
              <w:spacing w:after="0"/>
              <w:rPr>
                <w:sz w:val="20"/>
                <w:szCs w:val="20"/>
                <w:color w:val="auto"/>
              </w:rPr>
            </w:pPr>
            <w:r>
              <w:rPr>
                <w:rFonts w:ascii="Arial" w:cs="Arial" w:eastAsia="Arial" w:hAnsi="Arial"/>
                <w:sz w:val="16"/>
                <w:szCs w:val="16"/>
                <w:color w:val="auto"/>
              </w:rPr>
              <w:t>Children’s Book Publishing</w:t>
            </w:r>
          </w:p>
        </w:tc>
        <w:tc>
          <w:tcPr>
            <w:tcW w:w="366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166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shd w:val="clear" w:color="auto" w:fill="DDDDDD"/>
          </w:tcPr>
          <w:p>
            <w:pPr>
              <w:ind w:left="420"/>
              <w:spacing w:after="0"/>
              <w:rPr>
                <w:sz w:val="20"/>
                <w:szCs w:val="20"/>
                <w:color w:val="auto"/>
              </w:rPr>
            </w:pPr>
            <w:r>
              <w:rPr>
                <w:rFonts w:ascii="Arial" w:cs="Arial" w:eastAsia="Arial" w:hAnsi="Arial"/>
                <w:sz w:val="16"/>
                <w:szCs w:val="16"/>
                <w:color w:val="auto"/>
              </w:rPr>
              <w:t>and Distribution</w:t>
            </w:r>
          </w:p>
        </w:tc>
        <w:tc>
          <w:tcPr>
            <w:tcW w:w="3660" w:type="dxa"/>
            <w:vAlign w:val="bottom"/>
            <w:shd w:val="clear" w:color="auto" w:fill="DDDDDD"/>
          </w:tcPr>
          <w:p>
            <w:pPr>
              <w:jc w:val="right"/>
              <w:ind w:right="517"/>
              <w:spacing w:after="0"/>
              <w:rPr>
                <w:sz w:val="20"/>
                <w:szCs w:val="20"/>
                <w:color w:val="auto"/>
              </w:rPr>
            </w:pPr>
            <w:r>
              <w:rPr>
                <w:rFonts w:ascii="Arial" w:cs="Arial" w:eastAsia="Arial" w:hAnsi="Arial"/>
                <w:sz w:val="16"/>
                <w:szCs w:val="16"/>
                <w:color w:val="auto"/>
              </w:rPr>
              <w:t>$ 1,189.9</w:t>
            </w:r>
          </w:p>
        </w:tc>
        <w:tc>
          <w:tcPr>
            <w:tcW w:w="1440" w:type="dxa"/>
            <w:vAlign w:val="bottom"/>
            <w:shd w:val="clear" w:color="auto" w:fill="DDDDDD"/>
          </w:tcPr>
          <w:p>
            <w:pPr>
              <w:jc w:val="right"/>
              <w:ind w:right="177"/>
              <w:spacing w:after="0"/>
              <w:rPr>
                <w:sz w:val="20"/>
                <w:szCs w:val="20"/>
                <w:color w:val="auto"/>
              </w:rPr>
            </w:pPr>
            <w:r>
              <w:rPr>
                <w:rFonts w:ascii="Arial" w:cs="Arial" w:eastAsia="Arial" w:hAnsi="Arial"/>
                <w:sz w:val="16"/>
                <w:szCs w:val="16"/>
                <w:color w:val="auto"/>
              </w:rPr>
              <w:t>$ 1,168.6</w:t>
            </w:r>
          </w:p>
        </w:tc>
        <w:tc>
          <w:tcPr>
            <w:tcW w:w="1660" w:type="dxa"/>
            <w:vAlign w:val="bottom"/>
            <w:shd w:val="clear" w:color="auto" w:fill="DDDDDD"/>
          </w:tcPr>
          <w:p>
            <w:pPr>
              <w:jc w:val="right"/>
              <w:ind w:right="57"/>
              <w:spacing w:after="0"/>
              <w:rPr>
                <w:sz w:val="20"/>
                <w:szCs w:val="20"/>
                <w:color w:val="auto"/>
              </w:rPr>
            </w:pPr>
            <w:r>
              <w:rPr>
                <w:rFonts w:ascii="Arial" w:cs="Arial" w:eastAsia="Arial" w:hAnsi="Arial"/>
                <w:sz w:val="16"/>
                <w:szCs w:val="16"/>
                <w:color w:val="auto"/>
              </w:rPr>
              <w:t>$ 1,221.9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Educational Publishing</w:t>
            </w:r>
          </w:p>
        </w:tc>
        <w:tc>
          <w:tcPr>
            <w:tcW w:w="3660" w:type="dxa"/>
            <w:vAlign w:val="bottom"/>
          </w:tcPr>
          <w:p>
            <w:pPr>
              <w:jc w:val="right"/>
              <w:ind w:right="517"/>
              <w:spacing w:after="0"/>
              <w:rPr>
                <w:sz w:val="20"/>
                <w:szCs w:val="20"/>
                <w:color w:val="auto"/>
              </w:rPr>
            </w:pPr>
            <w:r>
              <w:rPr>
                <w:rFonts w:ascii="Arial" w:cs="Arial" w:eastAsia="Arial" w:hAnsi="Arial"/>
                <w:sz w:val="16"/>
                <w:szCs w:val="16"/>
                <w:color w:val="auto"/>
              </w:rPr>
              <w:t>325.9</w:t>
            </w:r>
          </w:p>
        </w:tc>
        <w:tc>
          <w:tcPr>
            <w:tcW w:w="1440" w:type="dxa"/>
            <w:vAlign w:val="bottom"/>
          </w:tcPr>
          <w:p>
            <w:pPr>
              <w:jc w:val="right"/>
              <w:ind w:right="177"/>
              <w:spacing w:after="0"/>
              <w:rPr>
                <w:sz w:val="20"/>
                <w:szCs w:val="20"/>
                <w:color w:val="auto"/>
              </w:rPr>
            </w:pPr>
            <w:r>
              <w:rPr>
                <w:rFonts w:ascii="Arial" w:cs="Arial" w:eastAsia="Arial" w:hAnsi="Arial"/>
                <w:sz w:val="16"/>
                <w:szCs w:val="16"/>
                <w:color w:val="auto"/>
              </w:rPr>
              <w:t>316.9</w:t>
            </w:r>
          </w:p>
        </w:tc>
        <w:tc>
          <w:tcPr>
            <w:tcW w:w="1660" w:type="dxa"/>
            <w:vAlign w:val="bottom"/>
          </w:tcPr>
          <w:p>
            <w:pPr>
              <w:jc w:val="right"/>
              <w:ind w:right="57"/>
              <w:spacing w:after="0"/>
              <w:rPr>
                <w:sz w:val="20"/>
                <w:szCs w:val="20"/>
                <w:color w:val="auto"/>
              </w:rPr>
            </w:pPr>
            <w:r>
              <w:rPr>
                <w:rFonts w:ascii="Arial" w:cs="Arial" w:eastAsia="Arial" w:hAnsi="Arial"/>
                <w:sz w:val="16"/>
                <w:szCs w:val="16"/>
                <w:color w:val="auto"/>
              </w:rPr>
              <w:t>311.2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shd w:val="clear" w:color="auto" w:fill="DDDDDD"/>
          </w:tcPr>
          <w:p>
            <w:pPr>
              <w:spacing w:after="0"/>
              <w:rPr>
                <w:sz w:val="20"/>
                <w:szCs w:val="20"/>
                <w:color w:val="auto"/>
              </w:rPr>
            </w:pPr>
            <w:r>
              <w:rPr>
                <w:rFonts w:ascii="Arial" w:cs="Arial" w:eastAsia="Arial" w:hAnsi="Arial"/>
                <w:sz w:val="16"/>
                <w:szCs w:val="16"/>
                <w:color w:val="auto"/>
              </w:rPr>
              <w:t>Media, Licensing and Advertising</w:t>
            </w:r>
          </w:p>
        </w:tc>
        <w:tc>
          <w:tcPr>
            <w:tcW w:w="3660" w:type="dxa"/>
            <w:vAlign w:val="bottom"/>
            <w:shd w:val="clear" w:color="auto" w:fill="DDDDDD"/>
          </w:tcPr>
          <w:p>
            <w:pPr>
              <w:jc w:val="right"/>
              <w:ind w:right="517"/>
              <w:spacing w:after="0"/>
              <w:rPr>
                <w:sz w:val="20"/>
                <w:szCs w:val="20"/>
                <w:color w:val="auto"/>
              </w:rPr>
            </w:pPr>
            <w:r>
              <w:rPr>
                <w:rFonts w:ascii="Arial" w:cs="Arial" w:eastAsia="Arial" w:hAnsi="Arial"/>
                <w:sz w:val="16"/>
                <w:szCs w:val="16"/>
                <w:color w:val="auto"/>
              </w:rPr>
              <w:t>123.5</w:t>
            </w:r>
          </w:p>
        </w:tc>
        <w:tc>
          <w:tcPr>
            <w:tcW w:w="1440" w:type="dxa"/>
            <w:vAlign w:val="bottom"/>
            <w:shd w:val="clear" w:color="auto" w:fill="DDDDDD"/>
          </w:tcPr>
          <w:p>
            <w:pPr>
              <w:jc w:val="right"/>
              <w:ind w:right="177"/>
              <w:spacing w:after="0"/>
              <w:rPr>
                <w:sz w:val="20"/>
                <w:szCs w:val="20"/>
                <w:color w:val="auto"/>
              </w:rPr>
            </w:pPr>
            <w:r>
              <w:rPr>
                <w:rFonts w:ascii="Arial" w:cs="Arial" w:eastAsia="Arial" w:hAnsi="Arial"/>
                <w:sz w:val="16"/>
                <w:szCs w:val="16"/>
                <w:color w:val="auto"/>
              </w:rPr>
              <w:t>129.8</w:t>
            </w:r>
          </w:p>
        </w:tc>
        <w:tc>
          <w:tcPr>
            <w:tcW w:w="1660" w:type="dxa"/>
            <w:vAlign w:val="bottom"/>
            <w:shd w:val="clear" w:color="auto" w:fill="DDDDDD"/>
          </w:tcPr>
          <w:p>
            <w:pPr>
              <w:jc w:val="right"/>
              <w:ind w:right="57"/>
              <w:spacing w:after="0"/>
              <w:rPr>
                <w:sz w:val="20"/>
                <w:szCs w:val="20"/>
                <w:color w:val="auto"/>
              </w:rPr>
            </w:pPr>
            <w:r>
              <w:rPr>
                <w:rFonts w:ascii="Arial" w:cs="Arial" w:eastAsia="Arial" w:hAnsi="Arial"/>
                <w:sz w:val="16"/>
                <w:szCs w:val="16"/>
                <w:color w:val="auto"/>
              </w:rPr>
              <w:t>132.5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International</w:t>
            </w:r>
          </w:p>
        </w:tc>
        <w:tc>
          <w:tcPr>
            <w:tcW w:w="3660" w:type="dxa"/>
            <w:vAlign w:val="bottom"/>
          </w:tcPr>
          <w:p>
            <w:pPr>
              <w:jc w:val="right"/>
              <w:ind w:right="517"/>
              <w:spacing w:after="0"/>
              <w:rPr>
                <w:sz w:val="20"/>
                <w:szCs w:val="20"/>
                <w:color w:val="auto"/>
              </w:rPr>
            </w:pPr>
            <w:r>
              <w:rPr>
                <w:rFonts w:ascii="Arial" w:cs="Arial" w:eastAsia="Arial" w:hAnsi="Arial"/>
                <w:sz w:val="16"/>
                <w:szCs w:val="16"/>
                <w:color w:val="auto"/>
              </w:rPr>
              <w:t>319.0</w:t>
            </w:r>
          </w:p>
        </w:tc>
        <w:tc>
          <w:tcPr>
            <w:tcW w:w="1440" w:type="dxa"/>
            <w:vAlign w:val="bottom"/>
          </w:tcPr>
          <w:p>
            <w:pPr>
              <w:jc w:val="right"/>
              <w:ind w:right="177"/>
              <w:spacing w:after="0"/>
              <w:rPr>
                <w:sz w:val="20"/>
                <w:szCs w:val="20"/>
                <w:color w:val="auto"/>
              </w:rPr>
            </w:pPr>
            <w:r>
              <w:rPr>
                <w:rFonts w:ascii="Arial" w:cs="Arial" w:eastAsia="Arial" w:hAnsi="Arial"/>
                <w:sz w:val="16"/>
                <w:szCs w:val="16"/>
                <w:color w:val="auto"/>
              </w:rPr>
              <w:t>301.7</w:t>
            </w:r>
          </w:p>
        </w:tc>
        <w:tc>
          <w:tcPr>
            <w:tcW w:w="1660" w:type="dxa"/>
            <w:vAlign w:val="bottom"/>
          </w:tcPr>
          <w:p>
            <w:pPr>
              <w:jc w:val="right"/>
              <w:ind w:right="57"/>
              <w:spacing w:after="0"/>
              <w:rPr>
                <w:sz w:val="20"/>
                <w:szCs w:val="20"/>
                <w:color w:val="auto"/>
              </w:rPr>
            </w:pPr>
            <w:r>
              <w:rPr>
                <w:rFonts w:ascii="Arial" w:cs="Arial" w:eastAsia="Arial" w:hAnsi="Arial"/>
                <w:sz w:val="16"/>
                <w:szCs w:val="16"/>
                <w:color w:val="auto"/>
              </w:rPr>
              <w:t>296.7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808080"/>
            </w:tcBorders>
            <w:gridSpan w:val="2"/>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64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64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Total</w:t>
            </w:r>
          </w:p>
        </w:tc>
        <w:tc>
          <w:tcPr>
            <w:tcW w:w="3660" w:type="dxa"/>
            <w:vAlign w:val="bottom"/>
            <w:shd w:val="clear" w:color="auto" w:fill="DDDDDD"/>
          </w:tcPr>
          <w:p>
            <w:pPr>
              <w:jc w:val="right"/>
              <w:ind w:right="517"/>
              <w:spacing w:after="0"/>
              <w:rPr>
                <w:sz w:val="20"/>
                <w:szCs w:val="20"/>
                <w:color w:val="auto"/>
              </w:rPr>
            </w:pPr>
            <w:r>
              <w:rPr>
                <w:rFonts w:ascii="Arial" w:cs="Arial" w:eastAsia="Arial" w:hAnsi="Arial"/>
                <w:sz w:val="16"/>
                <w:szCs w:val="16"/>
                <w:b w:val="1"/>
                <w:bCs w:val="1"/>
                <w:color w:val="auto"/>
              </w:rPr>
              <w:t>$ 1,958.3</w:t>
            </w:r>
          </w:p>
        </w:tc>
        <w:tc>
          <w:tcPr>
            <w:tcW w:w="1440" w:type="dxa"/>
            <w:vAlign w:val="bottom"/>
            <w:shd w:val="clear" w:color="auto" w:fill="DDDDDD"/>
          </w:tcPr>
          <w:p>
            <w:pPr>
              <w:jc w:val="right"/>
              <w:ind w:right="177"/>
              <w:spacing w:after="0"/>
              <w:rPr>
                <w:sz w:val="20"/>
                <w:szCs w:val="20"/>
                <w:color w:val="auto"/>
              </w:rPr>
            </w:pPr>
            <w:r>
              <w:rPr>
                <w:rFonts w:ascii="Arial" w:cs="Arial" w:eastAsia="Arial" w:hAnsi="Arial"/>
                <w:sz w:val="16"/>
                <w:szCs w:val="16"/>
                <w:b w:val="1"/>
                <w:bCs w:val="1"/>
                <w:color w:val="auto"/>
              </w:rPr>
              <w:t>$ 1,917.0</w:t>
            </w:r>
          </w:p>
        </w:tc>
        <w:tc>
          <w:tcPr>
            <w:tcW w:w="1660" w:type="dxa"/>
            <w:vAlign w:val="bottom"/>
            <w:shd w:val="clear" w:color="auto" w:fill="DDDDDD"/>
          </w:tcPr>
          <w:p>
            <w:pPr>
              <w:jc w:val="right"/>
              <w:ind w:right="57"/>
              <w:spacing w:after="0"/>
              <w:rPr>
                <w:sz w:val="20"/>
                <w:szCs w:val="20"/>
                <w:color w:val="auto"/>
              </w:rPr>
            </w:pPr>
            <w:r>
              <w:rPr>
                <w:rFonts w:ascii="Arial" w:cs="Arial" w:eastAsia="Arial" w:hAnsi="Arial"/>
                <w:sz w:val="16"/>
                <w:szCs w:val="16"/>
                <w:b w:val="1"/>
                <w:bCs w:val="1"/>
                <w:color w:val="auto"/>
              </w:rPr>
              <w:t>$ 1,962.3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 xml:space="preserve">Reported revenues include Grolier’s operations since June 22, 2000, the date of acquisition. Additional financial information covering the Company’s operating segments is included in Note 2 of Notes to Consolidated Financial Statements in Item 8, which is incorporated herein by reference. Certain revenues and expenses related to the Company’s Internet activities have been reallocated to reflect the transition from a developing platform previously included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to operational systems included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segments. Prior year segment results have been restated to reflect this reclassification.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CHILDREN’S BOOK PUBLISHING AND DISTRIBUTION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(60.8% of fiscal 2003 revenues)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5"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includes the publication and distribution of children’s books in the United States through school-based book clubs and book fairs, school-based and direct-to-home continuity programs and the trade channel.</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Company believes it is the largest publisher and distributor of children’s books and is the largest operator of school-based book clubs and school-based book fairs in the United States. The Company is also a leading publisher of children’s books distributed through the trade channel and the leading distributor in the United States of children’s books through direct-to-home continuity programs primarily for children ages five and younger. In fiscal 2003, the Company distributed in excess of 320 million children’s books in the United States.</w:t>
      </w:r>
    </w:p>
    <w:p>
      <w:pPr>
        <w:spacing w:after="0" w:line="172" w:lineRule="exact"/>
        <w:rPr>
          <w:sz w:val="20"/>
          <w:szCs w:val="20"/>
          <w:color w:val="auto"/>
        </w:rPr>
      </w:pPr>
    </w:p>
    <w:p>
      <w:pPr>
        <w:jc w:val="both"/>
        <w:ind w:right="80"/>
        <w:spacing w:after="0" w:line="283" w:lineRule="auto"/>
        <w:rPr>
          <w:sz w:val="20"/>
          <w:szCs w:val="20"/>
          <w:color w:val="auto"/>
        </w:rPr>
      </w:pPr>
      <w:r>
        <w:rPr>
          <w:rFonts w:ascii="Arial" w:cs="Arial" w:eastAsia="Arial" w:hAnsi="Arial"/>
          <w:sz w:val="16"/>
          <w:szCs w:val="16"/>
          <w:color w:val="auto"/>
        </w:rPr>
        <w:t>Scholastic offers a broad range of quality children’s literature. Many of the Company’s books have received awards for excellence in children’s literature, including the Caldecott and Newbery awards.</w:t>
      </w:r>
    </w:p>
    <w:p>
      <w:pPr>
        <w:spacing w:after="0" w:line="157"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auto"/>
        </w:rPr>
        <w:t>The Company obtains titles for sale through its distribution channels from three principal sources. The first source for titles is the Company’s publication of books written under exclusive publication agreements with authors, book packagers or other media companies. Scholastic generally owns the rights to sell these titles in all United States channels of distribution. Scholastic’s second source of titles is licenses to publish books exclusively in specified channels of distribution, including reprints of books originally published by other publishers, for which the Company acquires rights to sell in the school market, and licenses to publish books for exclusive sale in direct-to-home continuity programs. The third source of titles is the Company’s purchase of finished books from other publishers to be sold in the school market. At May 31, 2003, the Company’s active backlist (a list of titles published as new titles in prior years) included more than 6,000 titles.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School-Based Book Clubs</w:t>
      </w:r>
    </w:p>
    <w:p>
      <w:pPr>
        <w:spacing w:after="0" w:line="25" w:lineRule="exact"/>
        <w:rPr>
          <w:sz w:val="20"/>
          <w:szCs w:val="20"/>
          <w:color w:val="auto"/>
        </w:rPr>
      </w:pPr>
    </w:p>
    <w:p>
      <w:pPr>
        <w:ind w:right="320"/>
        <w:spacing w:after="0" w:line="214" w:lineRule="auto"/>
        <w:rPr>
          <w:sz w:val="20"/>
          <w:szCs w:val="20"/>
          <w:color w:val="auto"/>
        </w:rPr>
      </w:pPr>
      <w:r>
        <w:rPr>
          <w:rFonts w:ascii="Arial" w:cs="Arial" w:eastAsia="Arial" w:hAnsi="Arial"/>
          <w:sz w:val="14"/>
          <w:szCs w:val="14"/>
          <w:color w:val="auto"/>
        </w:rPr>
        <w:t xml:space="preserve">Scholastic founded its first school-based book club in 1948. The Company operates eleven school-based book clubs: </w:t>
      </w:r>
      <w:r>
        <w:rPr>
          <w:rFonts w:ascii="Arial" w:cs="Arial" w:eastAsia="Arial" w:hAnsi="Arial"/>
          <w:sz w:val="14"/>
          <w:szCs w:val="14"/>
          <w:i w:val="1"/>
          <w:iCs w:val="1"/>
          <w:color w:val="auto"/>
        </w:rPr>
        <w:t>Firefly</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serving pre-kindergarten (“pre-K”) and kindergarten (“K”) students; </w:t>
      </w:r>
      <w:r>
        <w:rPr>
          <w:rFonts w:ascii="Arial" w:cs="Arial" w:eastAsia="Arial" w:hAnsi="Arial"/>
          <w:sz w:val="14"/>
          <w:szCs w:val="14"/>
          <w:i w:val="1"/>
          <w:iCs w:val="1"/>
          <w:color w:val="auto"/>
        </w:rPr>
        <w:t>Seesaw</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serving students grades K to 1; </w:t>
      </w:r>
      <w:r>
        <w:rPr>
          <w:rFonts w:ascii="Arial" w:cs="Arial" w:eastAsia="Arial" w:hAnsi="Arial"/>
          <w:sz w:val="14"/>
          <w:szCs w:val="14"/>
          <w:i w:val="1"/>
          <w:iCs w:val="1"/>
          <w:color w:val="auto"/>
        </w:rPr>
        <w:t>Lucky</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serving students grades 2 to 3; </w:t>
      </w:r>
      <w:r>
        <w:rPr>
          <w:rFonts w:ascii="Arial" w:cs="Arial" w:eastAsia="Arial" w:hAnsi="Arial"/>
          <w:sz w:val="14"/>
          <w:szCs w:val="14"/>
          <w:i w:val="1"/>
          <w:iCs w:val="1"/>
          <w:color w:val="auto"/>
        </w:rPr>
        <w:t>Arrow</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serving students grades 4 to 6; </w:t>
      </w:r>
      <w:r>
        <w:rPr>
          <w:rFonts w:ascii="Arial" w:cs="Arial" w:eastAsia="Arial" w:hAnsi="Arial"/>
          <w:sz w:val="14"/>
          <w:szCs w:val="14"/>
          <w:i w:val="1"/>
          <w:iCs w:val="1"/>
          <w:color w:val="auto"/>
        </w:rPr>
        <w:t>TAB</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serving students</w:t>
      </w:r>
    </w:p>
    <w:p>
      <w:pPr>
        <w:spacing w:after="0" w:line="1" w:lineRule="exact"/>
        <w:rPr>
          <w:sz w:val="20"/>
          <w:szCs w:val="20"/>
          <w:color w:val="auto"/>
        </w:rPr>
      </w:pPr>
    </w:p>
    <w:p>
      <w:pPr>
        <w:ind w:right="460"/>
        <w:spacing w:after="0" w:line="223" w:lineRule="auto"/>
        <w:rPr>
          <w:sz w:val="20"/>
          <w:szCs w:val="20"/>
          <w:color w:val="auto"/>
        </w:rPr>
      </w:pPr>
      <w:r>
        <w:rPr>
          <w:rFonts w:ascii="Arial" w:cs="Arial" w:eastAsia="Arial" w:hAnsi="Arial"/>
          <w:sz w:val="16"/>
          <w:szCs w:val="16"/>
          <w:color w:val="auto"/>
        </w:rPr>
        <w:t xml:space="preserve">grades 6 to 8; three </w:t>
      </w:r>
      <w:r>
        <w:rPr>
          <w:rFonts w:ascii="Arial" w:cs="Arial" w:eastAsia="Arial" w:hAnsi="Arial"/>
          <w:sz w:val="16"/>
          <w:szCs w:val="16"/>
          <w:i w:val="1"/>
          <w:iCs w:val="1"/>
          <w:color w:val="auto"/>
        </w:rPr>
        <w:t>Trumpet</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clubs, serving students pre-K to grade 6; and three </w:t>
      </w:r>
      <w:r>
        <w:rPr>
          <w:rFonts w:ascii="Arial" w:cs="Arial" w:eastAsia="Arial" w:hAnsi="Arial"/>
          <w:sz w:val="16"/>
          <w:szCs w:val="16"/>
          <w:i w:val="1"/>
          <w:iCs w:val="1"/>
          <w:color w:val="auto"/>
        </w:rPr>
        <w:t>Troll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/Carnival</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clubs, serving students K to grade 6. In addition to its regular periodic offerings, the Company creates special theme-based offers targeted to the different grade levels during the year, such as holiday offers, science offers, curriculum offers and Spanish language offers.</w:t>
      </w:r>
    </w:p>
    <w:p>
      <w:pPr>
        <w:spacing w:after="0" w:line="19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Company estimates that over 80% of all elementary school teachers in the United States participate in school-based book clubs, with substantially all of these teachers using Scholastic book clubs at least once during the school year. The Company believes that teachers participate in school-based book clubs because it is their opinion that quality books at affordable prices will be of interest to families and will improve students’ reading skills. The Company also believes that teachers participate because the school-based book clubs offer easy access to a broad range of books.</w:t>
      </w:r>
    </w:p>
    <w:p>
      <w:pPr>
        <w:spacing w:after="0" w:line="17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Company mails promotional materials containing order forms to teachers in the vast majority of the pre-K to grade 8 classrooms in the United States. Participation in any offer does not create an obligation to participate in any subsequent offer, nor does it preclude participation in other book clubs. Teachers who wish to participate in a school-based book club distribute the order forms to their students, who may choose from generally 75 or more selections at substantial reductions from list prices. The teacher consolidates the students’ orders and forwards them to the Company primarily by phone and mail and increasingly by the Internet, which in fiscal 2003 accounted for more than 20% of orders. The orders are then shipped to the teacher for distribution to the students. Teachers who participate in the book clubs receive bonus points for use by their school, which may be redeemed for the purchase of additional books and other items for their classrooms.</w:t>
      </w:r>
    </w:p>
    <w:p>
      <w:pPr>
        <w:spacing w:after="0" w:line="162" w:lineRule="exact"/>
        <w:rPr>
          <w:sz w:val="20"/>
          <w:szCs w:val="20"/>
          <w:color w:val="auto"/>
        </w:rPr>
      </w:pPr>
    </w:p>
    <w:p>
      <w:pPr>
        <w:ind w:right="420"/>
        <w:spacing w:after="0" w:line="358" w:lineRule="auto"/>
        <w:rPr>
          <w:sz w:val="20"/>
          <w:szCs w:val="20"/>
          <w:color w:val="auto"/>
        </w:rPr>
      </w:pPr>
      <w:r>
        <w:rPr>
          <w:rFonts w:ascii="Arial" w:cs="Arial" w:eastAsia="Arial" w:hAnsi="Arial"/>
          <w:sz w:val="14"/>
          <w:szCs w:val="14"/>
          <w:color w:val="auto"/>
        </w:rPr>
        <w:t>In its school-based book club business, the Company competes on the basis of book selection, price, promotion and customer service. The Company believes that its broad offerings of titles, many of which are distributed in this channel exclusively by Scholastic, combined with low costs and its efficient use of promotional mailings, enable the</w:t>
      </w:r>
    </w:p>
    <w:p>
      <w:pPr>
        <w:sectPr>
          <w:pgSz w:w="11900" w:h="16943" w:orient="portrait"/>
          <w:cols w:equalWidth="0" w:num="1">
            <w:col w:w="11440"/>
          </w:cols>
          <w:pgMar w:left="240" w:top="131" w:right="21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Company to compete effectively.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School-Based Book Fairs</w:t>
      </w:r>
    </w:p>
    <w:p>
      <w:pPr>
        <w:spacing w:after="0" w:line="25" w:lineRule="exact"/>
        <w:rPr>
          <w:sz w:val="20"/>
          <w:szCs w:val="20"/>
          <w:color w:val="auto"/>
        </w:rPr>
      </w:pPr>
    </w:p>
    <w:p>
      <w:pPr>
        <w:jc w:val="both"/>
        <w:ind w:right="200"/>
        <w:spacing w:after="0" w:line="265" w:lineRule="auto"/>
        <w:rPr>
          <w:sz w:val="20"/>
          <w:szCs w:val="20"/>
          <w:color w:val="auto"/>
        </w:rPr>
      </w:pPr>
      <w:r>
        <w:rPr>
          <w:rFonts w:ascii="Arial" w:cs="Arial" w:eastAsia="Arial" w:hAnsi="Arial"/>
          <w:sz w:val="16"/>
          <w:szCs w:val="16"/>
          <w:color w:val="auto"/>
        </w:rPr>
        <w:t>Scholastic entered the school-based book fair business in 1981. The Company has grown this business by expanding into new markets, including through selected acquisitions, and by increasing its business in existing markets by reaching new school customers, holding more fairs per year at its existing school customers and growing revenue on a per fair basis. The Company is the leading operator of school-based book fairs in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Book fairs are generally week-long events conducted on school premises, operated by school librarians and/or parent-teacher organizations. Book fair events provide children with access to hundreds of different titles and allow them to purchase books and other select products of their choice at the school. Although the Company provides the school with the books and book display cases, the school itself conducts the book fair. The Company believes that the primary motivation for schools sponsoring fairs is to make quality books available to their students at reasonable prices in order to stimulate interest in reading. In addition, the school retains a portion of the book fair revenues, which can then be used to purchase books, supplies and equipment for the school.</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 xml:space="preserve">The Company operates school-based book fairs in all 50 states under the name </w:t>
      </w:r>
      <w:r>
        <w:rPr>
          <w:rFonts w:ascii="Arial" w:cs="Arial" w:eastAsia="Arial" w:hAnsi="Arial"/>
          <w:sz w:val="16"/>
          <w:szCs w:val="16"/>
          <w:i w:val="1"/>
          <w:iCs w:val="1"/>
          <w:color w:val="auto"/>
        </w:rPr>
        <w:t>Scholastic Book Fairs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Books and display cases are delivered to schools from the Company’s warehouses by a fleet of leased vehicles. Sales and customer service functions are performed from regional sales offices, supported by field representatives. The Company believes that its competitive advantages in the book fair business include the strength of the relationship between its sales representatives and schools, broad geographic coverage, quality customer service and breadth of product selection. Over 90% of the schools that sponsored a Scholastic book fair in fiscal 2002 sponsored a Scholastic book fair again in fiscal 2003.</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Continuity Programs</w:t>
      </w:r>
    </w:p>
    <w:p>
      <w:pPr>
        <w:spacing w:after="0" w:line="25"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 xml:space="preserve">The Company operates continuity programs whereby children and their families generally place a single order and receive more than one shipment of books. Continuity programs are promoted through (i) direct-to-home offers primarily through direct mail, telemarketing and print and on-line advertisements, and (ii) offers in school-based book clubs. The Company’s direct-to-home continuity business, acquired as part of the Grolier acquisition, is the leading direct-to-home seller of children’s books primarily serving children age five and under. In fiscal 2003, the Company’s direct-to-home continuity business included Scholastic publishing properties, such as </w:t>
      </w:r>
      <w:r>
        <w:rPr>
          <w:rFonts w:ascii="Arial" w:cs="Arial" w:eastAsia="Arial" w:hAnsi="Arial"/>
          <w:sz w:val="14"/>
          <w:szCs w:val="14"/>
          <w:i w:val="1"/>
          <w:iCs w:val="1"/>
          <w:color w:val="auto"/>
        </w:rPr>
        <w:t>Clifford &amp; Company™</w:t>
      </w:r>
      <w:r>
        <w:rPr>
          <w:rFonts w:ascii="Arial" w:cs="Arial" w:eastAsia="Arial" w:hAnsi="Arial"/>
          <w:sz w:val="14"/>
          <w:szCs w:val="14"/>
          <w:color w:val="auto"/>
        </w:rPr>
        <w:t xml:space="preserve">, </w:t>
      </w:r>
      <w:r>
        <w:rPr>
          <w:rFonts w:ascii="Arial" w:cs="Arial" w:eastAsia="Arial" w:hAnsi="Arial"/>
          <w:sz w:val="14"/>
          <w:szCs w:val="14"/>
          <w:i w:val="1"/>
          <w:iCs w:val="1"/>
          <w:color w:val="auto"/>
        </w:rPr>
        <w:t>Hello Kitty™</w:t>
      </w:r>
      <w:r>
        <w:rPr>
          <w:rFonts w:ascii="Arial" w:cs="Arial" w:eastAsia="Arial" w:hAnsi="Arial"/>
          <w:sz w:val="14"/>
          <w:szCs w:val="14"/>
          <w:color w:val="auto"/>
        </w:rPr>
        <w:t xml:space="preserve">, </w:t>
      </w:r>
      <w:r>
        <w:rPr>
          <w:rFonts w:ascii="Arial" w:cs="Arial" w:eastAsia="Arial" w:hAnsi="Arial"/>
          <w:sz w:val="14"/>
          <w:szCs w:val="14"/>
          <w:i w:val="1"/>
          <w:iCs w:val="1"/>
          <w:color w:val="auto"/>
        </w:rPr>
        <w:t>Magic</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University™ </w:t>
      </w:r>
      <w:r>
        <w:rPr>
          <w:rFonts w:ascii="Arial" w:cs="Arial" w:eastAsia="Arial" w:hAnsi="Arial"/>
          <w:sz w:val="14"/>
          <w:szCs w:val="14"/>
          <w:color w:val="auto"/>
        </w:rPr>
        <w:t>and</w:t>
      </w:r>
      <w:r>
        <w:rPr>
          <w:rFonts w:ascii="Arial" w:cs="Arial" w:eastAsia="Arial" w:hAnsi="Arial"/>
          <w:sz w:val="14"/>
          <w:szCs w:val="14"/>
          <w:i w:val="1"/>
          <w:iCs w:val="1"/>
          <w:color w:val="auto"/>
        </w:rPr>
        <w:t xml:space="preserve"> Goosebumps™</w:t>
      </w:r>
      <w:r>
        <w:rPr>
          <w:rFonts w:ascii="Arial" w:cs="Arial" w:eastAsia="Arial" w:hAnsi="Arial"/>
          <w:sz w:val="14"/>
          <w:szCs w:val="14"/>
          <w:color w:val="auto"/>
        </w:rPr>
        <w:t>, as well as programs previously operated by Grolier, such as</w:t>
      </w:r>
      <w:r>
        <w:rPr>
          <w:rFonts w:ascii="Arial" w:cs="Arial" w:eastAsia="Arial" w:hAnsi="Arial"/>
          <w:sz w:val="14"/>
          <w:szCs w:val="14"/>
          <w:i w:val="1"/>
          <w:iCs w:val="1"/>
          <w:color w:val="auto"/>
        </w:rPr>
        <w:t xml:space="preserve"> Disney Book Club™</w:t>
      </w:r>
      <w:r>
        <w:rPr>
          <w:rFonts w:ascii="Arial" w:cs="Arial" w:eastAsia="Arial" w:hAnsi="Arial"/>
          <w:sz w:val="14"/>
          <w:szCs w:val="14"/>
          <w:color w:val="auto"/>
        </w:rPr>
        <w:t>,</w:t>
      </w:r>
      <w:r>
        <w:rPr>
          <w:rFonts w:ascii="Arial" w:cs="Arial" w:eastAsia="Arial" w:hAnsi="Arial"/>
          <w:sz w:val="14"/>
          <w:szCs w:val="14"/>
          <w:i w:val="1"/>
          <w:iCs w:val="1"/>
          <w:color w:val="auto"/>
        </w:rPr>
        <w:t xml:space="preserve"> Barbie™</w:t>
      </w:r>
      <w:r>
        <w:rPr>
          <w:rFonts w:ascii="Arial" w:cs="Arial" w:eastAsia="Arial" w:hAnsi="Arial"/>
          <w:sz w:val="14"/>
          <w:szCs w:val="14"/>
          <w:color w:val="auto"/>
        </w:rPr>
        <w:t>,</w:t>
      </w:r>
      <w:r>
        <w:rPr>
          <w:rFonts w:ascii="Arial" w:cs="Arial" w:eastAsia="Arial" w:hAnsi="Arial"/>
          <w:sz w:val="14"/>
          <w:szCs w:val="14"/>
          <w:i w:val="1"/>
          <w:iCs w:val="1"/>
          <w:color w:val="auto"/>
        </w:rPr>
        <w:t xml:space="preserve"> Dr. Seuss™ Beginning Readers Program </w:t>
      </w:r>
      <w:r>
        <w:rPr>
          <w:rFonts w:ascii="Arial" w:cs="Arial" w:eastAsia="Arial" w:hAnsi="Arial"/>
          <w:sz w:val="14"/>
          <w:szCs w:val="14"/>
          <w:color w:val="auto"/>
        </w:rPr>
        <w:t>and</w:t>
      </w:r>
      <w:r>
        <w:rPr>
          <w:rFonts w:ascii="Arial" w:cs="Arial" w:eastAsia="Arial" w:hAnsi="Arial"/>
          <w:sz w:val="14"/>
          <w:szCs w:val="14"/>
          <w:i w:val="1"/>
          <w:iCs w:val="1"/>
          <w:color w:val="auto"/>
        </w:rPr>
        <w:t xml:space="preserve"> The New Book of Knowledge Encyclopedia</w:t>
      </w:r>
      <w:r>
        <w:rPr>
          <w:rFonts w:ascii="Arial" w:cs="Arial" w:eastAsia="Arial" w:hAnsi="Arial"/>
          <w:sz w:val="23"/>
          <w:szCs w:val="23"/>
          <w:i w:val="1"/>
          <w:iCs w:val="1"/>
          <w:color w:val="auto"/>
          <w:vertAlign w:val="superscript"/>
        </w:rPr>
        <w:t>TM</w:t>
      </w:r>
      <w:r>
        <w:rPr>
          <w:rFonts w:ascii="Arial" w:cs="Arial" w:eastAsia="Arial" w:hAnsi="Arial"/>
          <w:sz w:val="14"/>
          <w:szCs w:val="14"/>
          <w:color w:val="auto"/>
        </w:rPr>
        <w:t>. In April 2002, the Company acquired Baby’s First Book Club</w:t>
      </w:r>
      <w:r>
        <w:rPr>
          <w:rFonts w:ascii="Arial" w:cs="Arial" w:eastAsia="Arial" w:hAnsi="Arial"/>
          <w:sz w:val="23"/>
          <w:szCs w:val="23"/>
          <w:color w:val="auto"/>
          <w:vertAlign w:val="superscript"/>
        </w:rPr>
        <w:t>®</w:t>
      </w:r>
      <w:r>
        <w:rPr>
          <w:rFonts w:ascii="Arial" w:cs="Arial" w:eastAsia="Arial" w:hAnsi="Arial"/>
          <w:sz w:val="14"/>
          <w:szCs w:val="14"/>
          <w:color w:val="auto"/>
        </w:rPr>
        <w:t>, a direct marketer through continuity programs of age-appropriate</w:t>
      </w:r>
    </w:p>
    <w:p>
      <w:pPr>
        <w:spacing w:after="0" w:line="3" w:lineRule="exact"/>
        <w:rPr>
          <w:sz w:val="20"/>
          <w:szCs w:val="20"/>
          <w:color w:val="auto"/>
        </w:rPr>
      </w:pPr>
    </w:p>
    <w:p>
      <w:pPr>
        <w:jc w:val="both"/>
        <w:ind w:right="140"/>
        <w:spacing w:after="0" w:line="211" w:lineRule="auto"/>
        <w:rPr>
          <w:sz w:val="20"/>
          <w:szCs w:val="20"/>
          <w:color w:val="auto"/>
        </w:rPr>
      </w:pPr>
      <w:r>
        <w:rPr>
          <w:rFonts w:ascii="Arial" w:cs="Arial" w:eastAsia="Arial" w:hAnsi="Arial"/>
          <w:sz w:val="16"/>
          <w:szCs w:val="16"/>
          <w:color w:val="auto"/>
        </w:rPr>
        <w:t xml:space="preserve">books and toys for young children. Continuity programs offered primarily through Scholastic’s school-based book clubs include </w:t>
      </w:r>
      <w:r>
        <w:rPr>
          <w:rFonts w:ascii="Arial" w:cs="Arial" w:eastAsia="Arial" w:hAnsi="Arial"/>
          <w:sz w:val="16"/>
          <w:szCs w:val="16"/>
          <w:i w:val="1"/>
          <w:iCs w:val="1"/>
          <w:color w:val="auto"/>
        </w:rPr>
        <w:t>Spy University</w:t>
      </w:r>
      <w:r>
        <w:rPr>
          <w:rFonts w:ascii="Arial" w:cs="Arial" w:eastAsia="Arial" w:hAnsi="Arial"/>
          <w:sz w:val="26"/>
          <w:szCs w:val="26"/>
          <w:i w:val="1"/>
          <w:iCs w:val="1"/>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Clifford The Big Red Dog™,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Nick Jr., Thomas the Tank Engine </w:t>
      </w:r>
      <w:r>
        <w:rPr>
          <w:rFonts w:ascii="Arial" w:cs="Arial" w:eastAsia="Arial" w:hAnsi="Arial"/>
          <w:sz w:val="16"/>
          <w:szCs w:val="16"/>
          <w:color w:val="auto"/>
        </w:rPr>
        <w:t>and</w:t>
      </w:r>
      <w:r>
        <w:rPr>
          <w:rFonts w:ascii="Arial" w:cs="Arial" w:eastAsia="Arial" w:hAnsi="Arial"/>
          <w:sz w:val="16"/>
          <w:szCs w:val="16"/>
          <w:i w:val="1"/>
          <w:iCs w:val="1"/>
          <w:color w:val="auto"/>
        </w:rPr>
        <w:t xml:space="preserve"> Scooby Doo.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Scholastic is one of the leading sellers of children’s books through bookstores and mass merchandisers in the United States. The Company maintains over 6,000 titles for trade</w:t>
      </w:r>
    </w:p>
    <w:p>
      <w:pPr>
        <w:spacing w:after="0" w:line="36" w:lineRule="exact"/>
        <w:rPr>
          <w:sz w:val="20"/>
          <w:szCs w:val="20"/>
          <w:color w:val="auto"/>
        </w:rPr>
      </w:pPr>
    </w:p>
    <w:p>
      <w:pPr>
        <w:ind w:right="140"/>
        <w:spacing w:after="0" w:line="214" w:lineRule="auto"/>
        <w:rPr>
          <w:sz w:val="20"/>
          <w:szCs w:val="20"/>
          <w:color w:val="auto"/>
        </w:rPr>
      </w:pPr>
      <w:r>
        <w:rPr>
          <w:rFonts w:ascii="Arial" w:cs="Arial" w:eastAsia="Arial" w:hAnsi="Arial"/>
          <w:sz w:val="16"/>
          <w:szCs w:val="16"/>
          <w:color w:val="auto"/>
        </w:rPr>
        <w:t xml:space="preserve">distribution. Scholastic’s original publications include </w:t>
      </w:r>
      <w:r>
        <w:rPr>
          <w:rFonts w:ascii="Arial" w:cs="Arial" w:eastAsia="Arial" w:hAnsi="Arial"/>
          <w:sz w:val="16"/>
          <w:szCs w:val="16"/>
          <w:i w:val="1"/>
          <w:iCs w:val="1"/>
          <w:color w:val="auto"/>
        </w:rPr>
        <w:t>Harry Potter</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 Spy™</w:t>
      </w:r>
      <w:r>
        <w:rPr>
          <w:rFonts w:ascii="Arial" w:cs="Arial" w:eastAsia="Arial" w:hAnsi="Arial"/>
          <w:sz w:val="16"/>
          <w:szCs w:val="16"/>
          <w:color w:val="auto"/>
        </w:rPr>
        <w:t xml:space="preserve">, </w:t>
      </w:r>
      <w:r>
        <w:rPr>
          <w:rFonts w:ascii="Arial" w:cs="Arial" w:eastAsia="Arial" w:hAnsi="Arial"/>
          <w:sz w:val="16"/>
          <w:szCs w:val="16"/>
          <w:i w:val="1"/>
          <w:iCs w:val="1"/>
          <w:color w:val="auto"/>
        </w:rPr>
        <w:t>Clifford The Big Red Dog</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Goosebumps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Dear America</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Baby-sitters Club</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Magic</w:t>
      </w:r>
      <w:r>
        <w:rPr>
          <w:rFonts w:ascii="Arial" w:cs="Arial" w:eastAsia="Arial" w:hAnsi="Arial"/>
          <w:sz w:val="16"/>
          <w:szCs w:val="16"/>
          <w:color w:val="auto"/>
        </w:rPr>
        <w:t xml:space="preserve"> </w:t>
      </w:r>
      <w:r>
        <w:rPr>
          <w:rFonts w:ascii="Arial" w:cs="Arial" w:eastAsia="Arial" w:hAnsi="Arial"/>
          <w:sz w:val="16"/>
          <w:szCs w:val="16"/>
          <w:i w:val="1"/>
          <w:iCs w:val="1"/>
          <w:color w:val="auto"/>
        </w:rPr>
        <w:t>School Bus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Captain Underpants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Miss Spider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licensed properties such as</w:t>
      </w:r>
      <w:r>
        <w:rPr>
          <w:rFonts w:ascii="Arial" w:cs="Arial" w:eastAsia="Arial" w:hAnsi="Arial"/>
          <w:sz w:val="16"/>
          <w:szCs w:val="16"/>
          <w:i w:val="1"/>
          <w:iCs w:val="1"/>
          <w:color w:val="auto"/>
        </w:rPr>
        <w:t xml:space="preserve"> Barney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Star Wars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Scooby Doo</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In April 2002, the Company purchased Klutz, a</w:t>
      </w:r>
      <w:r>
        <w:rPr>
          <w:rFonts w:ascii="Arial" w:cs="Arial" w:eastAsia="Arial" w:hAnsi="Arial"/>
          <w:sz w:val="16"/>
          <w:szCs w:val="16"/>
          <w:i w:val="1"/>
          <w:iCs w:val="1"/>
          <w:color w:val="auto"/>
        </w:rPr>
        <w:t xml:space="preserve"> </w:t>
      </w:r>
      <w:r>
        <w:rPr>
          <w:rFonts w:ascii="Arial" w:cs="Arial" w:eastAsia="Arial" w:hAnsi="Arial"/>
          <w:sz w:val="16"/>
          <w:szCs w:val="16"/>
          <w:color w:val="auto"/>
        </w:rPr>
        <w:t>publisher and creator of “books plus” products for children. The Company’s trade sales organization focuses on marketing and selling Scholastic’s publishing properties to book store accounts, mass merchandisers and specialty sales outlets.</w:t>
      </w:r>
    </w:p>
    <w:p>
      <w:pPr>
        <w:spacing w:after="0" w:line="18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The Company’s fiscal 2003 sales in the trade market were led by the </w:t>
      </w:r>
      <w:r>
        <w:rPr>
          <w:rFonts w:ascii="Arial" w:cs="Arial" w:eastAsia="Arial" w:hAnsi="Arial"/>
          <w:sz w:val="16"/>
          <w:szCs w:val="16"/>
          <w:i w:val="1"/>
          <w:iCs w:val="1"/>
          <w:color w:val="auto"/>
        </w:rPr>
        <w:t>Harry Potter</w:t>
      </w:r>
      <w:r>
        <w:rPr>
          <w:rFonts w:ascii="Arial" w:cs="Arial" w:eastAsia="Arial" w:hAnsi="Arial"/>
          <w:sz w:val="16"/>
          <w:szCs w:val="16"/>
          <w:color w:val="auto"/>
        </w:rPr>
        <w:t xml:space="preserve"> books. Other Scholastic bestsellers during fiscal 2003 included books from the </w:t>
      </w:r>
      <w:r>
        <w:rPr>
          <w:rFonts w:ascii="Arial" w:cs="Arial" w:eastAsia="Arial" w:hAnsi="Arial"/>
          <w:sz w:val="16"/>
          <w:szCs w:val="16"/>
          <w:i w:val="1"/>
          <w:iCs w:val="1"/>
          <w:color w:val="auto"/>
        </w:rPr>
        <w:t>Clifford The Big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 Dog, I Spy, Dear America </w:t>
      </w:r>
      <w:r>
        <w:rPr>
          <w:rFonts w:ascii="Arial" w:cs="Arial" w:eastAsia="Arial" w:hAnsi="Arial"/>
          <w:sz w:val="16"/>
          <w:szCs w:val="16"/>
          <w:color w:val="auto"/>
        </w:rPr>
        <w:t>and</w:t>
      </w:r>
      <w:r>
        <w:rPr>
          <w:rFonts w:ascii="Arial" w:cs="Arial" w:eastAsia="Arial" w:hAnsi="Arial"/>
          <w:sz w:val="16"/>
          <w:szCs w:val="16"/>
          <w:i w:val="1"/>
          <w:iCs w:val="1"/>
          <w:color w:val="auto"/>
        </w:rPr>
        <w:t xml:space="preserve"> Captain Underpants </w:t>
      </w:r>
      <w:r>
        <w:rPr>
          <w:rFonts w:ascii="Arial" w:cs="Arial" w:eastAsia="Arial" w:hAnsi="Arial"/>
          <w:sz w:val="16"/>
          <w:szCs w:val="16"/>
          <w:color w:val="auto"/>
        </w:rPr>
        <w:t>series.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EDUCATIONAL PUBLISHING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(16.6% of fiscal 2003 revenues)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includes the publication and distribution to schools and libraries of curriculum materials, classroom magazines and print and on-line reference and non-fiction products for grades pre-K to 12 in the United States.</w:t>
      </w:r>
    </w:p>
    <w:p>
      <w:pPr>
        <w:spacing w:after="0" w:line="164"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Scholastic has been providing quality innovative educational materials to schools and libraries since it began publishing classroom magazines in the 1920’s. The Company added supplementary books and texts to its product line in the 1960’s, professional books for teachers in the 1980’s and early childhood products and core curriculum materials in the 1990’s. In 1996, the Company strengthened its Spanish language offerings through the acquisition of Lectorum Publications, Inc.,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 xml:space="preserve">the largest Spanish language book distributor to schools and libraries in the United States. Through the acquisition of Grolier in June 2000, the Company became the leading print and on-line publisher of children’s reference and non-fiction products sold primarily to school libraries in the United States. The Company markets and sells its </w:t>
      </w:r>
      <w:r>
        <w:rPr>
          <w:rFonts w:ascii="Arial" w:cs="Arial" w:eastAsia="Arial" w:hAnsi="Arial"/>
          <w:sz w:val="16"/>
          <w:szCs w:val="16"/>
          <w:i w:val="1"/>
          <w:iCs w:val="1"/>
          <w:color w:val="auto"/>
        </w:rPr>
        <w:t>Educational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w:t>
      </w:r>
      <w:r>
        <w:rPr>
          <w:rFonts w:ascii="Arial" w:cs="Arial" w:eastAsia="Arial" w:hAnsi="Arial"/>
          <w:sz w:val="16"/>
          <w:szCs w:val="16"/>
          <w:color w:val="auto"/>
        </w:rPr>
        <w:t>products through a combination of field representatives, direct mail and telemarketing.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Curriculum Publishing and Teaching Resources</w:t>
      </w:r>
    </w:p>
    <w:p>
      <w:pPr>
        <w:spacing w:after="0" w:line="2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Company’s curriculum publishing and teaching resources operations develop and distribute instructional materials directly to schools in the United States, primarily purchased through school and district budgets. These operations include reading improvement programs, individual paperbacks and collections and professional books designed for, and generally purchased by, teachers.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Company focuses its supplemental and core publishing efforts on reading improvement materials. Scholastic’s reading improvement programs are led by </w:t>
      </w:r>
      <w:r>
        <w:rPr>
          <w:rFonts w:ascii="Arial" w:cs="Arial" w:eastAsia="Arial" w:hAnsi="Arial"/>
          <w:sz w:val="15"/>
          <w:szCs w:val="15"/>
          <w:i w:val="1"/>
          <w:iCs w:val="1"/>
          <w:color w:val="auto"/>
        </w:rPr>
        <w:t>Read 180</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a</w:t>
      </w:r>
    </w:p>
    <w:p>
      <w:pPr>
        <w:ind w:right="180"/>
        <w:spacing w:after="0" w:line="239" w:lineRule="auto"/>
        <w:rPr>
          <w:sz w:val="20"/>
          <w:szCs w:val="20"/>
          <w:color w:val="auto"/>
        </w:rPr>
      </w:pPr>
      <w:r>
        <w:rPr>
          <w:rFonts w:ascii="Arial" w:cs="Arial" w:eastAsia="Arial" w:hAnsi="Arial"/>
          <w:sz w:val="14"/>
          <w:szCs w:val="14"/>
          <w:color w:val="auto"/>
        </w:rPr>
        <w:t xml:space="preserve">reading intervention program for students in grades 4 to 12 reading at least two years below grade level, and other technology-based products such as </w:t>
      </w:r>
      <w:r>
        <w:rPr>
          <w:rFonts w:ascii="Arial" w:cs="Arial" w:eastAsia="Arial" w:hAnsi="Arial"/>
          <w:sz w:val="14"/>
          <w:szCs w:val="14"/>
          <w:i w:val="1"/>
          <w:iCs w:val="1"/>
          <w:color w:val="auto"/>
        </w:rPr>
        <w:t>Wiggleworks</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which assists in teaching reading to students, and </w:t>
      </w:r>
      <w:r>
        <w:rPr>
          <w:rFonts w:ascii="Arial" w:cs="Arial" w:eastAsia="Arial" w:hAnsi="Arial"/>
          <w:sz w:val="14"/>
          <w:szCs w:val="14"/>
          <w:i w:val="1"/>
          <w:iCs w:val="1"/>
          <w:color w:val="auto"/>
        </w:rPr>
        <w:t>Scholastic Reading Counts!™,</w:t>
      </w:r>
      <w:r>
        <w:rPr>
          <w:rFonts w:ascii="Arial" w:cs="Arial" w:eastAsia="Arial" w:hAnsi="Arial"/>
          <w:sz w:val="14"/>
          <w:szCs w:val="14"/>
          <w:color w:val="auto"/>
        </w:rPr>
        <w:t xml:space="preserve"> which encourages reading through a school-managed incentive program. Other reading improvement</w:t>
      </w:r>
    </w:p>
    <w:p>
      <w:pPr>
        <w:spacing w:after="0" w:line="1"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 xml:space="preserve">products include </w:t>
      </w:r>
      <w:r>
        <w:rPr>
          <w:rFonts w:ascii="Arial" w:cs="Arial" w:eastAsia="Arial" w:hAnsi="Arial"/>
          <w:sz w:val="15"/>
          <w:szCs w:val="15"/>
          <w:i w:val="1"/>
          <w:iCs w:val="1"/>
          <w:color w:val="auto"/>
        </w:rPr>
        <w:t>Scholastic Read XL</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a program for students in grades 6 to 8, which provides high-interest and increasingly demanding text to assist students reading one to three years below grade level; </w:t>
      </w:r>
      <w:r>
        <w:rPr>
          <w:rFonts w:ascii="Arial" w:cs="Arial" w:eastAsia="Arial" w:hAnsi="Arial"/>
          <w:sz w:val="15"/>
          <w:szCs w:val="15"/>
          <w:i w:val="1"/>
          <w:iCs w:val="1"/>
          <w:color w:val="auto"/>
        </w:rPr>
        <w:t>Building Language for Literacy™,</w:t>
      </w:r>
      <w:r>
        <w:rPr>
          <w:rFonts w:ascii="Arial" w:cs="Arial" w:eastAsia="Arial" w:hAnsi="Arial"/>
          <w:sz w:val="15"/>
          <w:szCs w:val="15"/>
          <w:color w:val="auto"/>
        </w:rPr>
        <w:t xml:space="preserve"> a program of books and audio tapes to guide children through the critical pre-K to K stages of literacy development; and </w:t>
      </w:r>
      <w:r>
        <w:rPr>
          <w:rFonts w:ascii="Arial" w:cs="Arial" w:eastAsia="Arial" w:hAnsi="Arial"/>
          <w:sz w:val="15"/>
          <w:szCs w:val="15"/>
          <w:i w:val="1"/>
          <w:iCs w:val="1"/>
          <w:color w:val="auto"/>
        </w:rPr>
        <w:t>Scholastic Phonics Reading Program™,</w:t>
      </w:r>
      <w:r>
        <w:rPr>
          <w:rFonts w:ascii="Arial" w:cs="Arial" w:eastAsia="Arial" w:hAnsi="Arial"/>
          <w:sz w:val="15"/>
          <w:szCs w:val="15"/>
          <w:color w:val="auto"/>
        </w:rPr>
        <w:t xml:space="preserve"> which is a beginning phonics instruction program for grades K to 1. In December 2001, the Company acquired the assets of Tom Snyder Productions, Inc., a leading developer and publisher of interactive educational software.</w:t>
      </w:r>
    </w:p>
    <w:p>
      <w:pPr>
        <w:sectPr>
          <w:pgSz w:w="11900" w:h="16838" w:orient="portrait"/>
          <w:cols w:equalWidth="0" w:num="1">
            <w:col w:w="11420"/>
          </w:cols>
          <w:pgMar w:left="240" w:top="131" w:right="239" w:bottom="110" w:gutter="0" w:footer="0" w:header="0"/>
        </w:sectPr>
      </w:pPr>
    </w:p>
    <w:bookmarkStart w:id="3" w:name="page4"/>
    <w:bookmarkEnd w:id="3"/>
    <w:p>
      <w:pPr>
        <w:ind w:right="60"/>
        <w:spacing w:after="0" w:line="263" w:lineRule="auto"/>
        <w:rPr>
          <w:sz w:val="20"/>
          <w:szCs w:val="20"/>
          <w:color w:val="auto"/>
        </w:rPr>
      </w:pPr>
      <w:r>
        <w:rPr>
          <w:rFonts w:ascii="Arial" w:cs="Arial" w:eastAsia="Arial" w:hAnsi="Arial"/>
          <w:sz w:val="16"/>
          <w:szCs w:val="16"/>
          <w:color w:val="auto"/>
        </w:rPr>
        <w:t>The teaching resources group publishes professional books designed for and generally purchased by teachers and distributes individual paperbacks and collections to schools and school districts. In addition, the Company provides paperbacks and collections to literacy organizations. In fiscal 2002, the Company launched an on-line Teacher Store, which provides professional books and other educational materials to schools and teachers. Scholastic.com is a leading website for teachers and classrooms, offering multimedia teaching units, lesson plans, teaching tools and on-line activities. In April 2002, the Company acquired Teacher’s Friend Publications, Inc., a leading producer and marketer of materials that teachers use to decorate their classrooms.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Classroom Magazines</w:t>
      </w:r>
    </w:p>
    <w:p>
      <w:pPr>
        <w:spacing w:after="0" w:line="2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Scholastic is a leading publisher of classroom magazines. Teachers in grades K to 12 use these magazines as supplementary educational materials. Publishing the Company’s classroom magazines under the Scholastic name reinforces the Company’s educational reputation with students, teachers and school administrators. The Company believes that publishing quality magazines, maintaining an extensive magazine mailing list and having a large customer base of teachers helps generate customers for its school-based book clubs and other Scholastic products. At the same time, the Company leverages its school-based book club mailings to help secure additional circulation for its classroom magazines.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The Company believes that its magazines play an important role in educating students about world events at an age appropriate level. The Company’s 34 classroom magazines supplement the school’s formal learning program by bringing subjects of current interest into the classroom. The magazines are designed to encourage students to read and also to cover diverse subjects, including English, reading, literature, math, science, current events, social studies and foreign languages. The most well known of the Company’s domestic magazines are </w:t>
      </w:r>
      <w:r>
        <w:rPr>
          <w:rFonts w:ascii="Arial" w:cs="Arial" w:eastAsia="Arial" w:hAnsi="Arial"/>
          <w:sz w:val="16"/>
          <w:szCs w:val="16"/>
          <w:i w:val="1"/>
          <w:iCs w:val="1"/>
          <w:color w:val="auto"/>
        </w:rPr>
        <w:t>Scholastic News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Junior Scholastic</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Scholastic’s classroom magazine circulation in the United States in fiscal 2003 was more than 7.5 million, with approximately two-thirds of the circulation in grades K to 6. In fiscal 2003, teachers in over 60% of the elementary schools and in over 70% of the secondary schools in the United States used the Company’s classroom magazines. The various classroom magazines are distributed either on a weekly, bi-weekly or monthly basis during the school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majority of the magazines purchased are paid for with school funds, with teachers or students paying for the balance. Circulation revenue accounted for substantially all of the classroom magazine revenues in fiscal 2003.</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Library Publishing</w:t>
      </w:r>
    </w:p>
    <w:p>
      <w:pPr>
        <w:spacing w:after="0" w:line="25" w:lineRule="exact"/>
        <w:rPr>
          <w:sz w:val="20"/>
          <w:szCs w:val="20"/>
          <w:color w:val="auto"/>
        </w:rPr>
      </w:pPr>
    </w:p>
    <w:p>
      <w:pPr>
        <w:ind w:right="80"/>
        <w:spacing w:after="0" w:line="223" w:lineRule="auto"/>
        <w:rPr>
          <w:sz w:val="20"/>
          <w:szCs w:val="20"/>
          <w:color w:val="auto"/>
        </w:rPr>
      </w:pPr>
      <w:r>
        <w:rPr>
          <w:rFonts w:ascii="Arial" w:cs="Arial" w:eastAsia="Arial" w:hAnsi="Arial"/>
          <w:sz w:val="16"/>
          <w:szCs w:val="16"/>
          <w:color w:val="auto"/>
        </w:rPr>
        <w:t xml:space="preserve">Scholastic is a leading publisher of quality children’s reference and non-fiction products, and encyclopedias sold primarily to schools and libraries in the United States. Products include </w:t>
      </w:r>
      <w:r>
        <w:rPr>
          <w:rFonts w:ascii="Arial" w:cs="Arial" w:eastAsia="Arial" w:hAnsi="Arial"/>
          <w:sz w:val="16"/>
          <w:szCs w:val="16"/>
          <w:i w:val="1"/>
          <w:iCs w:val="1"/>
          <w:color w:val="auto"/>
        </w:rPr>
        <w:t>Encyclopedia Americana</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New Book of Knowledge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Cumbre™,</w:t>
      </w:r>
      <w:r>
        <w:rPr>
          <w:rFonts w:ascii="Arial" w:cs="Arial" w:eastAsia="Arial" w:hAnsi="Arial"/>
          <w:sz w:val="16"/>
          <w:szCs w:val="16"/>
          <w:color w:val="auto"/>
        </w:rPr>
        <w:t xml:space="preserve"> a Spanish language encyclopedia; and reference materials published under the Grolier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name. Grolier Online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provides subscriptions to reference databases for schools and libraries. The Company’s products also include non-fiction books published in the United States under the imprints Children’s Press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Franklin Watts</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LICENSING AND ADVERTISING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(6.3% of fiscal 2003 revenues)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5"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 xml:space="preserve">The Company’s </w:t>
      </w:r>
      <w:r>
        <w:rPr>
          <w:rFonts w:ascii="Arial" w:cs="Arial" w:eastAsia="Arial" w:hAnsi="Arial"/>
          <w:sz w:val="15"/>
          <w:szCs w:val="15"/>
          <w:i w:val="1"/>
          <w:iCs w:val="1"/>
          <w:color w:val="auto"/>
        </w:rPr>
        <w:t>Media, Licensing and Advertising</w:t>
      </w:r>
      <w:r>
        <w:rPr>
          <w:rFonts w:ascii="Arial" w:cs="Arial" w:eastAsia="Arial" w:hAnsi="Arial"/>
          <w:sz w:val="15"/>
          <w:szCs w:val="15"/>
          <w:color w:val="auto"/>
        </w:rPr>
        <w:t xml:space="preserve"> segment includes the production and/or distribution of software in the United States, the production and/or distribution by and through the Company’s subsidiary, Scholastic Entertainment Inc. (“SEI”), of programming and consumer products (including children’s television programming, videos, software, feature films, promotional activities and non-book merchandise), and advertising revenue, including sponsorship programs.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and Distribution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SEI extends the Company’s franchises by creating programming and managing global brands based on Scholastic’s publishing properties. It also creates original programming</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concepts and options properties from other publishers. SEI develops and produces children’s television programming, videos, software, feature films, branded web sites, brand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marketing campaigns including consumer promotions and non-book consumer products. SEI’s multimedia programming generates revenues for branded merchandise and tie-in</w:t>
      </w:r>
    </w:p>
    <w:p>
      <w:pPr>
        <w:spacing w:after="0" w:line="36" w:lineRule="exact"/>
        <w:rPr>
          <w:sz w:val="20"/>
          <w:szCs w:val="20"/>
          <w:color w:val="auto"/>
        </w:rPr>
      </w:pPr>
    </w:p>
    <w:p>
      <w:pPr>
        <w:ind w:right="560"/>
        <w:spacing w:after="0" w:line="214" w:lineRule="auto"/>
        <w:rPr>
          <w:sz w:val="20"/>
          <w:szCs w:val="20"/>
          <w:color w:val="auto"/>
        </w:rPr>
      </w:pPr>
      <w:r>
        <w:rPr>
          <w:rFonts w:ascii="Arial" w:cs="Arial" w:eastAsia="Arial" w:hAnsi="Arial"/>
          <w:sz w:val="16"/>
          <w:szCs w:val="16"/>
          <w:color w:val="auto"/>
        </w:rPr>
        <w:t>publishing worldwide. In December 2001, the Company acquired Soup2Nuts</w:t>
      </w:r>
      <w:r>
        <w:rPr>
          <w:rFonts w:ascii="Arial" w:cs="Arial" w:eastAsia="Arial" w:hAnsi="Arial"/>
          <w:sz w:val="26"/>
          <w:szCs w:val="26"/>
          <w:color w:val="auto"/>
          <w:vertAlign w:val="superscript"/>
        </w:rPr>
        <w:t>TM</w:t>
      </w:r>
      <w:r>
        <w:rPr>
          <w:rFonts w:ascii="Arial" w:cs="Arial" w:eastAsia="Arial" w:hAnsi="Arial"/>
          <w:sz w:val="16"/>
          <w:szCs w:val="16"/>
          <w:color w:val="auto"/>
        </w:rPr>
        <w:t>, an award-winning producer of animated television and web programming, as part of the acquisition of the assets of Tom Snyder Productions, Inc.</w:t>
      </w:r>
    </w:p>
    <w:p>
      <w:pPr>
        <w:spacing w:after="0" w:line="1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 xml:space="preserve">SEI has built a television library of over 285 half-hour productions including: </w:t>
      </w:r>
      <w:r>
        <w:rPr>
          <w:rFonts w:ascii="Arial" w:cs="Arial" w:eastAsia="Arial" w:hAnsi="Arial"/>
          <w:sz w:val="14"/>
          <w:szCs w:val="14"/>
          <w:i w:val="1"/>
          <w:iCs w:val="1"/>
          <w:color w:val="auto"/>
        </w:rPr>
        <w:t>Clifford The Big Red Dog</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Scholastic’s </w:t>
      </w:r>
      <w:r>
        <w:rPr>
          <w:rFonts w:ascii="Arial" w:cs="Arial" w:eastAsia="Arial" w:hAnsi="Arial"/>
          <w:sz w:val="14"/>
          <w:szCs w:val="14"/>
          <w:i w:val="1"/>
          <w:iCs w:val="1"/>
          <w:color w:val="auto"/>
        </w:rPr>
        <w:t>The Magic School Bus</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I Spy</w:t>
      </w:r>
      <w:r>
        <w:rPr>
          <w:rFonts w:ascii="Arial" w:cs="Arial" w:eastAsia="Arial" w:hAnsi="Arial"/>
          <w:sz w:val="23"/>
          <w:szCs w:val="23"/>
          <w:i w:val="1"/>
          <w:iCs w:val="1"/>
          <w:color w:val="auto"/>
          <w:vertAlign w:val="superscript"/>
        </w:rPr>
        <w:t>TM</w:t>
      </w:r>
      <w:r>
        <w:rPr>
          <w:rFonts w:ascii="Arial" w:cs="Arial" w:eastAsia="Arial" w:hAnsi="Arial"/>
          <w:sz w:val="14"/>
          <w:szCs w:val="14"/>
          <w:i w:val="1"/>
          <w:iCs w:val="1"/>
          <w:color w:val="auto"/>
        </w:rPr>
        <w:t>, Goosebumps</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Animorphs</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Dear America</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and</w:t>
      </w:r>
      <w:r>
        <w:rPr>
          <w:rFonts w:ascii="Arial" w:cs="Arial" w:eastAsia="Arial" w:hAnsi="Arial"/>
          <w:sz w:val="14"/>
          <w:szCs w:val="14"/>
          <w:i w:val="1"/>
          <w:iCs w:val="1"/>
          <w:color w:val="auto"/>
        </w:rPr>
        <w:t xml:space="preserve"> The Baby-sitters Club</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These television series collectively have been licensed for broadcast in more than 80 countries. Since its launch,</w:t>
      </w:r>
      <w:r>
        <w:rPr>
          <w:rFonts w:ascii="Arial" w:cs="Arial" w:eastAsia="Arial" w:hAnsi="Arial"/>
          <w:sz w:val="14"/>
          <w:szCs w:val="14"/>
          <w:i w:val="1"/>
          <w:iCs w:val="1"/>
          <w:color w:val="auto"/>
        </w:rPr>
        <w:t xml:space="preserve"> Clifford The Big Red Dog, </w:t>
      </w:r>
      <w:r>
        <w:rPr>
          <w:rFonts w:ascii="Arial" w:cs="Arial" w:eastAsia="Arial" w:hAnsi="Arial"/>
          <w:sz w:val="14"/>
          <w:szCs w:val="14"/>
          <w:color w:val="auto"/>
        </w:rPr>
        <w:t>an animated television series based on the Company’s best-selling books by Norman Bridwell, has been nominated for 14 Emmy awards and has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become a top rated show. A total of 65 episodes have been produced to date, and the show has aired in over 60 countries. During fiscal 2003, SEI commenced production of a feature length Clifford film for Warner Home Entertainment, which is expected to be released in 2004. The Company also commenced production of 25 episodes of a new series, </w:t>
      </w:r>
      <w:r>
        <w:rPr>
          <w:rFonts w:ascii="Arial" w:cs="Arial" w:eastAsia="Arial" w:hAnsi="Arial"/>
          <w:sz w:val="14"/>
          <w:szCs w:val="14"/>
          <w:i w:val="1"/>
          <w:iCs w:val="1"/>
          <w:color w:val="auto"/>
        </w:rPr>
        <w:t xml:space="preserve">Clifford’s Puppy Days, </w:t>
      </w:r>
      <w:r>
        <w:rPr>
          <w:rFonts w:ascii="Arial" w:cs="Arial" w:eastAsia="Arial" w:hAnsi="Arial"/>
          <w:sz w:val="14"/>
          <w:szCs w:val="14"/>
          <w:color w:val="auto"/>
        </w:rPr>
        <w:t>for PBS Kids, which is scheduled to launch in the Fall of 2003. In fiscal 2003, SEI launched 13 episodes of</w:t>
      </w:r>
      <w:r>
        <w:rPr>
          <w:rFonts w:ascii="Arial" w:cs="Arial" w:eastAsia="Arial" w:hAnsi="Arial"/>
          <w:sz w:val="14"/>
          <w:szCs w:val="14"/>
          <w:i w:val="1"/>
          <w:iCs w:val="1"/>
          <w:color w:val="auto"/>
        </w:rPr>
        <w:t xml:space="preserve"> I Spy </w:t>
      </w:r>
      <w:r>
        <w:rPr>
          <w:rFonts w:ascii="Arial" w:cs="Arial" w:eastAsia="Arial" w:hAnsi="Arial"/>
          <w:sz w:val="14"/>
          <w:szCs w:val="14"/>
          <w:color w:val="auto"/>
        </w:rPr>
        <w:t>on HBO Family, based on the Company’s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best-selling book series, which received an Emmy award in May 2003. Thirteen additional </w:t>
      </w:r>
      <w:r>
        <w:rPr>
          <w:rFonts w:ascii="Arial" w:cs="Arial" w:eastAsia="Arial" w:hAnsi="Arial"/>
          <w:sz w:val="14"/>
          <w:szCs w:val="14"/>
          <w:i w:val="1"/>
          <w:iCs w:val="1"/>
          <w:color w:val="auto"/>
        </w:rPr>
        <w:t>I Spy</w:t>
      </w:r>
      <w:r>
        <w:rPr>
          <w:rFonts w:ascii="Arial" w:cs="Arial" w:eastAsia="Arial" w:hAnsi="Arial"/>
          <w:sz w:val="14"/>
          <w:szCs w:val="14"/>
          <w:color w:val="auto"/>
        </w:rPr>
        <w:t xml:space="preserve"> episodes have been produced and are scheduled to begin airing in fiscal 2004.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Brand Marketing and Consumer Products</w:t>
      </w:r>
    </w:p>
    <w:p>
      <w:pPr>
        <w:spacing w:after="0" w:line="25" w:lineRule="exact"/>
        <w:rPr>
          <w:sz w:val="20"/>
          <w:szCs w:val="20"/>
          <w:color w:val="auto"/>
        </w:rPr>
      </w:pPr>
    </w:p>
    <w:p>
      <w:pPr>
        <w:ind w:right="280"/>
        <w:spacing w:after="0" w:line="293" w:lineRule="auto"/>
        <w:rPr>
          <w:sz w:val="20"/>
          <w:szCs w:val="20"/>
          <w:color w:val="auto"/>
        </w:rPr>
      </w:pPr>
      <w:r>
        <w:rPr>
          <w:rFonts w:ascii="Arial" w:cs="Arial" w:eastAsia="Arial" w:hAnsi="Arial"/>
          <w:sz w:val="14"/>
          <w:szCs w:val="14"/>
          <w:color w:val="auto"/>
        </w:rPr>
        <w:t xml:space="preserve">SEI creates and develops global branding campaigns for Scholastic properties. For example, the successful </w:t>
      </w:r>
      <w:r>
        <w:rPr>
          <w:rFonts w:ascii="Arial" w:cs="Arial" w:eastAsia="Arial" w:hAnsi="Arial"/>
          <w:sz w:val="14"/>
          <w:szCs w:val="14"/>
          <w:i w:val="1"/>
          <w:iCs w:val="1"/>
          <w:color w:val="auto"/>
        </w:rPr>
        <w:t>Clifford The Big Red Dog</w:t>
      </w:r>
      <w:r>
        <w:rPr>
          <w:rFonts w:ascii="Arial" w:cs="Arial" w:eastAsia="Arial" w:hAnsi="Arial"/>
          <w:sz w:val="14"/>
          <w:szCs w:val="14"/>
          <w:color w:val="auto"/>
        </w:rPr>
        <w:t xml:space="preserve"> program on PBS Kids is part of a comprehensive brand marketing campaign including TV tie-in books, consumer products, interactive media, and promotions, supporting Clifford’s position as a leading pre-school brand. In connection with its branding campaigns, SEI has received numerous marketing and licensing awards, including a 2003 LIMA award for Clifford as “Best Character License.” In addition, SEI creates, manufactures and distributes high-quality consumer products primarily based on Scholastic’s literary properties, such as a line of</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 xml:space="preserve">upscale plush toys and wooden puzzles based on </w:t>
      </w:r>
      <w:r>
        <w:rPr>
          <w:rFonts w:ascii="Arial" w:cs="Arial" w:eastAsia="Arial" w:hAnsi="Arial"/>
          <w:sz w:val="16"/>
          <w:szCs w:val="16"/>
          <w:i w:val="1"/>
          <w:iCs w:val="1"/>
          <w:color w:val="auto"/>
        </w:rPr>
        <w:t>Clifford The Big Red Dog</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Scholastic’s </w:t>
      </w:r>
      <w:r>
        <w:rPr>
          <w:rFonts w:ascii="Arial" w:cs="Arial" w:eastAsia="Arial" w:hAnsi="Arial"/>
          <w:sz w:val="16"/>
          <w:szCs w:val="16"/>
          <w:i w:val="1"/>
          <w:iCs w:val="1"/>
          <w:color w:val="auto"/>
        </w:rPr>
        <w:t>The Magic School Bus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Real Mother Goose™</w:t>
      </w:r>
      <w:r>
        <w:rPr>
          <w:rFonts w:ascii="Arial" w:cs="Arial" w:eastAsia="Arial" w:hAnsi="Arial"/>
          <w:sz w:val="16"/>
          <w:szCs w:val="16"/>
          <w:color w:val="auto"/>
        </w:rPr>
        <w:t xml:space="preserve"> and </w:t>
      </w:r>
      <w:r>
        <w:rPr>
          <w:rFonts w:ascii="Arial" w:cs="Arial" w:eastAsia="Arial" w:hAnsi="Arial"/>
          <w:sz w:val="16"/>
          <w:szCs w:val="16"/>
          <w:i w:val="1"/>
          <w:iCs w:val="1"/>
          <w:color w:val="auto"/>
        </w:rPr>
        <w:t>Stellaluna™.</w:t>
      </w:r>
      <w:r>
        <w:rPr>
          <w:rFonts w:ascii="Arial" w:cs="Arial" w:eastAsia="Arial" w:hAnsi="Arial"/>
          <w:sz w:val="16"/>
          <w:szCs w:val="16"/>
          <w:color w:val="auto"/>
        </w:rPr>
        <w:t xml:space="preserve"> The products are available through independent toy/gift stores, specialty chains, department stores, mail order catalogs and bookstores, as well as through Scholastic’s school-based book clubs, school-based book fairs and continuity programs.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 xml:space="preserve">Scholastic boutiques at Toys “R” Us feature Scholastic-branded learning toys. The Company also produces and markets videos in the school market through its subsidiary, Weston Woods, a producer of videos based on high quality children’s books. A consumer line of videos, branded as the </w:t>
      </w:r>
      <w:r>
        <w:rPr>
          <w:rFonts w:ascii="Arial" w:cs="Arial" w:eastAsia="Arial" w:hAnsi="Arial"/>
          <w:sz w:val="16"/>
          <w:szCs w:val="16"/>
          <w:i w:val="1"/>
          <w:iCs w:val="1"/>
          <w:color w:val="auto"/>
        </w:rPr>
        <w:t>Scholastic Video Collection,</w:t>
      </w:r>
      <w:r>
        <w:rPr>
          <w:rFonts w:ascii="Arial" w:cs="Arial" w:eastAsia="Arial" w:hAnsi="Arial"/>
          <w:sz w:val="16"/>
          <w:szCs w:val="16"/>
          <w:color w:val="auto"/>
        </w:rPr>
        <w:t xml:space="preserve"> featuring Weston Woods content, was launched in fiscal 2003. Scholastic.com is an award-winning destination for children featuring sites with favorite characters, such as </w:t>
      </w:r>
      <w:r>
        <w:rPr>
          <w:rFonts w:ascii="Arial" w:cs="Arial" w:eastAsia="Arial" w:hAnsi="Arial"/>
          <w:sz w:val="16"/>
          <w:szCs w:val="16"/>
          <w:i w:val="1"/>
          <w:iCs w:val="1"/>
          <w:color w:val="auto"/>
        </w:rPr>
        <w:t>Harry Potter™, Captain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Underpants™, Clifford The Big Red Dog™, I Spy™ </w:t>
      </w:r>
      <w:r>
        <w:rPr>
          <w:rFonts w:ascii="Arial" w:cs="Arial" w:eastAsia="Arial" w:hAnsi="Arial"/>
          <w:sz w:val="16"/>
          <w:szCs w:val="16"/>
          <w:color w:val="auto"/>
        </w:rPr>
        <w:t>and</w:t>
      </w:r>
      <w:r>
        <w:rPr>
          <w:rFonts w:ascii="Arial" w:cs="Arial" w:eastAsia="Arial" w:hAnsi="Arial"/>
          <w:sz w:val="16"/>
          <w:szCs w:val="16"/>
          <w:i w:val="1"/>
          <w:iCs w:val="1"/>
          <w:color w:val="auto"/>
        </w:rPr>
        <w:t xml:space="preserve"> Animorphs™.</w:t>
      </w:r>
    </w:p>
    <w:p>
      <w:pPr>
        <w:sectPr>
          <w:pgSz w:w="11900" w:h="16838" w:orient="portrait"/>
          <w:cols w:equalWidth="0" w:num="1">
            <w:col w:w="11420"/>
          </w:cols>
          <w:pgMar w:left="240" w:top="131" w:right="239" w:bottom="0" w:gutter="0" w:footer="0" w:header="0"/>
        </w:sectPr>
      </w:pPr>
    </w:p>
    <w:bookmarkStart w:id="4" w:name="page5"/>
    <w:bookmarkEnd w:id="4"/>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Software</w:t>
      </w:r>
    </w:p>
    <w:p>
      <w:pPr>
        <w:spacing w:after="0" w:line="2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Scholastic sells original and licensed consumer software for grades K to 8 through school-based software clubs, school-based book clubs and school-based book fairs. The Company acquires software for distribution in all of these channels through a combination of licensing, purchases of product from software publishers and internal development. Scholastic’s school-based software clubs are marketed in the same manner as its school-based book clubs. The Company’s internally developed CD-ROM titles, including the award-winning series of </w:t>
      </w:r>
      <w:r>
        <w:rPr>
          <w:rFonts w:ascii="Arial" w:cs="Arial" w:eastAsia="Arial" w:hAnsi="Arial"/>
          <w:sz w:val="16"/>
          <w:szCs w:val="16"/>
          <w:i w:val="1"/>
          <w:iCs w:val="1"/>
          <w:color w:val="auto"/>
        </w:rPr>
        <w:t>Clifford</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I Spy™,</w:t>
      </w:r>
      <w:r>
        <w:rPr>
          <w:rFonts w:ascii="Arial" w:cs="Arial" w:eastAsia="Arial" w:hAnsi="Arial"/>
          <w:sz w:val="16"/>
          <w:szCs w:val="16"/>
          <w:color w:val="auto"/>
        </w:rPr>
        <w:t xml:space="preserve"> are also sold through trade channels.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 xml:space="preserve">Certain of the Company’s magazine properties generate advertising revenues as their primary source of revenue, including </w:t>
      </w:r>
      <w:r>
        <w:rPr>
          <w:rFonts w:ascii="Arial" w:cs="Arial" w:eastAsia="Arial" w:hAnsi="Arial"/>
          <w:sz w:val="14"/>
          <w:szCs w:val="14"/>
          <w:i w:val="1"/>
          <w:iCs w:val="1"/>
          <w:color w:val="auto"/>
        </w:rPr>
        <w:t>Instructor™, Scholastic Administrator™, Instructor</w:t>
      </w:r>
      <w:r>
        <w:rPr>
          <w:rFonts w:ascii="Arial" w:cs="Arial" w:eastAsia="Arial" w:hAnsi="Arial"/>
          <w:sz w:val="14"/>
          <w:szCs w:val="14"/>
          <w:color w:val="auto"/>
        </w:rPr>
        <w:t xml:space="preserve"> </w:t>
      </w:r>
      <w:r>
        <w:rPr>
          <w:rFonts w:ascii="Arial" w:cs="Arial" w:eastAsia="Arial" w:hAnsi="Arial"/>
          <w:sz w:val="14"/>
          <w:szCs w:val="14"/>
          <w:i w:val="1"/>
          <w:iCs w:val="1"/>
          <w:color w:val="auto"/>
        </w:rPr>
        <w:t>New Teacher</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w:t>
      </w:r>
      <w:r>
        <w:rPr>
          <w:rFonts w:ascii="Arial" w:cs="Arial" w:eastAsia="Arial" w:hAnsi="Arial"/>
          <w:sz w:val="14"/>
          <w:szCs w:val="14"/>
          <w:i w:val="1"/>
          <w:iCs w:val="1"/>
          <w:color w:val="auto"/>
        </w:rPr>
        <w:t xml:space="preserve"> Scholastic Early Childhood Today™ </w:t>
      </w:r>
      <w:r>
        <w:rPr>
          <w:rFonts w:ascii="Arial" w:cs="Arial" w:eastAsia="Arial" w:hAnsi="Arial"/>
          <w:sz w:val="14"/>
          <w:szCs w:val="14"/>
          <w:color w:val="auto"/>
        </w:rPr>
        <w:t>and</w:t>
      </w:r>
      <w:r>
        <w:rPr>
          <w:rFonts w:ascii="Arial" w:cs="Arial" w:eastAsia="Arial" w:hAnsi="Arial"/>
          <w:sz w:val="14"/>
          <w:szCs w:val="14"/>
          <w:i w:val="1"/>
          <w:iCs w:val="1"/>
          <w:color w:val="auto"/>
        </w:rPr>
        <w:t xml:space="preserve"> Coach and Athletic Director™, </w:t>
      </w:r>
      <w:r>
        <w:rPr>
          <w:rFonts w:ascii="Arial" w:cs="Arial" w:eastAsia="Arial" w:hAnsi="Arial"/>
          <w:sz w:val="14"/>
          <w:szCs w:val="14"/>
          <w:color w:val="auto"/>
        </w:rPr>
        <w:t>which are directed to teachers and education professionals and are distributed during the</w:t>
      </w:r>
      <w:r>
        <w:rPr>
          <w:rFonts w:ascii="Arial" w:cs="Arial" w:eastAsia="Arial" w:hAnsi="Arial"/>
          <w:sz w:val="14"/>
          <w:szCs w:val="14"/>
          <w:i w:val="1"/>
          <w:iCs w:val="1"/>
          <w:color w:val="auto"/>
        </w:rPr>
        <w:t xml:space="preserve"> </w:t>
      </w:r>
      <w:r>
        <w:rPr>
          <w:rFonts w:ascii="Arial" w:cs="Arial" w:eastAsia="Arial" w:hAnsi="Arial"/>
          <w:sz w:val="14"/>
          <w:szCs w:val="14"/>
          <w:color w:val="auto"/>
        </w:rPr>
        <w:t>academic year. Total circulation for these magazines was approximately 560,000 in fiscal 2003. Subscriptions for these magazines are solicited primarily by direct mail.</w:t>
      </w:r>
    </w:p>
    <w:p>
      <w:pPr>
        <w:spacing w:after="0" w:line="2"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i w:val="1"/>
          <w:iCs w:val="1"/>
          <w:color w:val="auto"/>
        </w:rPr>
        <w:t>Scholastic Parent and Child</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magazine, which is directed at parents and distributed through schools and childcare programs, had circulation of approximately 1.2 million in</w:t>
      </w:r>
      <w:r>
        <w:rPr>
          <w:rFonts w:ascii="Arial" w:cs="Arial" w:eastAsia="Arial" w:hAnsi="Arial"/>
          <w:sz w:val="14"/>
          <w:szCs w:val="14"/>
          <w:i w:val="1"/>
          <w:iCs w:val="1"/>
          <w:color w:val="auto"/>
        </w:rPr>
        <w:t xml:space="preserve"> </w:t>
      </w:r>
      <w:r>
        <w:rPr>
          <w:rFonts w:ascii="Arial" w:cs="Arial" w:eastAsia="Arial" w:hAnsi="Arial"/>
          <w:sz w:val="14"/>
          <w:szCs w:val="14"/>
          <w:color w:val="auto"/>
        </w:rPr>
        <w:t>fiscal 2003. These magazines carry paid advertising, advertising for Scholastic’s other products and paid advertising for clients that sponsor customized programs.</w:t>
      </w:r>
    </w:p>
    <w:p>
      <w:pPr>
        <w:spacing w:after="0" w:line="182"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Also included in this group are: Scholastic In-School Marketing, which develops sponsored educational materials and supplementary classroom programs in partnership with corporations, government agencies and nonprofit organizations; and Quality Education Data, which develops and markets databases and provides research and analysis focused on teachers, schools and education.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(16.3% of fiscal 2003 revenues)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includes the publication and distribution of products and services outside the United States by the Company’s international operations, and its export and foreign rights businesses.</w:t>
      </w:r>
    </w:p>
    <w:p>
      <w:pPr>
        <w:spacing w:after="0" w:line="164"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Scholastic has long-established operations in Canada, the United Kingdom, Australia and New Zealand and newer operations in Argentina, Hong Kong, India, Ireland and Mexico. With the acquisition of Grolier, the Company expanded into the direct-to-home continuity business primarily serving children age five and under in Canada, the United Kingdom and Australia, and added the publication and distribution of reference products and services outside the United States, principally in Southeast Asia.</w:t>
      </w:r>
    </w:p>
    <w:p>
      <w:pPr>
        <w:spacing w:after="0" w:line="149"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Scholastic’s operations in Canada, the United Kingdom, Australia and New Zealand generally mirror its United States business model. Each of these international operations has original trade and educational publishing programs, distributes children’s books, software and other materials through school-based book clubs, school-based book fairs and trade channels, distributes magazines and offers on-line services. Each of these operations has established export and foreign rights licensing programs and is a licensee of book tie-ins for major media properties. Original books published by each of these operations have received awards of excellence in children’s literature.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Canada</w:t>
      </w:r>
    </w:p>
    <w:p>
      <w:pPr>
        <w:spacing w:after="0" w:line="25" w:lineRule="exact"/>
        <w:rPr>
          <w:sz w:val="20"/>
          <w:szCs w:val="20"/>
          <w:color w:val="auto"/>
        </w:rPr>
      </w:pPr>
    </w:p>
    <w:p>
      <w:pPr>
        <w:ind w:right="200"/>
        <w:spacing w:after="0" w:line="320" w:lineRule="auto"/>
        <w:rPr>
          <w:sz w:val="20"/>
          <w:szCs w:val="20"/>
          <w:color w:val="auto"/>
        </w:rPr>
      </w:pPr>
      <w:r>
        <w:rPr>
          <w:rFonts w:ascii="Arial" w:cs="Arial" w:eastAsia="Arial" w:hAnsi="Arial"/>
          <w:sz w:val="14"/>
          <w:szCs w:val="14"/>
          <w:color w:val="auto"/>
        </w:rPr>
        <w:t>Scholastic Canada, founded in 1957, is a leading publisher and distributor of English and French language children’s books, is the largest school-based book club and school-based book fair operator in Canada and is one of the leading suppliers of original or licensed children’s books to the Canadian trade market. Since 1965, Scholastic Canada has produced quality Canadian-authored books and educational materials. Grolier Canada is a leading operator of direct-to-home continuity programs in Canada.</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Kingdom</w:t>
      </w:r>
    </w:p>
    <w:p>
      <w:pPr>
        <w:spacing w:after="0" w:line="2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Scholastic UK, founded in 1964, is the largest school-based book club and school-based book fair operator and is a leading children’s publisher in the United Kingdom, where its trade books appear frequently on children’s bestseller lists. Scholastic UK also publishes magazines for teachers and supplemental educational materials, including professional books. Grolier UK is a leading operator of direct-to-home continuity programs in the United Kingdom.</w:t>
      </w:r>
    </w:p>
    <w:p>
      <w:pPr>
        <w:spacing w:after="0" w:line="170"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On June 24, 2002, the Company entered into a joint venture with The Book People Ltd. (together with its affiliates, “The Book People”), a direct marketer of books in the United Kingdom, to distribute books to the home under the Red House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name and through schools under the Scholastic School Link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name. The Company also acquired a 15% equity interest in The Book People Group, Ltd.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Australia</w:t>
      </w:r>
    </w:p>
    <w:p>
      <w:pPr>
        <w:spacing w:after="0" w:line="2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Scholastic Australia, founded in 1968, is the leading publisher and distributor of children’s educational materials in Australia and has the largest school-based book club and book fair operation in the country, reaching approximately 90% of the country’s primary schools.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Zealand</w:t>
      </w:r>
    </w:p>
    <w:p>
      <w:pPr>
        <w:spacing w:after="0" w:line="25"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Scholastic New Zealand, founded in 1964, is the largest children’s book publisher and the leading book distributor to schools in New Zealand. Through its school-based book clubs and book fairs, Scholastic New Zealand reaches approximately 90% of the country’s primary schools.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Asia</w:t>
      </w:r>
    </w:p>
    <w:p>
      <w:pPr>
        <w:spacing w:after="0" w:line="25"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The Company’s Asia operations sell English language reference materials and local language product through a network of approximately 2,500 independent door-to-door sales representatives in India, Indonesia, Malaysia, the Philippines, Singapore, Taiwan and Thailand. In India, the Company also operates school-based book clubs and book fairs and publishes original titles in the English and Hindi languages.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Latin America</w:t>
      </w:r>
    </w:p>
    <w:p>
      <w:pPr>
        <w:spacing w:after="0" w:line="2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Company has operations in Mexico, Argentina and Puerto Rico. These businesses principally distribute, through school-based book clubs and book fairs, books and educational material published by Scholastic, as well as merchandise from other publishers. In Puerto Rico, Scholastic distributes Spanish language reference materials though a network of independent door-to-door sales representatives.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Rights and Export</w:t>
      </w:r>
    </w:p>
    <w:p>
      <w:pPr>
        <w:spacing w:after="0" w:line="25" w:lineRule="exact"/>
        <w:rPr>
          <w:sz w:val="20"/>
          <w:szCs w:val="20"/>
          <w:color w:val="auto"/>
        </w:rPr>
      </w:pPr>
    </w:p>
    <w:p>
      <w:pPr>
        <w:ind w:right="380"/>
        <w:spacing w:after="0" w:line="273" w:lineRule="auto"/>
        <w:rPr>
          <w:sz w:val="20"/>
          <w:szCs w:val="20"/>
          <w:color w:val="auto"/>
        </w:rPr>
      </w:pPr>
      <w:r>
        <w:rPr>
          <w:rFonts w:ascii="Arial" w:cs="Arial" w:eastAsia="Arial" w:hAnsi="Arial"/>
          <w:sz w:val="16"/>
          <w:szCs w:val="16"/>
          <w:color w:val="auto"/>
        </w:rPr>
        <w:t>The Company licenses the foreign-language rights to selected Scholastic titles to other publishing companies around the world in over 37 languages. The Company’s export business sells Scholastic books and products in regions of the world not otherwise serviced by Scholastic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AND DISTRIBUTION</w:t>
      </w:r>
    </w:p>
    <w:p>
      <w:pPr>
        <w:spacing w:after="0" w:line="22" w:lineRule="exact"/>
        <w:rPr>
          <w:sz w:val="20"/>
          <w:szCs w:val="20"/>
          <w:color w:val="auto"/>
        </w:rPr>
      </w:pPr>
    </w:p>
    <w:p>
      <w:pPr>
        <w:jc w:val="both"/>
        <w:ind w:right="40"/>
        <w:spacing w:after="0" w:line="286" w:lineRule="auto"/>
        <w:rPr>
          <w:sz w:val="20"/>
          <w:szCs w:val="20"/>
          <w:color w:val="auto"/>
        </w:rPr>
      </w:pPr>
      <w:r>
        <w:rPr>
          <w:rFonts w:ascii="Arial" w:cs="Arial" w:eastAsia="Arial" w:hAnsi="Arial"/>
          <w:sz w:val="15"/>
          <w:szCs w:val="15"/>
          <w:color w:val="auto"/>
        </w:rPr>
        <w:t>The Company’s books, magazines, software and other materials and products are manufactured by third parties under contracts entered into through arm’s-length negotiations or competitive bidding. As appropriate, the Company enters into multi-year agreements that guarantee specified volume in exchange for favorable pricing terms. Paper is purchased from third party sources. The Company does not anticipate any difficulty in continuing to satisfy its manufacturing and paper requirements.</w:t>
      </w:r>
    </w:p>
    <w:p>
      <w:pPr>
        <w:spacing w:after="0" w:line="157" w:lineRule="exact"/>
        <w:rPr>
          <w:sz w:val="20"/>
          <w:szCs w:val="20"/>
          <w:color w:val="auto"/>
        </w:rPr>
      </w:pPr>
    </w:p>
    <w:p>
      <w:pPr>
        <w:ind w:right="80"/>
        <w:spacing w:after="0" w:line="358" w:lineRule="auto"/>
        <w:rPr>
          <w:sz w:val="20"/>
          <w:szCs w:val="20"/>
          <w:color w:val="auto"/>
        </w:rPr>
      </w:pPr>
      <w:r>
        <w:rPr>
          <w:rFonts w:ascii="Arial" w:cs="Arial" w:eastAsia="Arial" w:hAnsi="Arial"/>
          <w:sz w:val="14"/>
          <w:szCs w:val="14"/>
          <w:color w:val="auto"/>
        </w:rPr>
        <w:t>In the United States, the Company processes and fulfills school-based book club, trade, curriculum publishing, reference and non-fiction products and export orders mainly from its primary warehouse and distribution facility in Jefferson City, Missouri. Magazine orders are processed at the Jefferson City facility and are shipped directly from printers. In</w:t>
      </w:r>
    </w:p>
    <w:p>
      <w:pPr>
        <w:sectPr>
          <w:pgSz w:w="11900" w:h="16931" w:orient="portrait"/>
          <w:cols w:equalWidth="0" w:num="1">
            <w:col w:w="11400"/>
          </w:cols>
          <w:pgMar w:left="240" w:top="127" w:right="259" w:bottom="0" w:gutter="0" w:footer="0" w:header="0"/>
        </w:sectPr>
      </w:pPr>
    </w:p>
    <w:bookmarkStart w:id="5" w:name="page6"/>
    <w:bookmarkEnd w:id="5"/>
    <w:p>
      <w:pPr>
        <w:spacing w:after="0" w:line="1" w:lineRule="exact"/>
        <w:rPr>
          <w:sz w:val="20"/>
          <w:szCs w:val="20"/>
          <w:color w:val="auto"/>
        </w:rPr>
      </w:pPr>
    </w:p>
    <w:p>
      <w:pPr>
        <w:ind w:right="220"/>
        <w:spacing w:after="0" w:line="315" w:lineRule="auto"/>
        <w:rPr>
          <w:sz w:val="20"/>
          <w:szCs w:val="20"/>
          <w:color w:val="auto"/>
        </w:rPr>
      </w:pPr>
      <w:r>
        <w:rPr>
          <w:rFonts w:ascii="Arial" w:cs="Arial" w:eastAsia="Arial" w:hAnsi="Arial"/>
          <w:sz w:val="14"/>
          <w:szCs w:val="14"/>
          <w:color w:val="auto"/>
        </w:rPr>
        <w:t>June 2002, the Company acquired a distribution facility in Maumelle, Arkansas, which serves as the Company’s primary packaging and fulfillment center (the “Maumelle Facility”) for its continuity programs. In connection with its trade business, the Company generally outsources certain services, including invoicing, billing, returns processing and collection services, and may also ship product directly from printers to customers. School-based book fair orders are fulfilled through a network of warehouses across the country. The Company’s international school-based book club, school-based book fair, trade, continuity businesses and educational operations use similar distribution systems.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2"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Company’s school-based book clubs, school-based book fairs and most of its magazines operate on a school-year basis. Therefore, the Company’s business is highly seasonal. As a consequence, the Company’s revenues in the first and third quarters of the fiscal year generally are lower than its revenues in the other two fiscal quarters. The Company experiences a substantial loss from operations in the first quarter. Typically, school-based book club and book fair revenues are greatest in the second quarter of the fiscal year, while revenues from the sale of instructional materials are the highest in the first quarter.</w:t>
      </w:r>
    </w:p>
    <w:p>
      <w:pPr>
        <w:spacing w:after="0" w:line="16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the June through October time period, the Company experiences negative cash flow due to the seasonality of its business. As a result of the Company’s business cycle, seasonal borrowings have historically increased during June, July and August, have generally peaked in September or October, and have been at their lowest point in May.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2"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color w:val="auto"/>
        </w:rPr>
        <w:t>The markets for children’s educational and entertainment materials are highly competitive. Competition is based on the quality and range of materials made available, price, promotion, customer service and distribution channels. Competitors include numerous other book, textbook, library, reference material and supplementary text publishers, distributors and other resellers (including over the Internet) of children’s books and other educational materials, national publishers of classroom and professional magazines with substantial circulation, numerous producers of television, video and film programming (many of which are substantially larger than the Company), television networks and cable networks, publishers of computer software and distributors of products and services on the Internet. In the United States, competitors also include regional and local school-based book fair operators, including bookstores.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COPYRIGHT AND TRADEMARKS</w:t>
      </w:r>
    </w:p>
    <w:p>
      <w:pPr>
        <w:spacing w:after="0" w:line="2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 xml:space="preserve">SCHOLASTIC is a registered trademark in the United States and in a number of countries where the Company conducts business. Scholastic Inc., the Company’s principal U.S. operating subsidiary, has registered and/or has pending applications to register its U.S. trademarks for the names of each of its domestic book clubs, the titles of its magazines and the names of all its core curriculum programs. The Company’s international subsidiaries have also registered trademarks in the name of Scholastic Inc. for the names of their respective book clubs and magazines. Although individual book titles are not subject to trademark protection, Scholastic Inc. has registered and/or has pending applications to register trademarks in the United States and in a number of countries for the names of certain series of books and consumer products, such as </w:t>
      </w:r>
      <w:r>
        <w:rPr>
          <w:rFonts w:ascii="Arial" w:cs="Arial" w:eastAsia="Arial" w:hAnsi="Arial"/>
          <w:sz w:val="15"/>
          <w:szCs w:val="15"/>
          <w:i w:val="1"/>
          <w:iCs w:val="1"/>
          <w:color w:val="auto"/>
        </w:rPr>
        <w:t>The Magic School Bus</w:t>
      </w:r>
      <w:r>
        <w:rPr>
          <w:rFonts w:ascii="Arial" w:cs="Arial" w:eastAsia="Arial" w:hAnsi="Arial"/>
          <w:sz w:val="15"/>
          <w:szCs w:val="15"/>
          <w:color w:val="auto"/>
        </w:rPr>
        <w:t xml:space="preserve"> and </w:t>
      </w:r>
      <w:r>
        <w:rPr>
          <w:rFonts w:ascii="Arial" w:cs="Arial" w:eastAsia="Arial" w:hAnsi="Arial"/>
          <w:sz w:val="15"/>
          <w:szCs w:val="15"/>
          <w:i w:val="1"/>
          <w:iCs w:val="1"/>
          <w:color w:val="auto"/>
        </w:rPr>
        <w:t>Clifford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The Big Red Dog. </w:t>
      </w:r>
      <w:r>
        <w:rPr>
          <w:rFonts w:ascii="Arial" w:cs="Arial" w:eastAsia="Arial" w:hAnsi="Arial"/>
          <w:sz w:val="15"/>
          <w:szCs w:val="15"/>
          <w:color w:val="auto"/>
        </w:rPr>
        <w:t>GROLIER is a registered trademark in the United States and a number of countries where it conducts business. All of the Company’s publications,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books, magazines and software, are subject to copyright protection. Where applicable, the Company consistently files copyright registrations for its magazines, books and software in the name of Scholastic Inc. or one of its subsidiaries. Copyrights and trademarks are vigorously defended by the Company and, as necessary, outside counsel may be retained to assist in such protection.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At May 31, 2003, the Company employed approximately 7,300 people in full-time jobs and 900 people in part-time jobs in the United States and approximately 2,600 people internationally. The number of part-time employees fluctuates during the year because significant portions of the Company’s business are closely correlated with the school year. On May 28, 2003, the Company announced a reduction in its global work force of approximately 400 positions, the majority of which were scheduled to take effect in the first quarter of fiscal 2004. The Company believes that relations with its employees are good.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260" w:type="dxa"/>
            <w:vAlign w:val="bottom"/>
          </w:tcPr>
          <w:p>
            <w:pPr>
              <w:spacing w:after="0"/>
              <w:rPr>
                <w:sz w:val="20"/>
                <w:szCs w:val="20"/>
                <w:color w:val="auto"/>
              </w:rPr>
            </w:pPr>
            <w:r>
              <w:rPr>
                <w:rFonts w:ascii="Arial" w:cs="Arial" w:eastAsia="Arial" w:hAnsi="Arial"/>
                <w:sz w:val="20"/>
                <w:szCs w:val="20"/>
                <w:b w:val="1"/>
                <w:bCs w:val="1"/>
                <w:color w:val="auto"/>
              </w:rPr>
              <w:t>Executive Officers</w:t>
            </w:r>
          </w:p>
        </w:tc>
        <w:tc>
          <w:tcPr>
            <w:tcW w:w="1280" w:type="dxa"/>
            <w:vAlign w:val="bottom"/>
          </w:tcPr>
          <w:p>
            <w:pPr>
              <w:spacing w:after="0"/>
              <w:rPr>
                <w:sz w:val="22"/>
                <w:szCs w:val="22"/>
                <w:color w:val="auto"/>
              </w:rPr>
            </w:pPr>
          </w:p>
        </w:tc>
        <w:tc>
          <w:tcPr>
            <w:tcW w:w="1320" w:type="dxa"/>
            <w:vAlign w:val="bottom"/>
            <w:vMerge w:val="restart"/>
          </w:tcPr>
          <w:p>
            <w:pPr>
              <w:jc w:val="center"/>
              <w:ind w:left="13"/>
              <w:spacing w:after="0"/>
              <w:rPr>
                <w:sz w:val="20"/>
                <w:szCs w:val="20"/>
                <w:color w:val="auto"/>
              </w:rPr>
            </w:pPr>
            <w:r>
              <w:rPr>
                <w:rFonts w:ascii="Arial" w:cs="Arial" w:eastAsia="Arial" w:hAnsi="Arial"/>
                <w:sz w:val="20"/>
                <w:szCs w:val="20"/>
                <w:b w:val="1"/>
                <w:bCs w:val="1"/>
                <w:color w:val="auto"/>
                <w:w w:val="89"/>
              </w:rPr>
              <w:t>Employed</w:t>
            </w:r>
          </w:p>
        </w:tc>
        <w:tc>
          <w:tcPr>
            <w:tcW w:w="6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6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jc w:val="center"/>
              <w:ind w:left="13"/>
              <w:spacing w:after="0" w:line="222" w:lineRule="exact"/>
              <w:rPr>
                <w:sz w:val="20"/>
                <w:szCs w:val="20"/>
                <w:color w:val="auto"/>
              </w:rPr>
            </w:pPr>
            <w:r>
              <w:rPr>
                <w:rFonts w:ascii="Arial" w:cs="Arial" w:eastAsia="Arial" w:hAnsi="Arial"/>
                <w:sz w:val="20"/>
                <w:szCs w:val="20"/>
                <w:b w:val="1"/>
                <w:bCs w:val="1"/>
                <w:color w:val="auto"/>
                <w:w w:val="94"/>
              </w:rPr>
              <w:t>by</w:t>
            </w:r>
          </w:p>
        </w:tc>
        <w:tc>
          <w:tcPr>
            <w:tcW w:w="6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jc w:val="center"/>
              <w:ind w:left="13"/>
              <w:spacing w:after="0" w:line="222" w:lineRule="exact"/>
              <w:rPr>
                <w:sz w:val="20"/>
                <w:szCs w:val="20"/>
                <w:color w:val="auto"/>
              </w:rPr>
            </w:pPr>
            <w:r>
              <w:rPr>
                <w:rFonts w:ascii="Arial" w:cs="Arial" w:eastAsia="Arial" w:hAnsi="Arial"/>
                <w:sz w:val="20"/>
                <w:szCs w:val="20"/>
                <w:b w:val="1"/>
                <w:bCs w:val="1"/>
                <w:color w:val="auto"/>
                <w:w w:val="90"/>
              </w:rPr>
              <w:t>Registrant</w:t>
            </w:r>
          </w:p>
        </w:tc>
        <w:tc>
          <w:tcPr>
            <w:tcW w:w="6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60" w:type="dxa"/>
            <w:vAlign w:val="bottom"/>
          </w:tcPr>
          <w:p>
            <w:pPr>
              <w:ind w:left="40"/>
              <w:spacing w:after="0"/>
              <w:rPr>
                <w:sz w:val="20"/>
                <w:szCs w:val="20"/>
                <w:color w:val="auto"/>
              </w:rPr>
            </w:pPr>
            <w:r>
              <w:rPr>
                <w:rFonts w:ascii="Arial" w:cs="Arial" w:eastAsia="Arial" w:hAnsi="Arial"/>
                <w:sz w:val="20"/>
                <w:szCs w:val="20"/>
                <w:b w:val="1"/>
                <w:bCs w:val="1"/>
                <w:color w:val="auto"/>
              </w:rPr>
              <w:t>Name</w:t>
            </w:r>
          </w:p>
        </w:tc>
        <w:tc>
          <w:tcPr>
            <w:tcW w:w="1280" w:type="dxa"/>
            <w:vAlign w:val="bottom"/>
          </w:tcPr>
          <w:p>
            <w:pPr>
              <w:jc w:val="center"/>
              <w:ind w:left="358"/>
              <w:spacing w:after="0"/>
              <w:rPr>
                <w:sz w:val="20"/>
                <w:szCs w:val="20"/>
                <w:color w:val="auto"/>
              </w:rPr>
            </w:pPr>
            <w:r>
              <w:rPr>
                <w:rFonts w:ascii="Arial" w:cs="Arial" w:eastAsia="Arial" w:hAnsi="Arial"/>
                <w:sz w:val="20"/>
                <w:szCs w:val="20"/>
                <w:b w:val="1"/>
                <w:bCs w:val="1"/>
                <w:color w:val="auto"/>
                <w:w w:val="84"/>
              </w:rPr>
              <w:t>Age</w:t>
            </w:r>
          </w:p>
        </w:tc>
        <w:tc>
          <w:tcPr>
            <w:tcW w:w="1320" w:type="dxa"/>
            <w:vAlign w:val="bottom"/>
          </w:tcPr>
          <w:p>
            <w:pPr>
              <w:jc w:val="center"/>
              <w:ind w:left="13"/>
              <w:spacing w:after="0"/>
              <w:rPr>
                <w:sz w:val="20"/>
                <w:szCs w:val="20"/>
                <w:color w:val="auto"/>
              </w:rPr>
            </w:pPr>
            <w:r>
              <w:rPr>
                <w:rFonts w:ascii="Arial" w:cs="Arial" w:eastAsia="Arial" w:hAnsi="Arial"/>
                <w:sz w:val="20"/>
                <w:szCs w:val="20"/>
                <w:b w:val="1"/>
                <w:bCs w:val="1"/>
                <w:color w:val="auto"/>
                <w:w w:val="86"/>
              </w:rPr>
              <w:t>Since</w:t>
            </w:r>
          </w:p>
        </w:tc>
        <w:tc>
          <w:tcPr>
            <w:tcW w:w="6560" w:type="dxa"/>
            <w:vAlign w:val="bottom"/>
          </w:tcPr>
          <w:p>
            <w:pPr>
              <w:ind w:left="180"/>
              <w:spacing w:after="0"/>
              <w:rPr>
                <w:sz w:val="20"/>
                <w:szCs w:val="20"/>
                <w:color w:val="auto"/>
              </w:rPr>
            </w:pPr>
            <w:r>
              <w:rPr>
                <w:rFonts w:ascii="Arial" w:cs="Arial" w:eastAsia="Arial" w:hAnsi="Arial"/>
                <w:sz w:val="20"/>
                <w:szCs w:val="20"/>
                <w:b w:val="1"/>
                <w:bCs w:val="1"/>
                <w:color w:val="auto"/>
              </w:rPr>
              <w:t>Position(s) for Past Five Years</w:t>
            </w:r>
          </w:p>
        </w:tc>
        <w:tc>
          <w:tcPr>
            <w:tcW w:w="0" w:type="dxa"/>
            <w:vAlign w:val="bottom"/>
          </w:tcPr>
          <w:p>
            <w:pPr>
              <w:spacing w:after="0"/>
              <w:rPr>
                <w:sz w:val="1"/>
                <w:szCs w:val="1"/>
                <w:color w:val="auto"/>
              </w:rPr>
            </w:pPr>
          </w:p>
        </w:tc>
      </w:tr>
      <w:tr>
        <w:trPr>
          <w:trHeight w:val="90"/>
        </w:trPr>
        <w:tc>
          <w:tcPr>
            <w:tcW w:w="226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6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260" w:type="dxa"/>
            <w:vAlign w:val="bottom"/>
          </w:tcPr>
          <w:p>
            <w:pPr>
              <w:spacing w:after="0"/>
              <w:rPr>
                <w:sz w:val="20"/>
                <w:szCs w:val="20"/>
                <w:color w:val="auto"/>
              </w:rPr>
            </w:pPr>
            <w:r>
              <w:rPr>
                <w:rFonts w:ascii="Arial" w:cs="Arial" w:eastAsia="Arial" w:hAnsi="Arial"/>
                <w:sz w:val="16"/>
                <w:szCs w:val="16"/>
                <w:color w:val="auto"/>
              </w:rPr>
              <w:t>Richard Robinson</w:t>
            </w:r>
          </w:p>
        </w:tc>
        <w:tc>
          <w:tcPr>
            <w:tcW w:w="1280" w:type="dxa"/>
            <w:vAlign w:val="bottom"/>
          </w:tcPr>
          <w:p>
            <w:pPr>
              <w:jc w:val="center"/>
              <w:ind w:left="318"/>
              <w:spacing w:after="0"/>
              <w:rPr>
                <w:sz w:val="20"/>
                <w:szCs w:val="20"/>
                <w:color w:val="auto"/>
              </w:rPr>
            </w:pPr>
            <w:r>
              <w:rPr>
                <w:rFonts w:ascii="Arial" w:cs="Arial" w:eastAsia="Arial" w:hAnsi="Arial"/>
                <w:sz w:val="16"/>
                <w:szCs w:val="16"/>
                <w:color w:val="auto"/>
                <w:w w:val="89"/>
              </w:rPr>
              <w:t>66</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1962</w:t>
            </w:r>
          </w:p>
        </w:tc>
        <w:tc>
          <w:tcPr>
            <w:tcW w:w="6560" w:type="dxa"/>
            <w:vAlign w:val="bottom"/>
          </w:tcPr>
          <w:p>
            <w:pPr>
              <w:ind w:left="180"/>
              <w:spacing w:after="0"/>
              <w:rPr>
                <w:sz w:val="20"/>
                <w:szCs w:val="20"/>
                <w:color w:val="auto"/>
              </w:rPr>
            </w:pPr>
            <w:r>
              <w:rPr>
                <w:rFonts w:ascii="Arial" w:cs="Arial" w:eastAsia="Arial" w:hAnsi="Arial"/>
                <w:sz w:val="16"/>
                <w:szCs w:val="16"/>
                <w:color w:val="auto"/>
              </w:rPr>
              <w:t>Chairman of the Board (since 1982), President (since 1974) and Chief Executive Officer</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rPr>
              <w:t>(since 1975).</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0"/>
                <w:szCs w:val="20"/>
                <w:color w:val="auto"/>
              </w:rPr>
            </w:pPr>
            <w:r>
              <w:rPr>
                <w:rFonts w:ascii="Arial" w:cs="Arial" w:eastAsia="Arial" w:hAnsi="Arial"/>
                <w:sz w:val="16"/>
                <w:szCs w:val="16"/>
                <w:color w:val="auto"/>
              </w:rPr>
              <w:t>Kevin J. McEnery</w:t>
            </w:r>
          </w:p>
        </w:tc>
        <w:tc>
          <w:tcPr>
            <w:tcW w:w="1280" w:type="dxa"/>
            <w:vAlign w:val="bottom"/>
          </w:tcPr>
          <w:p>
            <w:pPr>
              <w:jc w:val="center"/>
              <w:ind w:left="318"/>
              <w:spacing w:after="0"/>
              <w:rPr>
                <w:sz w:val="20"/>
                <w:szCs w:val="20"/>
                <w:color w:val="auto"/>
              </w:rPr>
            </w:pPr>
            <w:r>
              <w:rPr>
                <w:rFonts w:ascii="Arial" w:cs="Arial" w:eastAsia="Arial" w:hAnsi="Arial"/>
                <w:sz w:val="16"/>
                <w:szCs w:val="16"/>
                <w:color w:val="auto"/>
                <w:w w:val="89"/>
              </w:rPr>
              <w:t>55</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1993</w:t>
            </w:r>
          </w:p>
        </w:tc>
        <w:tc>
          <w:tcPr>
            <w:tcW w:w="6560" w:type="dxa"/>
            <w:vAlign w:val="bottom"/>
          </w:tcPr>
          <w:p>
            <w:pPr>
              <w:ind w:left="180"/>
              <w:spacing w:after="0"/>
              <w:rPr>
                <w:sz w:val="20"/>
                <w:szCs w:val="20"/>
                <w:color w:val="auto"/>
              </w:rPr>
            </w:pPr>
            <w:r>
              <w:rPr>
                <w:rFonts w:ascii="Arial" w:cs="Arial" w:eastAsia="Arial" w:hAnsi="Arial"/>
                <w:sz w:val="16"/>
                <w:szCs w:val="16"/>
                <w:color w:val="auto"/>
              </w:rPr>
              <w:t>Executive Vice President and Chief Financial Officer (since 1995).</w:t>
            </w:r>
          </w:p>
        </w:tc>
        <w:tc>
          <w:tcPr>
            <w:tcW w:w="0" w:type="dxa"/>
            <w:vAlign w:val="bottom"/>
          </w:tcPr>
          <w:p>
            <w:pPr>
              <w:spacing w:after="0"/>
              <w:rPr>
                <w:sz w:val="1"/>
                <w:szCs w:val="1"/>
                <w:color w:val="auto"/>
              </w:rPr>
            </w:pPr>
          </w:p>
        </w:tc>
      </w:tr>
      <w:tr>
        <w:trPr>
          <w:trHeight w:val="435"/>
        </w:trPr>
        <w:tc>
          <w:tcPr>
            <w:tcW w:w="2260" w:type="dxa"/>
            <w:vAlign w:val="bottom"/>
          </w:tcPr>
          <w:p>
            <w:pPr>
              <w:spacing w:after="0"/>
              <w:rPr>
                <w:sz w:val="20"/>
                <w:szCs w:val="20"/>
                <w:color w:val="auto"/>
              </w:rPr>
            </w:pPr>
            <w:r>
              <w:rPr>
                <w:rFonts w:ascii="Arial" w:cs="Arial" w:eastAsia="Arial" w:hAnsi="Arial"/>
                <w:sz w:val="16"/>
                <w:szCs w:val="16"/>
                <w:color w:val="auto"/>
              </w:rPr>
              <w:t>Deborah A. Forte</w:t>
            </w:r>
          </w:p>
        </w:tc>
        <w:tc>
          <w:tcPr>
            <w:tcW w:w="1280" w:type="dxa"/>
            <w:vAlign w:val="bottom"/>
          </w:tcPr>
          <w:p>
            <w:pPr>
              <w:jc w:val="center"/>
              <w:ind w:left="318"/>
              <w:spacing w:after="0"/>
              <w:rPr>
                <w:sz w:val="20"/>
                <w:szCs w:val="20"/>
                <w:color w:val="auto"/>
              </w:rPr>
            </w:pPr>
            <w:r>
              <w:rPr>
                <w:rFonts w:ascii="Arial" w:cs="Arial" w:eastAsia="Arial" w:hAnsi="Arial"/>
                <w:sz w:val="16"/>
                <w:szCs w:val="16"/>
                <w:color w:val="auto"/>
                <w:w w:val="89"/>
              </w:rPr>
              <w:t>49</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1983</w:t>
            </w:r>
          </w:p>
        </w:tc>
        <w:tc>
          <w:tcPr>
            <w:tcW w:w="6560" w:type="dxa"/>
            <w:vAlign w:val="bottom"/>
          </w:tcPr>
          <w:p>
            <w:pPr>
              <w:ind w:left="180"/>
              <w:spacing w:after="0"/>
              <w:rPr>
                <w:sz w:val="20"/>
                <w:szCs w:val="20"/>
                <w:color w:val="auto"/>
              </w:rPr>
            </w:pPr>
            <w:r>
              <w:rPr>
                <w:rFonts w:ascii="Arial" w:cs="Arial" w:eastAsia="Arial" w:hAnsi="Arial"/>
                <w:sz w:val="16"/>
                <w:szCs w:val="16"/>
                <w:color w:val="auto"/>
                <w:w w:val="97"/>
              </w:rPr>
              <w:t>Executive Vice President (since 1996), President, Scholastic Entertainment Inc. (since 2001)</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rPr>
              <w:t>and Division Head, Scholastic Entertainment Inc. (1995–2001).</w:t>
            </w:r>
          </w:p>
        </w:tc>
        <w:tc>
          <w:tcPr>
            <w:tcW w:w="0" w:type="dxa"/>
            <w:vAlign w:val="bottom"/>
          </w:tcPr>
          <w:p>
            <w:pPr>
              <w:spacing w:after="0"/>
              <w:rPr>
                <w:sz w:val="1"/>
                <w:szCs w:val="1"/>
                <w:color w:val="auto"/>
              </w:rPr>
            </w:pPr>
          </w:p>
        </w:tc>
      </w:tr>
      <w:tr>
        <w:trPr>
          <w:trHeight w:val="411"/>
        </w:trPr>
        <w:tc>
          <w:tcPr>
            <w:tcW w:w="2260" w:type="dxa"/>
            <w:vAlign w:val="bottom"/>
          </w:tcPr>
          <w:p>
            <w:pPr>
              <w:spacing w:after="0"/>
              <w:rPr>
                <w:sz w:val="20"/>
                <w:szCs w:val="20"/>
                <w:color w:val="auto"/>
              </w:rPr>
            </w:pPr>
            <w:r>
              <w:rPr>
                <w:rFonts w:ascii="Arial" w:cs="Arial" w:eastAsia="Arial" w:hAnsi="Arial"/>
                <w:sz w:val="16"/>
                <w:szCs w:val="16"/>
                <w:color w:val="auto"/>
              </w:rPr>
              <w:t>Donna M. Iucolano</w:t>
            </w:r>
          </w:p>
        </w:tc>
        <w:tc>
          <w:tcPr>
            <w:tcW w:w="1280" w:type="dxa"/>
            <w:vAlign w:val="bottom"/>
          </w:tcPr>
          <w:p>
            <w:pPr>
              <w:jc w:val="center"/>
              <w:ind w:left="318"/>
              <w:spacing w:after="0"/>
              <w:rPr>
                <w:sz w:val="20"/>
                <w:szCs w:val="20"/>
                <w:color w:val="auto"/>
              </w:rPr>
            </w:pPr>
            <w:r>
              <w:rPr>
                <w:rFonts w:ascii="Arial" w:cs="Arial" w:eastAsia="Arial" w:hAnsi="Arial"/>
                <w:sz w:val="16"/>
                <w:szCs w:val="16"/>
                <w:color w:val="auto"/>
                <w:w w:val="89"/>
              </w:rPr>
              <w:t>39</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2000</w:t>
            </w:r>
          </w:p>
        </w:tc>
        <w:tc>
          <w:tcPr>
            <w:tcW w:w="6560" w:type="dxa"/>
            <w:vAlign w:val="bottom"/>
          </w:tcPr>
          <w:p>
            <w:pPr>
              <w:ind w:left="180"/>
              <w:spacing w:after="0"/>
              <w:rPr>
                <w:sz w:val="20"/>
                <w:szCs w:val="20"/>
                <w:color w:val="auto"/>
              </w:rPr>
            </w:pPr>
            <w:r>
              <w:rPr>
                <w:rFonts w:ascii="Arial" w:cs="Arial" w:eastAsia="Arial" w:hAnsi="Arial"/>
                <w:sz w:val="16"/>
                <w:szCs w:val="16"/>
                <w:color w:val="auto"/>
              </w:rPr>
              <w:t>Executive Vice President (since 2000), President, e-Scholastic (since 2003), President,</w:t>
            </w: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w w:val="97"/>
              </w:rPr>
              <w:t>Scholastic Internet Group (2001–2003), Executive Vice President, Scholastic Internet Group</w:t>
            </w: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rPr>
              <w:t>(2000–2001); and prior to joining the Company, positions including Senior Vice President</w:t>
            </w: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w w:val="98"/>
              </w:rPr>
              <w:t>(2000) and Vice President (1998–2000) at 1-800-FLOWERS.COM (1994–2000), where she</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rPr>
              <w:t>served as the chief e-business strategist.</w:t>
            </w:r>
          </w:p>
        </w:tc>
        <w:tc>
          <w:tcPr>
            <w:tcW w:w="0" w:type="dxa"/>
            <w:vAlign w:val="bottom"/>
          </w:tcPr>
          <w:p>
            <w:pPr>
              <w:spacing w:after="0"/>
              <w:rPr>
                <w:sz w:val="1"/>
                <w:szCs w:val="1"/>
                <w:color w:val="auto"/>
              </w:rPr>
            </w:pPr>
          </w:p>
        </w:tc>
      </w:tr>
      <w:tr>
        <w:trPr>
          <w:trHeight w:val="411"/>
        </w:trPr>
        <w:tc>
          <w:tcPr>
            <w:tcW w:w="2260" w:type="dxa"/>
            <w:vAlign w:val="bottom"/>
          </w:tcPr>
          <w:p>
            <w:pPr>
              <w:spacing w:after="0"/>
              <w:rPr>
                <w:sz w:val="20"/>
                <w:szCs w:val="20"/>
                <w:color w:val="auto"/>
              </w:rPr>
            </w:pPr>
            <w:r>
              <w:rPr>
                <w:rFonts w:ascii="Arial" w:cs="Arial" w:eastAsia="Arial" w:hAnsi="Arial"/>
                <w:sz w:val="16"/>
                <w:szCs w:val="16"/>
                <w:color w:val="auto"/>
              </w:rPr>
              <w:t>Barbara A. Marcus</w:t>
            </w:r>
          </w:p>
        </w:tc>
        <w:tc>
          <w:tcPr>
            <w:tcW w:w="1280" w:type="dxa"/>
            <w:vAlign w:val="bottom"/>
          </w:tcPr>
          <w:p>
            <w:pPr>
              <w:jc w:val="center"/>
              <w:ind w:left="318"/>
              <w:spacing w:after="0"/>
              <w:rPr>
                <w:sz w:val="20"/>
                <w:szCs w:val="20"/>
                <w:color w:val="auto"/>
              </w:rPr>
            </w:pPr>
            <w:r>
              <w:rPr>
                <w:rFonts w:ascii="Arial" w:cs="Arial" w:eastAsia="Arial" w:hAnsi="Arial"/>
                <w:sz w:val="16"/>
                <w:szCs w:val="16"/>
                <w:color w:val="auto"/>
                <w:w w:val="89"/>
              </w:rPr>
              <w:t>52</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1983</w:t>
            </w:r>
          </w:p>
        </w:tc>
        <w:tc>
          <w:tcPr>
            <w:tcW w:w="6560" w:type="dxa"/>
            <w:vAlign w:val="bottom"/>
          </w:tcPr>
          <w:p>
            <w:pPr>
              <w:ind w:left="180"/>
              <w:spacing w:after="0"/>
              <w:rPr>
                <w:sz w:val="20"/>
                <w:szCs w:val="20"/>
                <w:color w:val="auto"/>
              </w:rPr>
            </w:pPr>
            <w:r>
              <w:rPr>
                <w:rFonts w:ascii="Arial" w:cs="Arial" w:eastAsia="Arial" w:hAnsi="Arial"/>
                <w:sz w:val="16"/>
                <w:szCs w:val="16"/>
                <w:color w:val="auto"/>
              </w:rPr>
              <w:t>Executive Vice President (since 1991), President, Children’s Book Publishing and</w:t>
            </w: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rPr>
              <w:t>Distribution (since 1999) and Executive Vice President, Children’s Book Publishing and</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rPr>
              <w:t>Distribution (1991–1999).</w:t>
            </w:r>
          </w:p>
        </w:tc>
        <w:tc>
          <w:tcPr>
            <w:tcW w:w="0" w:type="dxa"/>
            <w:vAlign w:val="bottom"/>
          </w:tcPr>
          <w:p>
            <w:pPr>
              <w:spacing w:after="0"/>
              <w:rPr>
                <w:sz w:val="1"/>
                <w:szCs w:val="1"/>
                <w:color w:val="auto"/>
              </w:rPr>
            </w:pPr>
          </w:p>
        </w:tc>
      </w:tr>
      <w:tr>
        <w:trPr>
          <w:trHeight w:val="411"/>
        </w:trPr>
        <w:tc>
          <w:tcPr>
            <w:tcW w:w="2260" w:type="dxa"/>
            <w:vAlign w:val="bottom"/>
          </w:tcPr>
          <w:p>
            <w:pPr>
              <w:spacing w:after="0"/>
              <w:rPr>
                <w:sz w:val="20"/>
                <w:szCs w:val="20"/>
                <w:color w:val="auto"/>
              </w:rPr>
            </w:pPr>
            <w:r>
              <w:rPr>
                <w:rFonts w:ascii="Arial" w:cs="Arial" w:eastAsia="Arial" w:hAnsi="Arial"/>
                <w:sz w:val="16"/>
                <w:szCs w:val="16"/>
                <w:color w:val="auto"/>
              </w:rPr>
              <w:t>Margery W. Mayer</w:t>
            </w:r>
          </w:p>
        </w:tc>
        <w:tc>
          <w:tcPr>
            <w:tcW w:w="1280" w:type="dxa"/>
            <w:vAlign w:val="bottom"/>
          </w:tcPr>
          <w:p>
            <w:pPr>
              <w:jc w:val="center"/>
              <w:ind w:left="318"/>
              <w:spacing w:after="0"/>
              <w:rPr>
                <w:sz w:val="20"/>
                <w:szCs w:val="20"/>
                <w:color w:val="auto"/>
              </w:rPr>
            </w:pPr>
            <w:r>
              <w:rPr>
                <w:rFonts w:ascii="Arial" w:cs="Arial" w:eastAsia="Arial" w:hAnsi="Arial"/>
                <w:sz w:val="16"/>
                <w:szCs w:val="16"/>
                <w:color w:val="auto"/>
                <w:w w:val="89"/>
              </w:rPr>
              <w:t>51</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1990</w:t>
            </w:r>
          </w:p>
        </w:tc>
        <w:tc>
          <w:tcPr>
            <w:tcW w:w="6560" w:type="dxa"/>
            <w:vAlign w:val="bottom"/>
          </w:tcPr>
          <w:p>
            <w:pPr>
              <w:ind w:left="180"/>
              <w:spacing w:after="0"/>
              <w:rPr>
                <w:sz w:val="20"/>
                <w:szCs w:val="20"/>
                <w:color w:val="auto"/>
              </w:rPr>
            </w:pPr>
            <w:r>
              <w:rPr>
                <w:rFonts w:ascii="Arial" w:cs="Arial" w:eastAsia="Arial" w:hAnsi="Arial"/>
                <w:sz w:val="16"/>
                <w:szCs w:val="16"/>
                <w:color w:val="auto"/>
              </w:rPr>
              <w:t>Executive Vice President (since 1990), President, Scholastic Education (since 2002) and</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auto"/>
              </w:rPr>
              <w:t>Executive Vice President, Learning Ventures (1998-2002).</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0"/>
                <w:szCs w:val="20"/>
                <w:color w:val="auto"/>
              </w:rPr>
            </w:pPr>
            <w:r>
              <w:rPr>
                <w:rFonts w:ascii="Arial" w:cs="Arial" w:eastAsia="Arial" w:hAnsi="Arial"/>
                <w:sz w:val="16"/>
                <w:szCs w:val="16"/>
                <w:color w:val="auto"/>
              </w:rPr>
              <w:t>Hugh Roome</w:t>
            </w:r>
          </w:p>
        </w:tc>
        <w:tc>
          <w:tcPr>
            <w:tcW w:w="1280" w:type="dxa"/>
            <w:vAlign w:val="bottom"/>
          </w:tcPr>
          <w:p>
            <w:pPr>
              <w:jc w:val="center"/>
              <w:ind w:left="318"/>
              <w:spacing w:after="0"/>
              <w:rPr>
                <w:sz w:val="20"/>
                <w:szCs w:val="20"/>
                <w:color w:val="auto"/>
              </w:rPr>
            </w:pPr>
            <w:r>
              <w:rPr>
                <w:rFonts w:ascii="Arial" w:cs="Arial" w:eastAsia="Arial" w:hAnsi="Arial"/>
                <w:sz w:val="16"/>
                <w:szCs w:val="16"/>
                <w:color w:val="auto"/>
                <w:w w:val="89"/>
              </w:rPr>
              <w:t>51</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1991</w:t>
            </w:r>
          </w:p>
        </w:tc>
        <w:tc>
          <w:tcPr>
            <w:tcW w:w="6560" w:type="dxa"/>
            <w:vAlign w:val="bottom"/>
          </w:tcPr>
          <w:p>
            <w:pPr>
              <w:ind w:left="180"/>
              <w:spacing w:after="0"/>
              <w:rPr>
                <w:sz w:val="20"/>
                <w:szCs w:val="20"/>
                <w:color w:val="auto"/>
              </w:rPr>
            </w:pPr>
            <w:r>
              <w:rPr>
                <w:rFonts w:ascii="Arial" w:cs="Arial" w:eastAsia="Arial" w:hAnsi="Arial"/>
                <w:sz w:val="16"/>
                <w:szCs w:val="16"/>
                <w:color w:val="auto"/>
                <w:w w:val="95"/>
              </w:rPr>
              <w:t>Executive Vice President (since 1996), President, International Group (since 2001), Executive</w:t>
            </w:r>
          </w:p>
        </w:tc>
        <w:tc>
          <w:tcPr>
            <w:tcW w:w="0" w:type="dxa"/>
            <w:vAlign w:val="bottom"/>
          </w:tcPr>
          <w:p>
            <w:pPr>
              <w:spacing w:after="0"/>
              <w:rPr>
                <w:sz w:val="1"/>
                <w:szCs w:val="1"/>
                <w:color w:val="auto"/>
              </w:rPr>
            </w:pPr>
          </w:p>
        </w:tc>
      </w:tr>
    </w:tbl>
    <w:p>
      <w:pPr>
        <w:sectPr>
          <w:pgSz w:w="11900" w:h="16839" w:orient="portrait"/>
          <w:cols w:equalWidth="0" w:num="1">
            <w:col w:w="11420"/>
          </w:cols>
          <w:pgMar w:left="240" w:top="13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rPr>
              <w:t>Vice President, International (2000–2001)</w:t>
            </w:r>
          </w:p>
        </w:tc>
      </w:tr>
      <w:tr>
        <w:trPr>
          <w:trHeight w:val="205"/>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rPr>
              <w:t>and Executive Vice President, Magazine Group (1996–2000).</w:t>
            </w:r>
          </w:p>
        </w:tc>
      </w:tr>
      <w:tr>
        <w:trPr>
          <w:trHeight w:val="418"/>
        </w:trPr>
        <w:tc>
          <w:tcPr>
            <w:tcW w:w="2220" w:type="dxa"/>
            <w:vAlign w:val="bottom"/>
          </w:tcPr>
          <w:p>
            <w:pPr>
              <w:spacing w:after="0"/>
              <w:rPr>
                <w:sz w:val="20"/>
                <w:szCs w:val="20"/>
                <w:color w:val="auto"/>
              </w:rPr>
            </w:pPr>
            <w:r>
              <w:rPr>
                <w:rFonts w:ascii="Arial" w:cs="Arial" w:eastAsia="Arial" w:hAnsi="Arial"/>
                <w:sz w:val="16"/>
                <w:szCs w:val="16"/>
                <w:color w:val="auto"/>
              </w:rPr>
              <w:t>Richard M. Spaulding</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66</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1960</w:t>
            </w:r>
          </w:p>
        </w:tc>
        <w:tc>
          <w:tcPr>
            <w:tcW w:w="6720" w:type="dxa"/>
            <w:vAlign w:val="bottom"/>
          </w:tcPr>
          <w:p>
            <w:pPr>
              <w:ind w:left="320"/>
              <w:spacing w:after="0"/>
              <w:rPr>
                <w:sz w:val="20"/>
                <w:szCs w:val="20"/>
                <w:color w:val="auto"/>
              </w:rPr>
            </w:pPr>
            <w:r>
              <w:rPr>
                <w:rFonts w:ascii="Arial" w:cs="Arial" w:eastAsia="Arial" w:hAnsi="Arial"/>
                <w:sz w:val="16"/>
                <w:szCs w:val="16"/>
                <w:color w:val="auto"/>
              </w:rPr>
              <w:t>Director (since 1974) and Executive Vice President, Marketing (since 1974).</w:t>
            </w:r>
          </w:p>
        </w:tc>
      </w:tr>
      <w:tr>
        <w:trPr>
          <w:trHeight w:val="435"/>
        </w:trPr>
        <w:tc>
          <w:tcPr>
            <w:tcW w:w="2220" w:type="dxa"/>
            <w:vAlign w:val="bottom"/>
          </w:tcPr>
          <w:p>
            <w:pPr>
              <w:spacing w:after="0"/>
              <w:rPr>
                <w:sz w:val="20"/>
                <w:szCs w:val="20"/>
                <w:color w:val="auto"/>
              </w:rPr>
            </w:pPr>
            <w:r>
              <w:rPr>
                <w:rFonts w:ascii="Arial" w:cs="Arial" w:eastAsia="Arial" w:hAnsi="Arial"/>
                <w:sz w:val="16"/>
                <w:szCs w:val="16"/>
                <w:color w:val="auto"/>
              </w:rPr>
              <w:t>Judith A. Corman</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65</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1999</w:t>
            </w:r>
          </w:p>
        </w:tc>
        <w:tc>
          <w:tcPr>
            <w:tcW w:w="6720" w:type="dxa"/>
            <w:vAlign w:val="bottom"/>
          </w:tcPr>
          <w:p>
            <w:pPr>
              <w:ind w:left="320"/>
              <w:spacing w:after="0"/>
              <w:rPr>
                <w:sz w:val="20"/>
                <w:szCs w:val="20"/>
                <w:color w:val="auto"/>
              </w:rPr>
            </w:pPr>
            <w:r>
              <w:rPr>
                <w:rFonts w:ascii="Arial" w:cs="Arial" w:eastAsia="Arial" w:hAnsi="Arial"/>
                <w:sz w:val="16"/>
                <w:szCs w:val="16"/>
                <w:color w:val="auto"/>
              </w:rPr>
              <w:t>Senior Vice President, Corporate Communications and Media Relations (since 1999); and</w:t>
            </w:r>
          </w:p>
        </w:tc>
      </w:tr>
      <w:tr>
        <w:trPr>
          <w:trHeight w:val="197"/>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rPr>
              <w:t>prior to joining the Company, Senior Vice President at Robinson, Lerer &amp; Montgomery</w:t>
            </w:r>
          </w:p>
        </w:tc>
      </w:tr>
      <w:tr>
        <w:trPr>
          <w:trHeight w:val="197"/>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w w:val="99"/>
              </w:rPr>
              <w:t>(1994–1999), a strategic communications company, where she handled public relations for</w:t>
            </w:r>
          </w:p>
        </w:tc>
      </w:tr>
      <w:tr>
        <w:trPr>
          <w:trHeight w:val="205"/>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rPr>
              <w:t>various accounts.</w:t>
            </w:r>
          </w:p>
        </w:tc>
      </w:tr>
      <w:tr>
        <w:trPr>
          <w:trHeight w:val="411"/>
        </w:trPr>
        <w:tc>
          <w:tcPr>
            <w:tcW w:w="2220" w:type="dxa"/>
            <w:vAlign w:val="bottom"/>
          </w:tcPr>
          <w:p>
            <w:pPr>
              <w:spacing w:after="0"/>
              <w:rPr>
                <w:sz w:val="20"/>
                <w:szCs w:val="20"/>
                <w:color w:val="auto"/>
              </w:rPr>
            </w:pPr>
            <w:r>
              <w:rPr>
                <w:rFonts w:ascii="Arial" w:cs="Arial" w:eastAsia="Arial" w:hAnsi="Arial"/>
                <w:sz w:val="16"/>
                <w:szCs w:val="16"/>
                <w:color w:val="auto"/>
              </w:rPr>
              <w:t>Charles B. Deull</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43</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1995</w:t>
            </w:r>
          </w:p>
        </w:tc>
        <w:tc>
          <w:tcPr>
            <w:tcW w:w="6720" w:type="dxa"/>
            <w:vAlign w:val="bottom"/>
          </w:tcPr>
          <w:p>
            <w:pPr>
              <w:ind w:left="320"/>
              <w:spacing w:after="0"/>
              <w:rPr>
                <w:sz w:val="20"/>
                <w:szCs w:val="20"/>
                <w:color w:val="auto"/>
              </w:rPr>
            </w:pPr>
            <w:r>
              <w:rPr>
                <w:rFonts w:ascii="Arial" w:cs="Arial" w:eastAsia="Arial" w:hAnsi="Arial"/>
                <w:sz w:val="16"/>
                <w:szCs w:val="16"/>
                <w:color w:val="auto"/>
              </w:rPr>
              <w:t>Senior Vice President (since 1995), General Counsel (since 1999), Senior Vice President,</w:t>
            </w:r>
          </w:p>
        </w:tc>
      </w:tr>
      <w:tr>
        <w:trPr>
          <w:trHeight w:val="205"/>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rPr>
              <w:t>Legal and Business Affairs (1995-1999) and Corporate Secretary (since 1996).</w:t>
            </w:r>
          </w:p>
        </w:tc>
      </w:tr>
      <w:tr>
        <w:trPr>
          <w:trHeight w:val="418"/>
        </w:trPr>
        <w:tc>
          <w:tcPr>
            <w:tcW w:w="2220" w:type="dxa"/>
            <w:vAlign w:val="bottom"/>
          </w:tcPr>
          <w:p>
            <w:pPr>
              <w:spacing w:after="0"/>
              <w:rPr>
                <w:sz w:val="20"/>
                <w:szCs w:val="20"/>
                <w:color w:val="auto"/>
              </w:rPr>
            </w:pPr>
            <w:r>
              <w:rPr>
                <w:rFonts w:ascii="Arial" w:cs="Arial" w:eastAsia="Arial" w:hAnsi="Arial"/>
                <w:sz w:val="16"/>
                <w:szCs w:val="16"/>
                <w:color w:val="auto"/>
              </w:rPr>
              <w:t>Ernest M. Fleishman</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66</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1989</w:t>
            </w:r>
          </w:p>
        </w:tc>
        <w:tc>
          <w:tcPr>
            <w:tcW w:w="6720" w:type="dxa"/>
            <w:vAlign w:val="bottom"/>
          </w:tcPr>
          <w:p>
            <w:pPr>
              <w:ind w:left="320"/>
              <w:spacing w:after="0"/>
              <w:rPr>
                <w:sz w:val="20"/>
                <w:szCs w:val="20"/>
                <w:color w:val="auto"/>
              </w:rPr>
            </w:pPr>
            <w:r>
              <w:rPr>
                <w:rFonts w:ascii="Arial" w:cs="Arial" w:eastAsia="Arial" w:hAnsi="Arial"/>
                <w:sz w:val="16"/>
                <w:szCs w:val="16"/>
                <w:color w:val="auto"/>
              </w:rPr>
              <w:t>Senior Vice President, Education and Corporate Relations (since 1989).</w:t>
            </w:r>
          </w:p>
        </w:tc>
      </w:tr>
      <w:tr>
        <w:trPr>
          <w:trHeight w:val="435"/>
        </w:trPr>
        <w:tc>
          <w:tcPr>
            <w:tcW w:w="2220" w:type="dxa"/>
            <w:vAlign w:val="bottom"/>
          </w:tcPr>
          <w:p>
            <w:pPr>
              <w:spacing w:after="0"/>
              <w:rPr>
                <w:sz w:val="20"/>
                <w:szCs w:val="20"/>
                <w:color w:val="auto"/>
              </w:rPr>
            </w:pPr>
            <w:r>
              <w:rPr>
                <w:rFonts w:ascii="Arial" w:cs="Arial" w:eastAsia="Arial" w:hAnsi="Arial"/>
                <w:sz w:val="16"/>
                <w:szCs w:val="16"/>
                <w:color w:val="auto"/>
              </w:rPr>
              <w:t>Beth Ford</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39</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2000</w:t>
            </w:r>
          </w:p>
        </w:tc>
        <w:tc>
          <w:tcPr>
            <w:tcW w:w="6720" w:type="dxa"/>
            <w:vAlign w:val="bottom"/>
          </w:tcPr>
          <w:p>
            <w:pPr>
              <w:ind w:left="320"/>
              <w:spacing w:after="0"/>
              <w:rPr>
                <w:sz w:val="20"/>
                <w:szCs w:val="20"/>
                <w:color w:val="auto"/>
              </w:rPr>
            </w:pPr>
            <w:r>
              <w:rPr>
                <w:rFonts w:ascii="Arial" w:cs="Arial" w:eastAsia="Arial" w:hAnsi="Arial"/>
                <w:sz w:val="16"/>
                <w:szCs w:val="16"/>
                <w:color w:val="auto"/>
              </w:rPr>
              <w:t>Senior Vice President, Global Operations and Information Technology (since 2002) and</w:t>
            </w:r>
          </w:p>
        </w:tc>
      </w:tr>
      <w:tr>
        <w:trPr>
          <w:trHeight w:val="197"/>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rPr>
              <w:t>Senior Vice President, Global Operations (2000–2002); and prior to joining the Company,</w:t>
            </w:r>
          </w:p>
        </w:tc>
      </w:tr>
      <w:tr>
        <w:trPr>
          <w:trHeight w:val="205"/>
        </w:trPr>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720" w:type="dxa"/>
            <w:vAlign w:val="bottom"/>
          </w:tcPr>
          <w:p>
            <w:pPr>
              <w:ind w:left="320"/>
              <w:spacing w:after="0"/>
              <w:rPr>
                <w:sz w:val="20"/>
                <w:szCs w:val="20"/>
                <w:color w:val="auto"/>
              </w:rPr>
            </w:pPr>
            <w:r>
              <w:rPr>
                <w:rFonts w:ascii="Arial" w:cs="Arial" w:eastAsia="Arial" w:hAnsi="Arial"/>
                <w:sz w:val="16"/>
                <w:szCs w:val="16"/>
                <w:color w:val="auto"/>
              </w:rPr>
              <w:t>Director, Supply Chain at Pepsi Bottling Group/Pepsico (1997-2000).</w:t>
            </w:r>
          </w:p>
        </w:tc>
      </w:tr>
      <w:tr>
        <w:trPr>
          <w:trHeight w:val="418"/>
        </w:trPr>
        <w:tc>
          <w:tcPr>
            <w:tcW w:w="2220" w:type="dxa"/>
            <w:vAlign w:val="bottom"/>
          </w:tcPr>
          <w:p>
            <w:pPr>
              <w:spacing w:after="0"/>
              <w:rPr>
                <w:sz w:val="20"/>
                <w:szCs w:val="20"/>
                <w:color w:val="auto"/>
              </w:rPr>
            </w:pPr>
            <w:r>
              <w:rPr>
                <w:rFonts w:ascii="Arial" w:cs="Arial" w:eastAsia="Arial" w:hAnsi="Arial"/>
                <w:sz w:val="16"/>
                <w:szCs w:val="16"/>
                <w:color w:val="auto"/>
              </w:rPr>
              <w:t>Larry V. Holland</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44</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1994</w:t>
            </w:r>
          </w:p>
        </w:tc>
        <w:tc>
          <w:tcPr>
            <w:tcW w:w="6720" w:type="dxa"/>
            <w:vAlign w:val="bottom"/>
          </w:tcPr>
          <w:p>
            <w:pPr>
              <w:ind w:left="320"/>
              <w:spacing w:after="0"/>
              <w:rPr>
                <w:sz w:val="20"/>
                <w:szCs w:val="20"/>
                <w:color w:val="auto"/>
              </w:rPr>
            </w:pPr>
            <w:r>
              <w:rPr>
                <w:rFonts w:ascii="Arial" w:cs="Arial" w:eastAsia="Arial" w:hAnsi="Arial"/>
                <w:sz w:val="16"/>
                <w:szCs w:val="16"/>
                <w:color w:val="auto"/>
                <w:w w:val="99"/>
              </w:rPr>
              <w:t>Senior Vice President, Corporate Human Resources and Employee Services (since 1997).</w:t>
            </w:r>
          </w:p>
        </w:tc>
      </w:tr>
      <w:tr>
        <w:trPr>
          <w:trHeight w:val="443"/>
        </w:trPr>
        <w:tc>
          <w:tcPr>
            <w:tcW w:w="2220" w:type="dxa"/>
            <w:vAlign w:val="bottom"/>
          </w:tcPr>
          <w:p>
            <w:pPr>
              <w:spacing w:after="0"/>
              <w:rPr>
                <w:sz w:val="20"/>
                <w:szCs w:val="20"/>
                <w:color w:val="auto"/>
              </w:rPr>
            </w:pPr>
            <w:r>
              <w:rPr>
                <w:rFonts w:ascii="Arial" w:cs="Arial" w:eastAsia="Arial" w:hAnsi="Arial"/>
                <w:sz w:val="16"/>
                <w:szCs w:val="16"/>
                <w:color w:val="auto"/>
              </w:rPr>
              <w:t>Karen A. Maloney</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46</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1997</w:t>
            </w:r>
          </w:p>
        </w:tc>
        <w:tc>
          <w:tcPr>
            <w:tcW w:w="6720" w:type="dxa"/>
            <w:vAlign w:val="bottom"/>
          </w:tcPr>
          <w:p>
            <w:pPr>
              <w:ind w:left="320"/>
              <w:spacing w:after="0"/>
              <w:rPr>
                <w:sz w:val="20"/>
                <w:szCs w:val="20"/>
                <w:color w:val="auto"/>
              </w:rPr>
            </w:pPr>
            <w:r>
              <w:rPr>
                <w:rFonts w:ascii="Arial" w:cs="Arial" w:eastAsia="Arial" w:hAnsi="Arial"/>
                <w:sz w:val="16"/>
                <w:szCs w:val="16"/>
                <w:color w:val="auto"/>
              </w:rPr>
              <w:t>Vice President and Corporate Controller (since 1998).</w:t>
            </w:r>
          </w:p>
        </w:tc>
      </w:tr>
      <w:tr>
        <w:trPr>
          <w:trHeight w:val="640"/>
        </w:trPr>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20" w:type="dxa"/>
            <w:vAlign w:val="bottom"/>
          </w:tcPr>
          <w:p>
            <w:pPr>
              <w:ind w:left="960"/>
              <w:spacing w:after="0"/>
              <w:rPr>
                <w:sz w:val="20"/>
                <w:szCs w:val="20"/>
                <w:color w:val="auto"/>
              </w:rPr>
            </w:pPr>
            <w:r>
              <w:rPr>
                <w:rFonts w:ascii="Arial" w:cs="Arial" w:eastAsia="Arial" w:hAnsi="Arial"/>
                <w:sz w:val="16"/>
                <w:szCs w:val="16"/>
                <w:color w:val="auto"/>
              </w:rPr>
              <w:t>9</w:t>
            </w:r>
          </w:p>
        </w:tc>
      </w:tr>
      <w:tr>
        <w:trPr>
          <w:trHeight w:val="231"/>
        </w:trPr>
        <w:tc>
          <w:tcPr>
            <w:tcW w:w="222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080" w:type="dxa"/>
            <w:vAlign w:val="bottom"/>
            <w:tcBorders>
              <w:bottom w:val="single" w:sz="8" w:color="808080"/>
            </w:tcBorders>
          </w:tcPr>
          <w:p>
            <w:pPr>
              <w:spacing w:after="0"/>
              <w:rPr>
                <w:sz w:val="20"/>
                <w:szCs w:val="20"/>
                <w:color w:val="auto"/>
              </w:rPr>
            </w:pPr>
          </w:p>
        </w:tc>
        <w:tc>
          <w:tcPr>
            <w:tcW w:w="67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 Properties</w:t>
      </w:r>
    </w:p>
    <w:p>
      <w:pPr>
        <w:spacing w:after="0" w:line="34"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The Company maintains its principal offices in the metropolitan New York area, where it owns or leases approximately 600,000 square feet of space. The Company also owns or leases approximately 1.8 million square feet of office and warehouse space for its primary warehouse and distribution facility located in the Jefferson City, Missouri area and approximately 400,000 square feet of office and warehouse space related to its Grolier operations in Danbury, Connecticut and other United States locations. In addition, the Company owns or leases approximately 2.2 million square feet of office and warehouse space in over 80 facilities in the United States for Scholastic Book Fairs.</w:t>
      </w:r>
    </w:p>
    <w:p>
      <w:pPr>
        <w:spacing w:after="0" w:line="145"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In June 2002, the Company acquired the Maumelle Facility, consisting of a 500,000 square foot main floor and a 246,000 square foot mezzanine. This facility serves as the Company’s primary packaging and fulfillment center for its continuity programs.</w:t>
      </w:r>
    </w:p>
    <w:p>
      <w:pPr>
        <w:spacing w:after="0" w:line="15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Additionally, the Company owns or leases approximately 1.2 million square feet of office and warehouse space in over 100 facilities in Canada, the United Kingdom, Australia, New Zealand, Southeast Asia and elsewhere around the world for its international businesses.</w:t>
      </w:r>
    </w:p>
    <w:p>
      <w:pPr>
        <w:spacing w:after="0" w:line="157" w:lineRule="exact"/>
        <w:rPr>
          <w:sz w:val="20"/>
          <w:szCs w:val="20"/>
          <w:color w:val="auto"/>
        </w:rPr>
      </w:pPr>
    </w:p>
    <w:p>
      <w:pPr>
        <w:jc w:val="both"/>
        <w:ind w:right="260"/>
        <w:spacing w:after="0" w:line="270" w:lineRule="auto"/>
        <w:rPr>
          <w:sz w:val="20"/>
          <w:szCs w:val="20"/>
          <w:color w:val="auto"/>
        </w:rPr>
      </w:pPr>
      <w:r>
        <w:rPr>
          <w:rFonts w:ascii="Arial" w:cs="Arial" w:eastAsia="Arial" w:hAnsi="Arial"/>
          <w:sz w:val="16"/>
          <w:szCs w:val="16"/>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 4 of 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 Legal Proceedings</w:t>
      </w:r>
    </w:p>
    <w:p>
      <w:pPr>
        <w:spacing w:after="0" w:line="34"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 Submission of Matters to a Vote of Security Holders</w:t>
      </w:r>
    </w:p>
    <w:p>
      <w:pPr>
        <w:spacing w:after="0" w:line="34"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During the fourth quarter of the fiscal year covered by this report, no matter was submitted to the vote of security holders, through the solicitation of proxies or otherwise.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39"/>
          <w:szCs w:val="39"/>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6376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 Market for the Registrant’s Common Equity and Related Stockholder Matters</w:t>
      </w:r>
    </w:p>
    <w:p>
      <w:pPr>
        <w:spacing w:after="0" w:line="3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Scholastic Corporation’s common stock, par value $0.01 per share (the “Common Stock”), is traded on the NASDAQ National Market System under the symbol SCHL. Scholastic Corporation’s Class A Stock, par value $0.01 per share (the “Class A Stock”), is convertible into Common Stock on a share-for-share basis. There is no established public trading market for the Class A Stock. The table below sets forth, for the periods indicated, the quarterly high and low selling prices on the NASDAQ National Market System for the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w w:val="90"/>
              </w:rPr>
              <w:t>For fiscal years ended May 31,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0" w:type="dxa"/>
            <w:vAlign w:val="bottom"/>
          </w:tcPr>
          <w:p>
            <w:pPr>
              <w:jc w:val="right"/>
              <w:ind w:right="1053"/>
              <w:spacing w:after="0"/>
              <w:rPr>
                <w:sz w:val="20"/>
                <w:szCs w:val="20"/>
                <w:color w:val="auto"/>
              </w:rPr>
            </w:pPr>
            <w:r>
              <w:rPr>
                <w:rFonts w:ascii="Arial" w:cs="Arial" w:eastAsia="Arial" w:hAnsi="Arial"/>
                <w:sz w:val="20"/>
                <w:szCs w:val="20"/>
                <w:b w:val="1"/>
                <w:bCs w:val="1"/>
                <w:color w:val="auto"/>
              </w:rPr>
              <w:t>2003</w:t>
            </w:r>
          </w:p>
        </w:tc>
        <w:tc>
          <w:tcPr>
            <w:tcW w:w="1060" w:type="dxa"/>
            <w:vAlign w:val="bottom"/>
          </w:tcPr>
          <w:p>
            <w:pPr>
              <w:spacing w:after="0"/>
              <w:rPr>
                <w:sz w:val="24"/>
                <w:szCs w:val="24"/>
                <w:color w:val="auto"/>
              </w:rPr>
            </w:pPr>
          </w:p>
        </w:tc>
        <w:tc>
          <w:tcPr>
            <w:tcW w:w="2000" w:type="dxa"/>
            <w:vAlign w:val="bottom"/>
          </w:tcPr>
          <w:p>
            <w:pPr>
              <w:jc w:val="right"/>
              <w:ind w:right="1214"/>
              <w:spacing w:after="0"/>
              <w:rPr>
                <w:sz w:val="20"/>
                <w:szCs w:val="20"/>
                <w:color w:val="auto"/>
              </w:rPr>
            </w:pPr>
            <w:r>
              <w:rPr>
                <w:rFonts w:ascii="Arial" w:cs="Arial" w:eastAsia="Arial" w:hAnsi="Arial"/>
                <w:sz w:val="20"/>
                <w:szCs w:val="20"/>
                <w:b w:val="1"/>
                <w:bCs w:val="1"/>
                <w:color w:val="auto"/>
              </w:rPr>
              <w:t>2002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400" w:type="dxa"/>
            <w:vAlign w:val="bottom"/>
            <w:tcBorders>
              <w:bottom w:val="single" w:sz="8" w:color="808080"/>
            </w:tcBorders>
          </w:tcPr>
          <w:p>
            <w:pPr>
              <w:spacing w:after="0"/>
              <w:rPr>
                <w:sz w:val="7"/>
                <w:szCs w:val="7"/>
                <w:color w:val="auto"/>
              </w:rPr>
            </w:pPr>
          </w:p>
        </w:tc>
        <w:tc>
          <w:tcPr>
            <w:tcW w:w="314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0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40" w:type="dxa"/>
            <w:vAlign w:val="bottom"/>
          </w:tcPr>
          <w:p>
            <w:pPr>
              <w:jc w:val="right"/>
              <w:ind w:right="155"/>
              <w:spacing w:after="0"/>
              <w:rPr>
                <w:sz w:val="20"/>
                <w:szCs w:val="20"/>
                <w:color w:val="auto"/>
              </w:rPr>
            </w:pPr>
            <w:r>
              <w:rPr>
                <w:rFonts w:ascii="Arial" w:cs="Arial" w:eastAsia="Arial" w:hAnsi="Arial"/>
                <w:sz w:val="20"/>
                <w:szCs w:val="20"/>
                <w:b w:val="1"/>
                <w:bCs w:val="1"/>
                <w:color w:val="auto"/>
              </w:rPr>
              <w:t>High</w:t>
            </w:r>
          </w:p>
        </w:tc>
        <w:tc>
          <w:tcPr>
            <w:tcW w:w="1800" w:type="dxa"/>
            <w:vAlign w:val="bottom"/>
          </w:tcPr>
          <w:p>
            <w:pPr>
              <w:jc w:val="right"/>
              <w:ind w:right="473"/>
              <w:spacing w:after="0"/>
              <w:rPr>
                <w:sz w:val="20"/>
                <w:szCs w:val="20"/>
                <w:color w:val="auto"/>
              </w:rPr>
            </w:pPr>
            <w:r>
              <w:rPr>
                <w:rFonts w:ascii="Arial" w:cs="Arial" w:eastAsia="Arial" w:hAnsi="Arial"/>
                <w:sz w:val="20"/>
                <w:szCs w:val="20"/>
                <w:b w:val="1"/>
                <w:bCs w:val="1"/>
                <w:color w:val="auto"/>
              </w:rPr>
              <w:t>Low</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High</w:t>
            </w:r>
          </w:p>
        </w:tc>
        <w:tc>
          <w:tcPr>
            <w:tcW w:w="2000" w:type="dxa"/>
            <w:vAlign w:val="bottom"/>
          </w:tcPr>
          <w:p>
            <w:pPr>
              <w:jc w:val="right"/>
              <w:ind w:right="474"/>
              <w:spacing w:after="0"/>
              <w:rPr>
                <w:sz w:val="20"/>
                <w:szCs w:val="20"/>
                <w:color w:val="auto"/>
              </w:rPr>
            </w:pPr>
            <w:r>
              <w:rPr>
                <w:rFonts w:ascii="Arial" w:cs="Arial" w:eastAsia="Arial" w:hAnsi="Arial"/>
                <w:sz w:val="20"/>
                <w:szCs w:val="20"/>
                <w:b w:val="1"/>
                <w:bCs w:val="1"/>
                <w:color w:val="auto"/>
              </w:rPr>
              <w:t>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400" w:type="dxa"/>
            <w:vAlign w:val="bottom"/>
            <w:tcBorders>
              <w:bottom w:val="single" w:sz="8" w:color="808080"/>
            </w:tcBorders>
          </w:tcPr>
          <w:p>
            <w:pPr>
              <w:spacing w:after="0"/>
              <w:rPr>
                <w:sz w:val="7"/>
                <w:szCs w:val="7"/>
                <w:color w:val="auto"/>
              </w:rPr>
            </w:pPr>
          </w:p>
        </w:tc>
        <w:tc>
          <w:tcPr>
            <w:tcW w:w="314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0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4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400" w:type="dxa"/>
            <w:vAlign w:val="bottom"/>
            <w:shd w:val="clear" w:color="auto" w:fill="DDDDDD"/>
          </w:tcPr>
          <w:p>
            <w:pPr>
              <w:spacing w:after="0"/>
              <w:rPr>
                <w:sz w:val="20"/>
                <w:szCs w:val="20"/>
                <w:color w:val="auto"/>
              </w:rPr>
            </w:pPr>
            <w:r>
              <w:rPr>
                <w:rFonts w:ascii="Arial" w:cs="Arial" w:eastAsia="Arial" w:hAnsi="Arial"/>
                <w:sz w:val="16"/>
                <w:szCs w:val="16"/>
                <w:color w:val="auto"/>
              </w:rPr>
              <w:t>First Quarter</w:t>
            </w:r>
          </w:p>
        </w:tc>
        <w:tc>
          <w:tcPr>
            <w:tcW w:w="3140" w:type="dxa"/>
            <w:vAlign w:val="bottom"/>
            <w:shd w:val="clear" w:color="auto" w:fill="DDDDDD"/>
          </w:tcPr>
          <w:p>
            <w:pPr>
              <w:jc w:val="right"/>
              <w:ind w:right="155"/>
              <w:spacing w:after="0"/>
              <w:rPr>
                <w:sz w:val="20"/>
                <w:szCs w:val="20"/>
                <w:color w:val="auto"/>
              </w:rPr>
            </w:pPr>
            <w:r>
              <w:rPr>
                <w:rFonts w:ascii="Arial" w:cs="Arial" w:eastAsia="Arial" w:hAnsi="Arial"/>
                <w:sz w:val="16"/>
                <w:szCs w:val="16"/>
                <w:color w:val="auto"/>
              </w:rPr>
              <w:t>$ 46.45</w:t>
            </w:r>
          </w:p>
        </w:tc>
        <w:tc>
          <w:tcPr>
            <w:tcW w:w="1800" w:type="dxa"/>
            <w:vAlign w:val="bottom"/>
            <w:shd w:val="clear" w:color="auto" w:fill="DDDDDD"/>
          </w:tcPr>
          <w:p>
            <w:pPr>
              <w:jc w:val="right"/>
              <w:ind w:right="473"/>
              <w:spacing w:after="0"/>
              <w:rPr>
                <w:sz w:val="20"/>
                <w:szCs w:val="20"/>
                <w:color w:val="auto"/>
              </w:rPr>
            </w:pPr>
            <w:r>
              <w:rPr>
                <w:rFonts w:ascii="Arial" w:cs="Arial" w:eastAsia="Arial" w:hAnsi="Arial"/>
                <w:sz w:val="16"/>
                <w:szCs w:val="16"/>
                <w:color w:val="auto"/>
              </w:rPr>
              <w:t>$ 33.62</w:t>
            </w:r>
          </w:p>
        </w:tc>
        <w:tc>
          <w:tcPr>
            <w:tcW w:w="10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$ 43.17</w:t>
            </w:r>
          </w:p>
        </w:tc>
        <w:tc>
          <w:tcPr>
            <w:tcW w:w="2000" w:type="dxa"/>
            <w:vAlign w:val="bottom"/>
            <w:shd w:val="clear" w:color="auto" w:fill="DDDDDD"/>
          </w:tcPr>
          <w:p>
            <w:pPr>
              <w:jc w:val="right"/>
              <w:ind w:right="474"/>
              <w:spacing w:after="0"/>
              <w:rPr>
                <w:sz w:val="20"/>
                <w:szCs w:val="20"/>
                <w:color w:val="auto"/>
              </w:rPr>
            </w:pPr>
            <w:r>
              <w:rPr>
                <w:rFonts w:ascii="Arial" w:cs="Arial" w:eastAsia="Arial" w:hAnsi="Arial"/>
                <w:sz w:val="16"/>
                <w:szCs w:val="16"/>
                <w:color w:val="auto"/>
              </w:rPr>
              <w:t>$ 36.00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Second Quarter</w:t>
            </w:r>
          </w:p>
        </w:tc>
        <w:tc>
          <w:tcPr>
            <w:tcW w:w="3140" w:type="dxa"/>
            <w:vAlign w:val="bottom"/>
          </w:tcPr>
          <w:p>
            <w:pPr>
              <w:jc w:val="right"/>
              <w:ind w:right="155"/>
              <w:spacing w:after="0"/>
              <w:rPr>
                <w:sz w:val="20"/>
                <w:szCs w:val="20"/>
                <w:color w:val="auto"/>
              </w:rPr>
            </w:pPr>
            <w:r>
              <w:rPr>
                <w:rFonts w:ascii="Arial" w:cs="Arial" w:eastAsia="Arial" w:hAnsi="Arial"/>
                <w:sz w:val="16"/>
                <w:szCs w:val="16"/>
                <w:color w:val="auto"/>
              </w:rPr>
              <w:t>48.89</w:t>
            </w:r>
          </w:p>
        </w:tc>
        <w:tc>
          <w:tcPr>
            <w:tcW w:w="1800" w:type="dxa"/>
            <w:vAlign w:val="bottom"/>
          </w:tcPr>
          <w:p>
            <w:pPr>
              <w:jc w:val="right"/>
              <w:ind w:right="473"/>
              <w:spacing w:after="0"/>
              <w:rPr>
                <w:sz w:val="20"/>
                <w:szCs w:val="20"/>
                <w:color w:val="auto"/>
              </w:rPr>
            </w:pPr>
            <w:r>
              <w:rPr>
                <w:rFonts w:ascii="Arial" w:cs="Arial" w:eastAsia="Arial" w:hAnsi="Arial"/>
                <w:sz w:val="16"/>
                <w:szCs w:val="16"/>
                <w:color w:val="auto"/>
              </w:rPr>
              <w:t>40.83</w:t>
            </w:r>
          </w:p>
        </w:tc>
        <w:tc>
          <w:tcPr>
            <w:tcW w:w="1060" w:type="dxa"/>
            <w:vAlign w:val="bottom"/>
          </w:tcPr>
          <w:p>
            <w:pPr>
              <w:jc w:val="right"/>
              <w:spacing w:after="0"/>
              <w:rPr>
                <w:sz w:val="20"/>
                <w:szCs w:val="20"/>
                <w:color w:val="auto"/>
              </w:rPr>
            </w:pPr>
            <w:r>
              <w:rPr>
                <w:rFonts w:ascii="Arial" w:cs="Arial" w:eastAsia="Arial" w:hAnsi="Arial"/>
                <w:sz w:val="16"/>
                <w:szCs w:val="16"/>
                <w:color w:val="auto"/>
              </w:rPr>
              <w:t>47.65</w:t>
            </w:r>
          </w:p>
        </w:tc>
        <w:tc>
          <w:tcPr>
            <w:tcW w:w="2000" w:type="dxa"/>
            <w:vAlign w:val="bottom"/>
          </w:tcPr>
          <w:p>
            <w:pPr>
              <w:jc w:val="right"/>
              <w:ind w:right="474"/>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shd w:val="clear" w:color="auto" w:fill="DDDDDD"/>
          </w:tcPr>
          <w:p>
            <w:pPr>
              <w:spacing w:after="0"/>
              <w:rPr>
                <w:sz w:val="20"/>
                <w:szCs w:val="20"/>
                <w:color w:val="auto"/>
              </w:rPr>
            </w:pPr>
            <w:r>
              <w:rPr>
                <w:rFonts w:ascii="Arial" w:cs="Arial" w:eastAsia="Arial" w:hAnsi="Arial"/>
                <w:sz w:val="16"/>
                <w:szCs w:val="16"/>
                <w:color w:val="auto"/>
              </w:rPr>
              <w:t>Third Quarter</w:t>
            </w:r>
          </w:p>
        </w:tc>
        <w:tc>
          <w:tcPr>
            <w:tcW w:w="3140" w:type="dxa"/>
            <w:vAlign w:val="bottom"/>
            <w:shd w:val="clear" w:color="auto" w:fill="DDDDDD"/>
          </w:tcPr>
          <w:p>
            <w:pPr>
              <w:jc w:val="right"/>
              <w:ind w:right="155"/>
              <w:spacing w:after="0"/>
              <w:rPr>
                <w:sz w:val="20"/>
                <w:szCs w:val="20"/>
                <w:color w:val="auto"/>
              </w:rPr>
            </w:pPr>
            <w:r>
              <w:rPr>
                <w:rFonts w:ascii="Arial" w:cs="Arial" w:eastAsia="Arial" w:hAnsi="Arial"/>
                <w:sz w:val="16"/>
                <w:szCs w:val="16"/>
                <w:color w:val="auto"/>
              </w:rPr>
              <w:t>45.02</w:t>
            </w:r>
          </w:p>
        </w:tc>
        <w:tc>
          <w:tcPr>
            <w:tcW w:w="1800" w:type="dxa"/>
            <w:vAlign w:val="bottom"/>
            <w:shd w:val="clear" w:color="auto" w:fill="DDDDDD"/>
          </w:tcPr>
          <w:p>
            <w:pPr>
              <w:jc w:val="right"/>
              <w:ind w:right="473"/>
              <w:spacing w:after="0"/>
              <w:rPr>
                <w:sz w:val="20"/>
                <w:szCs w:val="20"/>
                <w:color w:val="auto"/>
              </w:rPr>
            </w:pPr>
            <w:r>
              <w:rPr>
                <w:rFonts w:ascii="Arial" w:cs="Arial" w:eastAsia="Arial" w:hAnsi="Arial"/>
                <w:sz w:val="16"/>
                <w:szCs w:val="16"/>
                <w:color w:val="auto"/>
              </w:rPr>
              <w:t>23.01</w:t>
            </w:r>
          </w:p>
        </w:tc>
        <w:tc>
          <w:tcPr>
            <w:tcW w:w="10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51.91</w:t>
            </w:r>
          </w:p>
        </w:tc>
        <w:tc>
          <w:tcPr>
            <w:tcW w:w="2000" w:type="dxa"/>
            <w:vAlign w:val="bottom"/>
            <w:shd w:val="clear" w:color="auto" w:fill="DDDDDD"/>
          </w:tcPr>
          <w:p>
            <w:pPr>
              <w:jc w:val="right"/>
              <w:ind w:right="474"/>
              <w:spacing w:after="0"/>
              <w:rPr>
                <w:sz w:val="20"/>
                <w:szCs w:val="20"/>
                <w:color w:val="auto"/>
              </w:rPr>
            </w:pPr>
            <w:r>
              <w:rPr>
                <w:rFonts w:ascii="Arial" w:cs="Arial" w:eastAsia="Arial" w:hAnsi="Arial"/>
                <w:sz w:val="16"/>
                <w:szCs w:val="16"/>
                <w:color w:val="auto"/>
              </w:rPr>
              <w:t>42.19</w:t>
            </w:r>
          </w:p>
        </w:tc>
        <w:tc>
          <w:tcPr>
            <w:tcW w:w="0" w:type="dxa"/>
            <w:vAlign w:val="bottom"/>
          </w:tcPr>
          <w:p>
            <w:pPr>
              <w:spacing w:after="0"/>
              <w:rPr>
                <w:sz w:val="1"/>
                <w:szCs w:val="1"/>
                <w:color w:val="auto"/>
              </w:rPr>
            </w:pPr>
          </w:p>
        </w:tc>
      </w:tr>
    </w:tbl>
    <w:p>
      <w:pPr>
        <w:sectPr>
          <w:pgSz w:w="11900" w:h="16838" w:orient="portrait"/>
          <w:cols w:equalWidth="0" w:num="1">
            <w:col w:w="11440"/>
          </w:cols>
          <w:pgMar w:left="240" w:top="131" w:right="219" w:bottom="0" w:gutter="0" w:footer="0" w:header="0"/>
        </w:sectPr>
      </w:pPr>
    </w:p>
    <w:bookmarkStart w:id="7" w:name="page8"/>
    <w:bookmarkEnd w:id="7"/>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3460" w:type="dxa"/>
            <w:vAlign w:val="bottom"/>
          </w:tcPr>
          <w:p>
            <w:pPr>
              <w:spacing w:after="0"/>
              <w:rPr>
                <w:sz w:val="20"/>
                <w:szCs w:val="20"/>
                <w:color w:val="auto"/>
              </w:rPr>
            </w:pPr>
            <w:r>
              <w:rPr>
                <w:rFonts w:ascii="Arial" w:cs="Arial" w:eastAsia="Arial" w:hAnsi="Arial"/>
                <w:sz w:val="16"/>
                <w:szCs w:val="16"/>
                <w:color w:val="auto"/>
              </w:rPr>
              <w:t>Fourth Quarter</w:t>
            </w:r>
          </w:p>
        </w:tc>
        <w:tc>
          <w:tcPr>
            <w:tcW w:w="3420" w:type="dxa"/>
            <w:vAlign w:val="bottom"/>
          </w:tcPr>
          <w:p>
            <w:pPr>
              <w:jc w:val="right"/>
              <w:ind w:right="480"/>
              <w:spacing w:after="0"/>
              <w:rPr>
                <w:sz w:val="20"/>
                <w:szCs w:val="20"/>
                <w:color w:val="auto"/>
              </w:rPr>
            </w:pPr>
            <w:r>
              <w:rPr>
                <w:rFonts w:ascii="Arial" w:cs="Arial" w:eastAsia="Arial" w:hAnsi="Arial"/>
                <w:sz w:val="16"/>
                <w:szCs w:val="16"/>
                <w:color w:val="auto"/>
              </w:rPr>
              <w:t>32.68</w:t>
            </w:r>
          </w:p>
        </w:tc>
        <w:tc>
          <w:tcPr>
            <w:tcW w:w="1540" w:type="dxa"/>
            <w:vAlign w:val="bottom"/>
          </w:tcPr>
          <w:p>
            <w:pPr>
              <w:jc w:val="right"/>
              <w:ind w:right="540"/>
              <w:spacing w:after="0"/>
              <w:rPr>
                <w:sz w:val="20"/>
                <w:szCs w:val="20"/>
                <w:color w:val="auto"/>
              </w:rPr>
            </w:pPr>
            <w:r>
              <w:rPr>
                <w:rFonts w:ascii="Arial" w:cs="Arial" w:eastAsia="Arial" w:hAnsi="Arial"/>
                <w:sz w:val="16"/>
                <w:szCs w:val="16"/>
                <w:color w:val="auto"/>
              </w:rPr>
              <w:t>23.00</w:t>
            </w:r>
          </w:p>
        </w:tc>
        <w:tc>
          <w:tcPr>
            <w:tcW w:w="1520" w:type="dxa"/>
            <w:vAlign w:val="bottom"/>
          </w:tcPr>
          <w:p>
            <w:pPr>
              <w:jc w:val="right"/>
              <w:ind w:right="480"/>
              <w:spacing w:after="0"/>
              <w:rPr>
                <w:sz w:val="20"/>
                <w:szCs w:val="20"/>
                <w:color w:val="auto"/>
              </w:rPr>
            </w:pPr>
            <w:r>
              <w:rPr>
                <w:rFonts w:ascii="Arial" w:cs="Arial" w:eastAsia="Arial" w:hAnsi="Arial"/>
                <w:sz w:val="16"/>
                <w:szCs w:val="16"/>
                <w:color w:val="auto"/>
              </w:rPr>
              <w:t>56.40</w:t>
            </w:r>
          </w:p>
        </w:tc>
        <w:tc>
          <w:tcPr>
            <w:tcW w:w="1500" w:type="dxa"/>
            <w:vAlign w:val="bottom"/>
          </w:tcPr>
          <w:p>
            <w:pPr>
              <w:jc w:val="right"/>
              <w:ind w:right="500"/>
              <w:spacing w:after="0"/>
              <w:rPr>
                <w:sz w:val="20"/>
                <w:szCs w:val="20"/>
                <w:color w:val="auto"/>
              </w:rPr>
            </w:pPr>
            <w:r>
              <w:rPr>
                <w:rFonts w:ascii="Arial" w:cs="Arial" w:eastAsia="Arial" w:hAnsi="Arial"/>
                <w:sz w:val="16"/>
                <w:szCs w:val="16"/>
                <w:color w:val="auto"/>
              </w:rPr>
              <w:t>45.35</w:t>
            </w:r>
          </w:p>
        </w:tc>
      </w:tr>
      <w:tr>
        <w:trPr>
          <w:trHeight w:val="145"/>
        </w:trPr>
        <w:tc>
          <w:tcPr>
            <w:tcW w:w="3460" w:type="dxa"/>
            <w:vAlign w:val="bottom"/>
            <w:tcBorders>
              <w:bottom w:val="single" w:sz="8" w:color="808080"/>
            </w:tcBorders>
          </w:tcPr>
          <w:p>
            <w:pPr>
              <w:spacing w:after="0"/>
              <w:rPr>
                <w:sz w:val="12"/>
                <w:szCs w:val="12"/>
                <w:color w:val="auto"/>
              </w:rPr>
            </w:pPr>
          </w:p>
        </w:tc>
        <w:tc>
          <w:tcPr>
            <w:tcW w:w="3420" w:type="dxa"/>
            <w:vAlign w:val="bottom"/>
            <w:tcBorders>
              <w:bottom w:val="single" w:sz="8" w:color="808080"/>
            </w:tcBorders>
          </w:tcPr>
          <w:p>
            <w:pPr>
              <w:spacing w:after="0"/>
              <w:rPr>
                <w:sz w:val="12"/>
                <w:szCs w:val="12"/>
                <w:color w:val="auto"/>
              </w:rPr>
            </w:pPr>
          </w:p>
        </w:tc>
        <w:tc>
          <w:tcPr>
            <w:tcW w:w="154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-27940</wp:posOffset>
            </wp:positionV>
            <wp:extent cx="12700" cy="2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 w:right="40"/>
        <w:spacing w:after="0" w:line="270" w:lineRule="auto"/>
        <w:rPr>
          <w:sz w:val="20"/>
          <w:szCs w:val="20"/>
          <w:color w:val="auto"/>
        </w:rPr>
      </w:pPr>
      <w:r>
        <w:rPr>
          <w:rFonts w:ascii="Arial" w:cs="Arial" w:eastAsia="Arial" w:hAnsi="Arial"/>
          <w:sz w:val="16"/>
          <w:szCs w:val="16"/>
          <w:color w:val="auto"/>
        </w:rPr>
        <w:t>Scholastic Corporation has not paid any cash dividends since its initial public offering in February 1992 and has no current plans to pay any dividends on the Class A Stock or the Common Stock. In addition, certain of the Company’s credit facilities restrict the payment of dividends. See Note 3 of Notes to Consolidated Financial Statements for further information.</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number of holders of record of Class A Stock and Common Stock as of August 1, 2003 were 3 and approximately 15,800, respectively.</w:t>
      </w:r>
    </w:p>
    <w:p>
      <w:pPr>
        <w:spacing w:after="0" w:line="21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Item 6 | Selected Financial Data</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(Amounts in millions, except per share data)</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586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78" w:lineRule="exact"/>
        <w:rPr>
          <w:sz w:val="20"/>
          <w:szCs w:val="20"/>
          <w:color w:val="auto"/>
        </w:rPr>
      </w:pPr>
    </w:p>
    <w:tbl>
      <w:tblPr>
        <w:tblLayout w:type="fixed"/>
        <w:tblInd w:w="2"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jc w:val="right"/>
              <w:ind w:right="199"/>
              <w:spacing w:after="0"/>
              <w:rPr>
                <w:sz w:val="20"/>
                <w:szCs w:val="20"/>
                <w:color w:val="auto"/>
              </w:rPr>
            </w:pPr>
            <w:r>
              <w:rPr>
                <w:rFonts w:ascii="Arial" w:cs="Arial" w:eastAsia="Arial" w:hAnsi="Arial"/>
                <w:sz w:val="20"/>
                <w:szCs w:val="20"/>
                <w:b w:val="1"/>
                <w:bCs w:val="1"/>
                <w:color w:val="auto"/>
              </w:rPr>
              <w:t>2003</w:t>
            </w:r>
          </w:p>
        </w:tc>
        <w:tc>
          <w:tcPr>
            <w:tcW w:w="440" w:type="dxa"/>
            <w:vAlign w:val="bottom"/>
          </w:tcPr>
          <w:p>
            <w:pPr>
              <w:spacing w:after="0"/>
              <w:rPr>
                <w:sz w:val="22"/>
                <w:szCs w:val="22"/>
                <w:color w:val="auto"/>
              </w:rPr>
            </w:pPr>
          </w:p>
        </w:tc>
        <w:tc>
          <w:tcPr>
            <w:tcW w:w="780" w:type="dxa"/>
            <w:vAlign w:val="bottom"/>
          </w:tcPr>
          <w:p>
            <w:pPr>
              <w:jc w:val="right"/>
              <w:ind w:right="199"/>
              <w:spacing w:after="0"/>
              <w:rPr>
                <w:sz w:val="20"/>
                <w:szCs w:val="20"/>
                <w:color w:val="auto"/>
              </w:rPr>
            </w:pPr>
            <w:r>
              <w:rPr>
                <w:rFonts w:ascii="Arial" w:cs="Arial" w:eastAsia="Arial" w:hAnsi="Arial"/>
                <w:sz w:val="20"/>
                <w:szCs w:val="20"/>
                <w:b w:val="1"/>
                <w:bCs w:val="1"/>
                <w:color w:val="auto"/>
              </w:rPr>
              <w:t>2002</w:t>
            </w:r>
          </w:p>
        </w:tc>
        <w:tc>
          <w:tcPr>
            <w:tcW w:w="440" w:type="dxa"/>
            <w:vAlign w:val="bottom"/>
          </w:tcPr>
          <w:p>
            <w:pPr>
              <w:spacing w:after="0"/>
              <w:rPr>
                <w:sz w:val="22"/>
                <w:szCs w:val="22"/>
                <w:color w:val="auto"/>
              </w:rPr>
            </w:pPr>
          </w:p>
        </w:tc>
        <w:tc>
          <w:tcPr>
            <w:tcW w:w="780" w:type="dxa"/>
            <w:vAlign w:val="bottom"/>
          </w:tcPr>
          <w:p>
            <w:pPr>
              <w:jc w:val="right"/>
              <w:ind w:right="199"/>
              <w:spacing w:after="0"/>
              <w:rPr>
                <w:sz w:val="20"/>
                <w:szCs w:val="20"/>
                <w:color w:val="auto"/>
              </w:rPr>
            </w:pPr>
            <w:r>
              <w:rPr>
                <w:rFonts w:ascii="Arial" w:cs="Arial" w:eastAsia="Arial" w:hAnsi="Arial"/>
                <w:sz w:val="20"/>
                <w:szCs w:val="20"/>
                <w:b w:val="1"/>
                <w:bCs w:val="1"/>
                <w:color w:val="auto"/>
              </w:rPr>
              <w:t>2001</w:t>
            </w:r>
          </w:p>
        </w:tc>
        <w:tc>
          <w:tcPr>
            <w:tcW w:w="440" w:type="dxa"/>
            <w:vAlign w:val="bottom"/>
          </w:tcPr>
          <w:p>
            <w:pPr>
              <w:spacing w:after="0"/>
              <w:rPr>
                <w:sz w:val="22"/>
                <w:szCs w:val="22"/>
                <w:color w:val="auto"/>
              </w:rPr>
            </w:pPr>
          </w:p>
        </w:tc>
        <w:tc>
          <w:tcPr>
            <w:tcW w:w="820" w:type="dxa"/>
            <w:vAlign w:val="bottom"/>
          </w:tcPr>
          <w:p>
            <w:pPr>
              <w:jc w:val="right"/>
              <w:ind w:right="239"/>
              <w:spacing w:after="0"/>
              <w:rPr>
                <w:sz w:val="20"/>
                <w:szCs w:val="20"/>
                <w:color w:val="auto"/>
              </w:rPr>
            </w:pPr>
            <w:r>
              <w:rPr>
                <w:rFonts w:ascii="Arial" w:cs="Arial" w:eastAsia="Arial" w:hAnsi="Arial"/>
                <w:sz w:val="20"/>
                <w:szCs w:val="20"/>
                <w:b w:val="1"/>
                <w:bCs w:val="1"/>
                <w:color w:val="auto"/>
              </w:rPr>
              <w:t>2000</w:t>
            </w:r>
          </w:p>
        </w:tc>
        <w:tc>
          <w:tcPr>
            <w:tcW w:w="4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1999</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300" w:type="dxa"/>
            <w:vAlign w:val="bottom"/>
            <w:tcBorders>
              <w:bottom w:val="single" w:sz="8" w:color="808080"/>
            </w:tcBorders>
          </w:tcPr>
          <w:p>
            <w:pPr>
              <w:spacing w:after="0"/>
              <w:rPr>
                <w:sz w:val="7"/>
                <w:szCs w:val="7"/>
                <w:color w:val="auto"/>
              </w:rPr>
            </w:pPr>
          </w:p>
        </w:tc>
        <w:tc>
          <w:tcPr>
            <w:tcW w:w="15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Statement of Income Data:</w:t>
            </w: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Total revenues</w:t>
            </w: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w w:val="93"/>
              </w:rPr>
              <w:t>1,958.3</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w w:val="89"/>
              </w:rPr>
              <w:t>1,917.0</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w w:val="89"/>
              </w:rPr>
              <w:t>1,962.3</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w w:val="89"/>
              </w:rPr>
              <w:t>1,402.5</w:t>
            </w:r>
          </w:p>
        </w:tc>
        <w:tc>
          <w:tcPr>
            <w:tcW w:w="4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w w:val="89"/>
              </w:rPr>
              <w:t>1,165.5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Cost of goods sold</w:t>
            </w:r>
          </w:p>
        </w:tc>
        <w:tc>
          <w:tcPr>
            <w:tcW w:w="156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882.1</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852.1</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899.7</w:t>
            </w:r>
          </w:p>
        </w:tc>
        <w:tc>
          <w:tcPr>
            <w:tcW w:w="4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692.8</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Cost of goods sold — Special Literacy Place</w:t>
            </w:r>
          </w:p>
        </w:tc>
        <w:tc>
          <w:tcPr>
            <w:tcW w:w="156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78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78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58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shd w:val="clear" w:color="auto" w:fill="DDDDDD"/>
          </w:tcPr>
          <w:p>
            <w:pPr>
              <w:ind w:left="420"/>
              <w:spacing w:after="0" w:line="240" w:lineRule="exact"/>
              <w:rPr>
                <w:sz w:val="20"/>
                <w:szCs w:val="20"/>
                <w:color w:val="auto"/>
              </w:rPr>
            </w:pPr>
            <w:r>
              <w:rPr>
                <w:rFonts w:ascii="Arial" w:cs="Arial" w:eastAsia="Arial" w:hAnsi="Arial"/>
                <w:sz w:val="16"/>
                <w:szCs w:val="16"/>
                <w:color w:val="auto"/>
              </w:rPr>
              <w:t>and other charges</w:t>
            </w:r>
            <w:r>
              <w:rPr>
                <w:rFonts w:ascii="Arial" w:cs="Arial" w:eastAsia="Arial" w:hAnsi="Arial"/>
                <w:sz w:val="26"/>
                <w:szCs w:val="26"/>
                <w:color w:val="auto"/>
                <w:vertAlign w:val="superscript"/>
              </w:rPr>
              <w:t>(1)</w:t>
            </w:r>
          </w:p>
        </w:tc>
        <w:tc>
          <w:tcPr>
            <w:tcW w:w="1560" w:type="dxa"/>
            <w:vAlign w:val="bottom"/>
            <w:shd w:val="clear" w:color="auto" w:fill="DDDDDD"/>
          </w:tcPr>
          <w:p>
            <w:pPr>
              <w:spacing w:after="0"/>
              <w:rPr>
                <w:sz w:val="20"/>
                <w:szCs w:val="20"/>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72.9</w:t>
            </w:r>
          </w:p>
        </w:tc>
        <w:tc>
          <w:tcPr>
            <w:tcW w:w="440" w:type="dxa"/>
            <w:vAlign w:val="bottom"/>
            <w:shd w:val="clear" w:color="auto" w:fill="DDDDDD"/>
          </w:tcPr>
          <w:p>
            <w:pPr>
              <w:spacing w:after="0"/>
              <w:rPr>
                <w:sz w:val="20"/>
                <w:szCs w:val="20"/>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DDDDD"/>
          </w:tcPr>
          <w:p>
            <w:pPr>
              <w:spacing w:after="0"/>
              <w:rPr>
                <w:sz w:val="20"/>
                <w:szCs w:val="20"/>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56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826.3</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771.7</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773.1</w:t>
            </w:r>
          </w:p>
        </w:tc>
        <w:tc>
          <w:tcPr>
            <w:tcW w:w="4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557.6</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462.1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Bad debt expense</w:t>
            </w:r>
          </w:p>
        </w:tc>
        <w:tc>
          <w:tcPr>
            <w:tcW w:w="1560" w:type="dxa"/>
            <w:vAlign w:val="bottom"/>
            <w:shd w:val="clear" w:color="auto" w:fill="DDDDDD"/>
          </w:tcPr>
          <w:p>
            <w:pPr>
              <w:spacing w:after="0"/>
              <w:rPr>
                <w:sz w:val="20"/>
                <w:szCs w:val="20"/>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72.3</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68.7</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75.5</w:t>
            </w:r>
          </w:p>
        </w:tc>
        <w:tc>
          <w:tcPr>
            <w:tcW w:w="440" w:type="dxa"/>
            <w:vAlign w:val="bottom"/>
            <w:shd w:val="clear" w:color="auto" w:fill="DDDDDD"/>
          </w:tcPr>
          <w:p>
            <w:pPr>
              <w:spacing w:after="0"/>
              <w:rPr>
                <w:sz w:val="20"/>
                <w:szCs w:val="20"/>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20.5</w:t>
            </w:r>
          </w:p>
        </w:tc>
        <w:tc>
          <w:tcPr>
            <w:tcW w:w="460" w:type="dxa"/>
            <w:vAlign w:val="bottom"/>
            <w:shd w:val="clear" w:color="auto" w:fill="DDDDDD"/>
          </w:tcPr>
          <w:p>
            <w:pPr>
              <w:spacing w:after="0"/>
              <w:rPr>
                <w:sz w:val="20"/>
                <w:szCs w:val="20"/>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Other operating costs:</w:t>
            </w: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Depreciation and amortization</w:t>
            </w:r>
          </w:p>
        </w:tc>
        <w:tc>
          <w:tcPr>
            <w:tcW w:w="1560" w:type="dxa"/>
            <w:vAlign w:val="bottom"/>
            <w:shd w:val="clear" w:color="auto" w:fill="DDDDDD"/>
          </w:tcPr>
          <w:p>
            <w:pPr>
              <w:spacing w:after="0"/>
              <w:rPr>
                <w:sz w:val="19"/>
                <w:szCs w:val="19"/>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46.1</w:t>
            </w:r>
          </w:p>
        </w:tc>
        <w:tc>
          <w:tcPr>
            <w:tcW w:w="440" w:type="dxa"/>
            <w:vAlign w:val="bottom"/>
            <w:shd w:val="clear" w:color="auto" w:fill="DDDDDD"/>
          </w:tcPr>
          <w:p>
            <w:pPr>
              <w:spacing w:after="0"/>
              <w:rPr>
                <w:sz w:val="19"/>
                <w:szCs w:val="19"/>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36.6</w:t>
            </w:r>
          </w:p>
        </w:tc>
        <w:tc>
          <w:tcPr>
            <w:tcW w:w="440" w:type="dxa"/>
            <w:vAlign w:val="bottom"/>
            <w:shd w:val="clear" w:color="auto" w:fill="DDDDDD"/>
          </w:tcPr>
          <w:p>
            <w:pPr>
              <w:spacing w:after="0"/>
              <w:rPr>
                <w:sz w:val="19"/>
                <w:szCs w:val="19"/>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42.4</w:t>
            </w:r>
          </w:p>
        </w:tc>
        <w:tc>
          <w:tcPr>
            <w:tcW w:w="44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24.1</w:t>
            </w:r>
          </w:p>
        </w:tc>
        <w:tc>
          <w:tcPr>
            <w:tcW w:w="46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380"/>
              <w:spacing w:after="0" w:line="233" w:lineRule="exact"/>
              <w:rPr>
                <w:sz w:val="20"/>
                <w:szCs w:val="20"/>
                <w:color w:val="auto"/>
              </w:rPr>
            </w:pPr>
            <w:r>
              <w:rPr>
                <w:rFonts w:ascii="Arial" w:cs="Arial" w:eastAsia="Arial" w:hAnsi="Arial"/>
                <w:sz w:val="16"/>
                <w:szCs w:val="16"/>
                <w:color w:val="auto"/>
              </w:rPr>
              <w:t>Special severance charge</w:t>
            </w:r>
            <w:r>
              <w:rPr>
                <w:rFonts w:ascii="Arial" w:cs="Arial" w:eastAsia="Arial" w:hAnsi="Arial"/>
                <w:sz w:val="26"/>
                <w:szCs w:val="26"/>
                <w:color w:val="auto"/>
                <w:vertAlign w:val="superscript"/>
              </w:rPr>
              <w:t>(2)</w:t>
            </w:r>
          </w:p>
        </w:tc>
        <w:tc>
          <w:tcPr>
            <w:tcW w:w="1560" w:type="dxa"/>
            <w:vAlign w:val="bottom"/>
          </w:tcPr>
          <w:p>
            <w:pPr>
              <w:spacing w:after="0"/>
              <w:rPr>
                <w:sz w:val="20"/>
                <w:szCs w:val="20"/>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44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shd w:val="clear" w:color="auto" w:fill="DDDDDD"/>
          </w:tcPr>
          <w:p>
            <w:pPr>
              <w:ind w:left="380"/>
              <w:spacing w:after="0" w:line="233" w:lineRule="exact"/>
              <w:rPr>
                <w:sz w:val="20"/>
                <w:szCs w:val="20"/>
                <w:color w:val="auto"/>
              </w:rPr>
            </w:pPr>
            <w:r>
              <w:rPr>
                <w:rFonts w:ascii="Arial" w:cs="Arial" w:eastAsia="Arial" w:hAnsi="Arial"/>
                <w:sz w:val="16"/>
                <w:szCs w:val="16"/>
                <w:color w:val="auto"/>
              </w:rPr>
              <w:t>Litigation and other charges</w:t>
            </w:r>
            <w:r>
              <w:rPr>
                <w:rFonts w:ascii="Arial" w:cs="Arial" w:eastAsia="Arial" w:hAnsi="Arial"/>
                <w:sz w:val="26"/>
                <w:szCs w:val="26"/>
                <w:color w:val="auto"/>
                <w:vertAlign w:val="superscript"/>
              </w:rPr>
              <w:t>(3)</w:t>
            </w:r>
          </w:p>
        </w:tc>
        <w:tc>
          <w:tcPr>
            <w:tcW w:w="1560" w:type="dxa"/>
            <w:vAlign w:val="bottom"/>
            <w:shd w:val="clear" w:color="auto" w:fill="DDDDDD"/>
          </w:tcPr>
          <w:p>
            <w:pPr>
              <w:spacing w:after="0"/>
              <w:rPr>
                <w:sz w:val="20"/>
                <w:szCs w:val="20"/>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1.9</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1.2</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DDDDDD"/>
          </w:tcPr>
          <w:p>
            <w:pPr>
              <w:spacing w:after="0"/>
              <w:rPr>
                <w:sz w:val="20"/>
                <w:szCs w:val="20"/>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8.5</w:t>
            </w:r>
          </w:p>
        </w:tc>
        <w:tc>
          <w:tcPr>
            <w:tcW w:w="460" w:type="dxa"/>
            <w:vAlign w:val="bottom"/>
            <w:shd w:val="clear" w:color="auto" w:fill="DDDDDD"/>
          </w:tcPr>
          <w:p>
            <w:pPr>
              <w:spacing w:after="0"/>
              <w:rPr>
                <w:sz w:val="20"/>
                <w:szCs w:val="20"/>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Operating income</w:t>
            </w:r>
          </w:p>
        </w:tc>
        <w:tc>
          <w:tcPr>
            <w:tcW w:w="156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118.7</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186.7</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98.7</w:t>
            </w:r>
          </w:p>
        </w:tc>
        <w:tc>
          <w:tcPr>
            <w:tcW w:w="4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99.0</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00" w:type="dxa"/>
            <w:vAlign w:val="bottom"/>
            <w:shd w:val="clear" w:color="auto" w:fill="DDDDDD"/>
          </w:tcPr>
          <w:p>
            <w:pPr>
              <w:spacing w:after="0" w:line="251" w:lineRule="exact"/>
              <w:rPr>
                <w:sz w:val="20"/>
                <w:szCs w:val="20"/>
                <w:color w:val="auto"/>
              </w:rPr>
            </w:pPr>
            <w:r>
              <w:rPr>
                <w:rFonts w:ascii="Arial" w:cs="Arial" w:eastAsia="Arial" w:hAnsi="Arial"/>
                <w:sz w:val="16"/>
                <w:szCs w:val="16"/>
                <w:color w:val="auto"/>
              </w:rPr>
              <w:t>Other income (expense)</w:t>
            </w:r>
            <w:r>
              <w:rPr>
                <w:rFonts w:ascii="Arial" w:cs="Arial" w:eastAsia="Arial" w:hAnsi="Arial"/>
                <w:sz w:val="26"/>
                <w:szCs w:val="26"/>
                <w:color w:val="auto"/>
                <w:vertAlign w:val="superscript"/>
              </w:rPr>
              <w:t>(4)</w:t>
            </w:r>
          </w:p>
        </w:tc>
        <w:tc>
          <w:tcPr>
            <w:tcW w:w="1560" w:type="dxa"/>
            <w:vAlign w:val="bottom"/>
            <w:shd w:val="clear" w:color="auto" w:fill="DDDDDD"/>
          </w:tcPr>
          <w:p>
            <w:pPr>
              <w:spacing w:after="0"/>
              <w:rPr>
                <w:sz w:val="21"/>
                <w:szCs w:val="21"/>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2.9</w:t>
            </w:r>
          </w:p>
        </w:tc>
        <w:tc>
          <w:tcPr>
            <w:tcW w:w="440" w:type="dxa"/>
            <w:vAlign w:val="bottom"/>
            <w:shd w:val="clear" w:color="auto" w:fill="DDDDDD"/>
          </w:tcPr>
          <w:p>
            <w:pPr>
              <w:spacing w:after="0"/>
              <w:rPr>
                <w:sz w:val="21"/>
                <w:szCs w:val="21"/>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(2.0)</w:t>
            </w:r>
          </w:p>
        </w:tc>
        <w:tc>
          <w:tcPr>
            <w:tcW w:w="440" w:type="dxa"/>
            <w:vAlign w:val="bottom"/>
            <w:shd w:val="clear" w:color="auto" w:fill="DDDDDD"/>
          </w:tcPr>
          <w:p>
            <w:pPr>
              <w:spacing w:after="0"/>
              <w:rPr>
                <w:sz w:val="21"/>
                <w:szCs w:val="21"/>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DDDDDD"/>
          </w:tcPr>
          <w:p>
            <w:pPr>
              <w:spacing w:after="0"/>
              <w:rPr>
                <w:sz w:val="21"/>
                <w:szCs w:val="21"/>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DDDDD"/>
          </w:tcPr>
          <w:p>
            <w:pPr>
              <w:spacing w:after="0"/>
              <w:rPr>
                <w:sz w:val="21"/>
                <w:szCs w:val="21"/>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Interest expense</w:t>
            </w:r>
          </w:p>
        </w:tc>
        <w:tc>
          <w:tcPr>
            <w:tcW w:w="156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31.5</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31.4</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41.6</w:t>
            </w:r>
          </w:p>
        </w:tc>
        <w:tc>
          <w:tcPr>
            <w:tcW w:w="4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18.6</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Earnings before Cumulative effect</w:t>
            </w:r>
          </w:p>
        </w:tc>
        <w:tc>
          <w:tcPr>
            <w:tcW w:w="156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of accounting change</w:t>
            </w:r>
          </w:p>
        </w:tc>
        <w:tc>
          <w:tcPr>
            <w:tcW w:w="1560" w:type="dxa"/>
            <w:vAlign w:val="bottom"/>
            <w:shd w:val="clear" w:color="auto" w:fill="DDDDDD"/>
          </w:tcPr>
          <w:p>
            <w:pPr>
              <w:spacing w:after="0"/>
              <w:rPr>
                <w:sz w:val="17"/>
                <w:szCs w:val="17"/>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58.6</w:t>
            </w:r>
          </w:p>
        </w:tc>
        <w:tc>
          <w:tcPr>
            <w:tcW w:w="44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98.7</w:t>
            </w:r>
          </w:p>
        </w:tc>
        <w:tc>
          <w:tcPr>
            <w:tcW w:w="44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36.3</w:t>
            </w:r>
          </w:p>
        </w:tc>
        <w:tc>
          <w:tcPr>
            <w:tcW w:w="440" w:type="dxa"/>
            <w:vAlign w:val="bottom"/>
            <w:shd w:val="clear" w:color="auto" w:fill="DDDDDD"/>
          </w:tcPr>
          <w:p>
            <w:pPr>
              <w:spacing w:after="0"/>
              <w:rPr>
                <w:sz w:val="17"/>
                <w:szCs w:val="17"/>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51.4</w:t>
            </w:r>
          </w:p>
        </w:tc>
        <w:tc>
          <w:tcPr>
            <w:tcW w:w="460" w:type="dxa"/>
            <w:vAlign w:val="bottom"/>
            <w:shd w:val="clear" w:color="auto" w:fill="DDDDDD"/>
          </w:tcPr>
          <w:p>
            <w:pPr>
              <w:spacing w:after="0"/>
              <w:rPr>
                <w:sz w:val="17"/>
                <w:szCs w:val="17"/>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Cumulative effect of accounting change</w:t>
            </w: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tcPr>
          <w:p>
            <w:pPr>
              <w:ind w:left="380"/>
              <w:spacing w:after="0" w:line="240" w:lineRule="exact"/>
              <w:rPr>
                <w:sz w:val="20"/>
                <w:szCs w:val="20"/>
                <w:color w:val="auto"/>
              </w:rPr>
            </w:pPr>
            <w:r>
              <w:rPr>
                <w:rFonts w:ascii="Arial" w:cs="Arial" w:eastAsia="Arial" w:hAnsi="Arial"/>
                <w:sz w:val="16"/>
                <w:szCs w:val="16"/>
                <w:color w:val="auto"/>
              </w:rPr>
              <w:t>(net of income taxes)</w:t>
            </w:r>
            <w:r>
              <w:rPr>
                <w:rFonts w:ascii="Arial" w:cs="Arial" w:eastAsia="Arial" w:hAnsi="Arial"/>
                <w:sz w:val="26"/>
                <w:szCs w:val="26"/>
                <w:color w:val="auto"/>
                <w:vertAlign w:val="superscript"/>
              </w:rPr>
              <w:t>(5)</w:t>
            </w:r>
          </w:p>
        </w:tc>
        <w:tc>
          <w:tcPr>
            <w:tcW w:w="1560" w:type="dxa"/>
            <w:vAlign w:val="bottom"/>
          </w:tcPr>
          <w:p>
            <w:pPr>
              <w:spacing w:after="0"/>
              <w:rPr>
                <w:sz w:val="20"/>
                <w:szCs w:val="20"/>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(5.2)</w:t>
            </w:r>
          </w:p>
        </w:tc>
        <w:tc>
          <w:tcPr>
            <w:tcW w:w="44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Net income</w:t>
            </w:r>
          </w:p>
        </w:tc>
        <w:tc>
          <w:tcPr>
            <w:tcW w:w="1560" w:type="dxa"/>
            <w:vAlign w:val="bottom"/>
            <w:shd w:val="clear" w:color="auto" w:fill="DDDDDD"/>
          </w:tcPr>
          <w:p>
            <w:pPr>
              <w:spacing w:after="0"/>
              <w:rPr>
                <w:sz w:val="19"/>
                <w:szCs w:val="19"/>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58.6</w:t>
            </w:r>
          </w:p>
        </w:tc>
        <w:tc>
          <w:tcPr>
            <w:tcW w:w="440" w:type="dxa"/>
            <w:vAlign w:val="bottom"/>
            <w:shd w:val="clear" w:color="auto" w:fill="DDDDDD"/>
          </w:tcPr>
          <w:p>
            <w:pPr>
              <w:spacing w:after="0"/>
              <w:rPr>
                <w:sz w:val="19"/>
                <w:szCs w:val="19"/>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93.5</w:t>
            </w:r>
          </w:p>
        </w:tc>
        <w:tc>
          <w:tcPr>
            <w:tcW w:w="440" w:type="dxa"/>
            <w:vAlign w:val="bottom"/>
            <w:shd w:val="clear" w:color="auto" w:fill="DDDDDD"/>
          </w:tcPr>
          <w:p>
            <w:pPr>
              <w:spacing w:after="0"/>
              <w:rPr>
                <w:sz w:val="19"/>
                <w:szCs w:val="19"/>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36.3</w:t>
            </w:r>
          </w:p>
        </w:tc>
        <w:tc>
          <w:tcPr>
            <w:tcW w:w="44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51.4</w:t>
            </w:r>
          </w:p>
        </w:tc>
        <w:tc>
          <w:tcPr>
            <w:tcW w:w="46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Earnings per share before Cumulative</w:t>
            </w: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ind w:left="380"/>
              <w:spacing w:after="0"/>
              <w:rPr>
                <w:sz w:val="20"/>
                <w:szCs w:val="20"/>
                <w:color w:val="auto"/>
              </w:rPr>
            </w:pPr>
            <w:r>
              <w:rPr>
                <w:rFonts w:ascii="Arial" w:cs="Arial" w:eastAsia="Arial" w:hAnsi="Arial"/>
                <w:sz w:val="16"/>
                <w:szCs w:val="16"/>
                <w:color w:val="auto"/>
              </w:rPr>
              <w:t>effect of accounting change:</w:t>
            </w: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Basic</w:t>
            </w: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1.50</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2.69</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1.05</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1.54</w:t>
            </w:r>
          </w:p>
        </w:tc>
        <w:tc>
          <w:tcPr>
            <w:tcW w:w="4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ind w:left="380"/>
              <w:spacing w:after="0"/>
              <w:rPr>
                <w:sz w:val="20"/>
                <w:szCs w:val="20"/>
                <w:color w:val="auto"/>
              </w:rPr>
            </w:pPr>
            <w:r>
              <w:rPr>
                <w:rFonts w:ascii="Arial" w:cs="Arial" w:eastAsia="Arial" w:hAnsi="Arial"/>
                <w:sz w:val="16"/>
                <w:szCs w:val="16"/>
                <w:color w:val="auto"/>
              </w:rPr>
              <w:t>Diluted</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1.46</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2.51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1.01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Earnings per share:</w:t>
            </w:r>
          </w:p>
        </w:tc>
        <w:tc>
          <w:tcPr>
            <w:tcW w:w="15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5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6"/>
                <w:szCs w:val="16"/>
                <w:color w:val="auto"/>
              </w:rPr>
              <w:t>Basic</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1.50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2.55</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1.05</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1.54</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Diluted</w:t>
            </w: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1.46</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2.38</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1.01</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1.48</w:t>
            </w:r>
          </w:p>
        </w:tc>
        <w:tc>
          <w:tcPr>
            <w:tcW w:w="4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Weighted average shares outstanding-basic</w:t>
            </w:r>
          </w:p>
        </w:tc>
        <w:tc>
          <w:tcPr>
            <w:tcW w:w="156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39.1</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36.7</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34.7</w:t>
            </w:r>
          </w:p>
        </w:tc>
        <w:tc>
          <w:tcPr>
            <w:tcW w:w="4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33.4</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Weighted average shares outstanding-diluted</w:t>
            </w:r>
          </w:p>
        </w:tc>
        <w:tc>
          <w:tcPr>
            <w:tcW w:w="1560" w:type="dxa"/>
            <w:vAlign w:val="bottom"/>
            <w:shd w:val="clear" w:color="auto" w:fill="DDDDDD"/>
          </w:tcPr>
          <w:p>
            <w:pPr>
              <w:spacing w:after="0"/>
              <w:rPr>
                <w:sz w:val="20"/>
                <w:szCs w:val="20"/>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40.1</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40.1</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36.1</w:t>
            </w:r>
          </w:p>
        </w:tc>
        <w:tc>
          <w:tcPr>
            <w:tcW w:w="440" w:type="dxa"/>
            <w:vAlign w:val="bottom"/>
            <w:shd w:val="clear" w:color="auto" w:fill="DDDDDD"/>
          </w:tcPr>
          <w:p>
            <w:pPr>
              <w:spacing w:after="0"/>
              <w:rPr>
                <w:sz w:val="20"/>
                <w:szCs w:val="20"/>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37.1</w:t>
            </w:r>
          </w:p>
        </w:tc>
        <w:tc>
          <w:tcPr>
            <w:tcW w:w="460" w:type="dxa"/>
            <w:vAlign w:val="bottom"/>
            <w:shd w:val="clear" w:color="auto" w:fill="DDDDDD"/>
          </w:tcPr>
          <w:p>
            <w:pPr>
              <w:spacing w:after="0"/>
              <w:rPr>
                <w:sz w:val="20"/>
                <w:szCs w:val="20"/>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Balance Sheet Data:</w:t>
            </w: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Working capital</w:t>
            </w: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404.4</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466.8</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394.6</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253.9</w:t>
            </w:r>
          </w:p>
        </w:tc>
        <w:tc>
          <w:tcPr>
            <w:tcW w:w="4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assets</w:t>
            </w:r>
          </w:p>
        </w:tc>
        <w:tc>
          <w:tcPr>
            <w:tcW w:w="156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w w:val="93"/>
              </w:rPr>
              <w:t>1,801.0</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w w:val="89"/>
              </w:rPr>
              <w:t>1,629.6</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w w:val="89"/>
              </w:rPr>
              <w:t>1,501.8</w:t>
            </w:r>
          </w:p>
        </w:tc>
        <w:tc>
          <w:tcPr>
            <w:tcW w:w="4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983.2</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842.3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6"/>
                <w:szCs w:val="16"/>
                <w:color w:val="auto"/>
              </w:rPr>
              <w:t>Long-term debt</w:t>
            </w:r>
          </w:p>
        </w:tc>
        <w:tc>
          <w:tcPr>
            <w:tcW w:w="1560" w:type="dxa"/>
            <w:vAlign w:val="bottom"/>
            <w:shd w:val="clear" w:color="auto" w:fill="DDDDDD"/>
          </w:tcPr>
          <w:p>
            <w:pPr>
              <w:spacing w:after="0"/>
              <w:rPr>
                <w:sz w:val="20"/>
                <w:szCs w:val="20"/>
                <w:color w:val="auto"/>
              </w:rPr>
            </w:pPr>
          </w:p>
        </w:tc>
        <w:tc>
          <w:tcPr>
            <w:tcW w:w="8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482.2</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525.8</w:t>
            </w:r>
          </w:p>
        </w:tc>
        <w:tc>
          <w:tcPr>
            <w:tcW w:w="44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585.3</w:t>
            </w:r>
          </w:p>
        </w:tc>
        <w:tc>
          <w:tcPr>
            <w:tcW w:w="440" w:type="dxa"/>
            <w:vAlign w:val="bottom"/>
            <w:shd w:val="clear" w:color="auto" w:fill="DDDDDD"/>
          </w:tcPr>
          <w:p>
            <w:pPr>
              <w:spacing w:after="0"/>
              <w:rPr>
                <w:sz w:val="20"/>
                <w:szCs w:val="20"/>
                <w:color w:val="auto"/>
              </w:rPr>
            </w:pPr>
          </w:p>
        </w:tc>
        <w:tc>
          <w:tcPr>
            <w:tcW w:w="820" w:type="dxa"/>
            <w:vAlign w:val="bottom"/>
            <w:shd w:val="clear" w:color="auto" w:fill="DDDDDD"/>
          </w:tcPr>
          <w:p>
            <w:pPr>
              <w:jc w:val="right"/>
              <w:ind w:right="239"/>
              <w:spacing w:after="0"/>
              <w:rPr>
                <w:sz w:val="20"/>
                <w:szCs w:val="20"/>
                <w:color w:val="auto"/>
              </w:rPr>
            </w:pPr>
            <w:r>
              <w:rPr>
                <w:rFonts w:ascii="Arial" w:cs="Arial" w:eastAsia="Arial" w:hAnsi="Arial"/>
                <w:sz w:val="16"/>
                <w:szCs w:val="16"/>
                <w:color w:val="auto"/>
              </w:rPr>
              <w:t>241.1</w:t>
            </w:r>
          </w:p>
        </w:tc>
        <w:tc>
          <w:tcPr>
            <w:tcW w:w="460" w:type="dxa"/>
            <w:vAlign w:val="bottom"/>
            <w:shd w:val="clear" w:color="auto" w:fill="DDDDDD"/>
          </w:tcPr>
          <w:p>
            <w:pPr>
              <w:spacing w:after="0"/>
              <w:rPr>
                <w:sz w:val="20"/>
                <w:szCs w:val="20"/>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56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772.6</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718.9</w:t>
            </w:r>
          </w:p>
        </w:tc>
        <w:tc>
          <w:tcPr>
            <w:tcW w:w="44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493.7</w:t>
            </w:r>
          </w:p>
        </w:tc>
        <w:tc>
          <w:tcPr>
            <w:tcW w:w="4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430.0</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586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7" w:lineRule="exact"/>
        <w:rPr>
          <w:sz w:val="20"/>
          <w:szCs w:val="20"/>
          <w:color w:val="auto"/>
        </w:rPr>
      </w:pPr>
    </w:p>
    <w:p>
      <w:pPr>
        <w:ind w:left="2" w:right="280"/>
        <w:spacing w:after="0" w:line="283" w:lineRule="auto"/>
        <w:rPr>
          <w:sz w:val="20"/>
          <w:szCs w:val="20"/>
          <w:color w:val="auto"/>
        </w:rPr>
      </w:pPr>
      <w:r>
        <w:rPr>
          <w:rFonts w:ascii="Arial" w:cs="Arial" w:eastAsia="Arial" w:hAnsi="Arial"/>
          <w:sz w:val="16"/>
          <w:szCs w:val="16"/>
          <w:color w:val="auto"/>
        </w:rPr>
        <w:t>Certain prior year amounts have been reclassified to conform with the present year presentation, and share amounts have been adjusted to reflect a 100% stock dividend in the form of a 2-for-1 stock split on the Class A Stock and Common Stock paid on January 16,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7263765" cy="28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2857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62" w:hanging="362"/>
        <w:spacing w:after="0"/>
        <w:tabs>
          <w:tab w:leader="none" w:pos="362"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 fiscal 2001, the Company decided not to update </w:t>
      </w:r>
      <w:r>
        <w:rPr>
          <w:rFonts w:ascii="Arial" w:cs="Arial" w:eastAsia="Arial" w:hAnsi="Arial"/>
          <w:sz w:val="12"/>
          <w:szCs w:val="12"/>
          <w:i w:val="1"/>
          <w:iCs w:val="1"/>
          <w:color w:val="auto"/>
        </w:rPr>
        <w:t>Scholastic Literacy Place</w:t>
      </w:r>
      <w:r>
        <w:rPr>
          <w:rFonts w:ascii="Arial" w:cs="Arial" w:eastAsia="Arial" w:hAnsi="Arial"/>
          <w:sz w:val="20"/>
          <w:szCs w:val="20"/>
          <w:color w:val="auto"/>
          <w:vertAlign w:val="superscript"/>
        </w:rPr>
        <w:t>®</w:t>
      </w:r>
      <w:r>
        <w:rPr>
          <w:rFonts w:ascii="Arial" w:cs="Arial" w:eastAsia="Arial" w:hAnsi="Arial"/>
          <w:sz w:val="12"/>
          <w:szCs w:val="12"/>
          <w:color w:val="auto"/>
        </w:rPr>
        <w:t>, which resulted in a pre-tax special charge of $72.9, or $1.20 per diluted share, recorded in Cost of goods sold.</w:t>
      </w:r>
    </w:p>
    <w:p>
      <w:pPr>
        <w:ind w:left="362" w:hanging="362"/>
        <w:spacing w:after="0"/>
        <w:tabs>
          <w:tab w:leader="none" w:pos="362"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fiscal 2003, the Company recorded a pre-tax Special severance charge of $10.9, or $0.18 per diluted share, relating to a reduction in its work force.</w:t>
      </w:r>
    </w:p>
    <w:p>
      <w:pPr>
        <w:spacing w:after="0" w:line="36" w:lineRule="exact"/>
        <w:rPr>
          <w:rFonts w:ascii="Arial" w:cs="Arial" w:eastAsia="Arial" w:hAnsi="Arial"/>
          <w:sz w:val="12"/>
          <w:szCs w:val="12"/>
          <w:color w:val="auto"/>
        </w:rPr>
      </w:pPr>
    </w:p>
    <w:p>
      <w:pPr>
        <w:ind w:left="362" w:right="300" w:hanging="362"/>
        <w:spacing w:after="0" w:line="266" w:lineRule="auto"/>
        <w:tabs>
          <w:tab w:leader="none" w:pos="362"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fiscal 2003 pre-tax charge of $1.9, or $0.03 per diluted share, relates to the settlement of a securities lawsuit, which was agreed to in principle on September 23, 2002. The fiscal 2002 pre-tax charge of $1.2, or $0.02 per diluted share, and $6.7 of the fiscal 2000 charges, relate to a lawsuit with Robert Harris and Harris Entertainment, Inc., which was settled on July 30, 2002.</w:t>
      </w:r>
    </w:p>
    <w:p>
      <w:pPr>
        <w:spacing w:after="0" w:line="14" w:lineRule="exact"/>
        <w:rPr>
          <w:rFonts w:ascii="Arial" w:cs="Arial" w:eastAsia="Arial" w:hAnsi="Arial"/>
          <w:sz w:val="12"/>
          <w:szCs w:val="12"/>
          <w:color w:val="auto"/>
        </w:rPr>
      </w:pPr>
    </w:p>
    <w:p>
      <w:pPr>
        <w:ind w:left="362" w:right="320" w:hanging="362"/>
        <w:spacing w:after="0" w:line="266" w:lineRule="auto"/>
        <w:tabs>
          <w:tab w:leader="none" w:pos="362"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fiscal 2003, the Company sold a portion of an equity investment, resulting in a pre-tax gain of $2.9, or $0.05 per diluted share. In fiscal 2002, the Company wrote off an equity investment, resulting in a pre-tax loss of $2.0, or $0.03 per diluted share.</w:t>
      </w:r>
    </w:p>
    <w:p>
      <w:pPr>
        <w:spacing w:after="0" w:line="14" w:lineRule="exact"/>
        <w:rPr>
          <w:rFonts w:ascii="Arial" w:cs="Arial" w:eastAsia="Arial" w:hAnsi="Arial"/>
          <w:sz w:val="12"/>
          <w:szCs w:val="12"/>
          <w:color w:val="auto"/>
        </w:rPr>
      </w:pPr>
    </w:p>
    <w:p>
      <w:pPr>
        <w:ind w:left="362" w:right="140" w:hanging="362"/>
        <w:spacing w:after="0" w:line="266" w:lineRule="auto"/>
        <w:tabs>
          <w:tab w:leader="none" w:pos="362"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fiscal 2002, the Company adopted Statement of Position No. 00-2, “Accounting by Producers and Distributors of Films,” which resulted in an after-tax charge of $5.2, or $0.13 per diluted share, recorded as a Cumulative effect of accounting change.</w:t>
      </w:r>
    </w:p>
    <w:p>
      <w:pPr>
        <w:sectPr>
          <w:pgSz w:w="11900" w:h="16838" w:orient="portrait"/>
          <w:cols w:equalWidth="0" w:num="1">
            <w:col w:w="11442"/>
          </w:cols>
          <w:pgMar w:left="238" w:top="131" w:right="219" w:bottom="945" w:gutter="0" w:footer="0" w:header="0"/>
        </w:sectPr>
      </w:pP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6376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309880</wp:posOffset>
            </wp:positionV>
            <wp:extent cx="3891280" cy="328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ectPr>
          <w:pgSz w:w="11900" w:h="16838" w:orient="portrait"/>
          <w:cols w:equalWidth="0" w:num="1">
            <w:col w:w="11442"/>
          </w:cols>
          <w:pgMar w:left="238" w:top="131" w:right="219" w:bottom="945" w:gutter="0" w:footer="0" w:header="0"/>
          <w:type w:val="continuous"/>
        </w:sectPr>
      </w:pPr>
    </w:p>
    <w:bookmarkStart w:id="8" w:name="page9"/>
    <w:bookmarkEnd w:id="8"/>
    <w:p>
      <w:pPr>
        <w:spacing w:after="0"/>
        <w:rPr>
          <w:sz w:val="20"/>
          <w:szCs w:val="20"/>
          <w:color w:val="auto"/>
        </w:rPr>
      </w:pPr>
      <w:r>
        <w:rPr>
          <w:rFonts w:ascii="Arial" w:cs="Arial" w:eastAsia="Arial" w:hAnsi="Arial"/>
          <w:sz w:val="22"/>
          <w:szCs w:val="22"/>
          <w:b w:val="1"/>
          <w:bCs w:val="1"/>
          <w:color w:val="auto"/>
        </w:rPr>
        <w:t>Item 7 |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 xml:space="preserve">Scholastic is a global children’s publishing and media company. The Company distributes its products and services through a variety of channels, including school-based book clubs, school-based book fairs, school-based and direct-to-home continuity programs, retail stores, schools, libraries and television networks. The Company categorizes its businesses into four operating segments: </w:t>
      </w:r>
      <w:r>
        <w:rPr>
          <w:rFonts w:ascii="Arial" w:cs="Arial" w:eastAsia="Arial" w:hAnsi="Arial"/>
          <w:sz w:val="16"/>
          <w:szCs w:val="16"/>
          <w:i w:val="1"/>
          <w:iCs w:val="1"/>
          <w:color w:val="auto"/>
        </w:rPr>
        <w:t>Children’s Book Publishing and Distribution; Educational Publishing; Media, Licensing and Advertising</w:t>
      </w:r>
      <w:r>
        <w:rPr>
          <w:rFonts w:ascii="Arial" w:cs="Arial" w:eastAsia="Arial" w:hAnsi="Arial"/>
          <w:sz w:val="16"/>
          <w:szCs w:val="16"/>
          <w:color w:val="auto"/>
        </w:rPr>
        <w:t xml:space="preserve"> (which collectively represent the Company’s domestic operations); and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This classification reflects the nature of products and services consistent with the method by which the Company’s chief operating decision-maker assesses operating performance and allocates resources.</w:t>
      </w:r>
    </w:p>
    <w:p>
      <w:pPr>
        <w:spacing w:after="0" w:line="173" w:lineRule="exact"/>
        <w:rPr>
          <w:sz w:val="20"/>
          <w:szCs w:val="20"/>
          <w:color w:val="auto"/>
        </w:rPr>
      </w:pPr>
    </w:p>
    <w:p>
      <w:pPr>
        <w:ind w:right="220"/>
        <w:spacing w:after="0" w:line="358" w:lineRule="auto"/>
        <w:rPr>
          <w:sz w:val="20"/>
          <w:szCs w:val="20"/>
          <w:color w:val="auto"/>
        </w:rPr>
      </w:pPr>
      <w:r>
        <w:rPr>
          <w:rFonts w:ascii="Arial" w:cs="Arial" w:eastAsia="Arial" w:hAnsi="Arial"/>
          <w:sz w:val="14"/>
          <w:szCs w:val="14"/>
          <w:color w:val="auto"/>
        </w:rPr>
        <w:t xml:space="preserve">Certain revenues and expenses related to the Company’s Internet activities have been reallocated to reflect the transition from a developing platform previously included in the </w:t>
      </w:r>
      <w:r>
        <w:rPr>
          <w:rFonts w:ascii="Arial" w:cs="Arial" w:eastAsia="Arial" w:hAnsi="Arial"/>
          <w:sz w:val="14"/>
          <w:szCs w:val="14"/>
          <w:i w:val="1"/>
          <w:iCs w:val="1"/>
          <w:color w:val="auto"/>
        </w:rPr>
        <w:t xml:space="preserve">Media, Licensing and Advertising </w:t>
      </w:r>
      <w:r>
        <w:rPr>
          <w:rFonts w:ascii="Arial" w:cs="Arial" w:eastAsia="Arial" w:hAnsi="Arial"/>
          <w:sz w:val="14"/>
          <w:szCs w:val="14"/>
          <w:color w:val="auto"/>
        </w:rPr>
        <w:t>segment to operational systems included in the</w:t>
      </w:r>
      <w:r>
        <w:rPr>
          <w:rFonts w:ascii="Arial" w:cs="Arial" w:eastAsia="Arial" w:hAnsi="Arial"/>
          <w:sz w:val="14"/>
          <w:szCs w:val="14"/>
          <w:i w:val="1"/>
          <w:iCs w:val="1"/>
          <w:color w:val="auto"/>
        </w:rPr>
        <w:t xml:space="preserve"> Children’s Book Publishing and Distribution </w:t>
      </w:r>
      <w:r>
        <w:rPr>
          <w:rFonts w:ascii="Arial" w:cs="Arial" w:eastAsia="Arial" w:hAnsi="Arial"/>
          <w:sz w:val="14"/>
          <w:szCs w:val="14"/>
          <w:color w:val="auto"/>
        </w:rPr>
        <w:t>and</w:t>
      </w:r>
      <w:r>
        <w:rPr>
          <w:rFonts w:ascii="Arial" w:cs="Arial" w:eastAsia="Arial" w:hAnsi="Arial"/>
          <w:sz w:val="14"/>
          <w:szCs w:val="14"/>
          <w:i w:val="1"/>
          <w:iCs w:val="1"/>
          <w:color w:val="auto"/>
        </w:rPr>
        <w:t xml:space="preserve"> Educational Publishing </w:t>
      </w:r>
      <w:r>
        <w:rPr>
          <w:rFonts w:ascii="Arial" w:cs="Arial" w:eastAsia="Arial" w:hAnsi="Arial"/>
          <w:sz w:val="14"/>
          <w:szCs w:val="14"/>
          <w:color w:val="auto"/>
        </w:rPr>
        <w:t>segments.</w:t>
      </w:r>
    </w:p>
    <w:p>
      <w:pPr>
        <w:spacing w:after="0" w:line="110"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Certain prior year amounts have been reclassified to conform to the current year presentation. The following discussion and analysis of the Company’s financial position should be read in conjunction with the Company’s Consolidated Financial Statements and the related Notes included in Item 8, Consolidated Financial Statements and Supplementary Data.</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its calculations, including, but not limited to: collectability of accounts receivable; sales returns; amortization periods; pension obligations; and recoverability of inventories, deferred promotion costs, prepublication costs, royalty advances, goodwill and other intangibles.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policies and account descriptions include all those identified by the Company as critical to its business operations and the understanding of its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recognition policies for its principal businesses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School-Based Book Clubs </w:t>
      </w:r>
      <w:r>
        <w:rPr>
          <w:rFonts w:ascii="Arial" w:cs="Arial" w:eastAsia="Arial" w:hAnsi="Arial"/>
          <w:sz w:val="16"/>
          <w:szCs w:val="16"/>
          <w:color w:val="auto"/>
        </w:rPr>
        <w:t>— Revenue from school-based book clubs is recognized upon shipment of the products.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 from school-based book fairs is recognized ratably as each book fair occurs.</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Continuities </w:t>
      </w:r>
      <w:r>
        <w:rPr>
          <w:rFonts w:ascii="Arial" w:cs="Arial" w:eastAsia="Arial" w:hAnsi="Arial"/>
          <w:sz w:val="16"/>
          <w:szCs w:val="16"/>
          <w:color w:val="auto"/>
        </w:rPr>
        <w:t>— The Company operates continuity programs whereby customers generally place a single order and receive multiple shipments of books over a period of time.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from continuities is recognized at the time of shipment or, in applicable cases, upon customer acceptance. Reserves for estimated returns are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w:t>
      </w:r>
    </w:p>
    <w:p>
      <w:pPr>
        <w:spacing w:after="0" w:line="1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Trade </w:t>
      </w:r>
      <w:r>
        <w:rPr>
          <w:rFonts w:ascii="Arial" w:cs="Arial" w:eastAsia="Arial" w:hAnsi="Arial"/>
          <w:sz w:val="16"/>
          <w:szCs w:val="16"/>
          <w:color w:val="auto"/>
        </w:rPr>
        <w:t>— Revenue from the sale of children’s books for distribution in the retail channel primarily is recognized at the time of shipment, which generally is when title transfers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customer. A reserve for estimated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returns is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w:t>
      </w:r>
    </w:p>
    <w:p>
      <w:pPr>
        <w:spacing w:after="0" w:line="15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b w:val="1"/>
          <w:bCs w:val="1"/>
          <w:color w:val="auto"/>
        </w:rPr>
        <w:t xml:space="preserve">Film Production and Licensing </w:t>
      </w:r>
      <w:r>
        <w:rPr>
          <w:rFonts w:ascii="Arial" w:cs="Arial" w:eastAsia="Arial" w:hAnsi="Arial"/>
          <w:sz w:val="16"/>
          <w:szCs w:val="16"/>
          <w:color w:val="auto"/>
        </w:rPr>
        <w:t>— Revenue from the sale of film rights, principally for the home video and domestic and foreign syndicated television markets, is recognized</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Magazines </w:t>
      </w:r>
      <w:r>
        <w:rPr>
          <w:rFonts w:ascii="Arial" w:cs="Arial" w:eastAsia="Arial" w:hAnsi="Arial"/>
          <w:sz w:val="16"/>
          <w:szCs w:val="16"/>
          <w:color w:val="auto"/>
        </w:rPr>
        <w:t>— Revenue is deferred and recognized ratably over the subscription period, as the magazines are delivered.</w:t>
      </w:r>
    </w:p>
    <w:p>
      <w:pPr>
        <w:spacing w:after="0" w:line="21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b w:val="1"/>
          <w:bCs w:val="1"/>
          <w:color w:val="auto"/>
        </w:rPr>
        <w:t xml:space="preserve">Educational Publishing </w:t>
      </w:r>
      <w:r>
        <w:rPr>
          <w:rFonts w:ascii="Arial" w:cs="Arial" w:eastAsia="Arial" w:hAnsi="Arial"/>
          <w:sz w:val="16"/>
          <w:szCs w:val="16"/>
          <w:color w:val="auto"/>
        </w:rPr>
        <w:t>— For shipments to schools, revenue is recognized on passage of title, which generally occurs upon receipt by the customer. Shipments to depositories</w:t>
      </w:r>
      <w:r>
        <w:rPr>
          <w:rFonts w:ascii="Arial" w:cs="Arial" w:eastAsia="Arial" w:hAnsi="Arial"/>
          <w:sz w:val="16"/>
          <w:szCs w:val="16"/>
          <w:b w:val="1"/>
          <w:bCs w:val="1"/>
          <w:color w:val="auto"/>
        </w:rPr>
        <w:t xml:space="preserve"> </w:t>
      </w:r>
      <w:r>
        <w:rPr>
          <w:rFonts w:ascii="Arial" w:cs="Arial" w:eastAsia="Arial" w:hAnsi="Arial"/>
          <w:sz w:val="16"/>
          <w:szCs w:val="16"/>
          <w:color w:val="auto"/>
        </w:rPr>
        <w:t>are on consignment. Revenue is recognized based on actual shipments from the depositories to the schools. For certain software-based products, the Company offers new customers installation and training. In such cases, revenue is recognized when installation and training are complete.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Magazine Advertising </w:t>
      </w:r>
      <w:r>
        <w:rPr>
          <w:rFonts w:ascii="Arial" w:cs="Arial" w:eastAsia="Arial" w:hAnsi="Arial"/>
          <w:sz w:val="16"/>
          <w:szCs w:val="16"/>
          <w:color w:val="auto"/>
        </w:rPr>
        <w:t>— Revenue is recognized when the magazine is on sale and available to the subscribers.</w:t>
      </w:r>
    </w:p>
    <w:p>
      <w:pPr>
        <w:spacing w:after="0" w:line="2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Scholastic In-School Marketing </w:t>
      </w:r>
      <w:r>
        <w:rPr>
          <w:rFonts w:ascii="Arial" w:cs="Arial" w:eastAsia="Arial" w:hAnsi="Arial"/>
          <w:sz w:val="16"/>
          <w:szCs w:val="16"/>
          <w:color w:val="auto"/>
        </w:rPr>
        <w:t>— Revenue is recognized when the Company has satisfied its obligations under the program and the customer has acknowledged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product or service.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agings and prior collection experience to estimate the ultimate realization of these receivables.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Inventories, consisting principally of books, are stated at the lower of cost, using the first-in, first-out method, or market. The Company records a reserve for excess and obsolete inventory based primarily upon a calculation of forecasted demand utilizing the historical sales patterns of its products.</w:t>
      </w:r>
    </w:p>
    <w:p>
      <w:pPr>
        <w:sectPr>
          <w:pgSz w:w="11900" w:h="16838" w:orient="portrait"/>
          <w:cols w:equalWidth="0" w:num="1">
            <w:col w:w="11420"/>
          </w:cols>
          <w:pgMar w:left="240" w:top="114" w:right="239" w:bottom="28"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promotion costs:</w:t>
      </w:r>
    </w:p>
    <w:p>
      <w:pPr>
        <w:spacing w:after="0" w:line="25"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Deferred promotion costs represent direct mail and telemarketing promotion costs incurred to acquire customers in the Company’s continuity and magazine businesses. Promotional costs are deferred when incurred and amortized in the proportion that current revenues bear to estimated total revenues. The Company regularly evaluates the operating performance of the promotions over their life cycle based on historical and forecasted demand and adjusts the carrying value accordingly. All other advertising costs are expensed as incurred, except for certain direct marketing and telemarketing costs that are deferred as discussed above.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Prepublication costs: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The Company capitalizes the art, prepress, editorial and other costs incurred in the creation of the master copy of a book or other media (the “prepublication costs”).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Prepublication costs are amortized on a straight-line basis over a three to seven year period. The Company regularly reviews the recoverability of the capitalized costs.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Royalty advances:</w:t>
      </w:r>
    </w:p>
    <w:p>
      <w:pPr>
        <w:spacing w:after="0" w:line="2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 records a reserve for the recoverability of its outstanding advances to authors based primarily upon historical earndown experience. Royalty advances are expensed as related revenues are earned or when future recovery appears doubtful.</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intangibles:</w:t>
      </w:r>
    </w:p>
    <w:p>
      <w:pPr>
        <w:spacing w:after="0" w:line="25"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Effective June 1, 2001, the Company adopted Statement of Financial Accounting Standards (“SFAS”) No. 142, “Goodwill and Other Intangible Assets,” under which goodwill and other intangible assets with indefinite lives are no longer amortized. The Company reviews its goodwill and non-amortizable intangibles on an annual basis for impairment, or more frequently if impairment indicators arise, in accordance with the provisions of SFAS No. 142. Prior to adoption of SFAS No. 142, the Company amortized goodwill and other intangible assets over their estimated useful lives.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Noncurrent Liabilities:</w:t>
      </w:r>
    </w:p>
    <w:p>
      <w:pPr>
        <w:spacing w:after="0" w:line="2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All of the rate assumptions discussed below impact the Company’s calculations of its pension and post-retirement obligations. The rates applied by the Company are based on the portfolios’ past average rates of return and discussions with actuaries. Any change in market performance, interest rate performance, assumed health care costs trend rate, or compensation rates could result in significant changes in the pension and post-retirement obligations.</w:t>
      </w:r>
    </w:p>
    <w:p>
      <w:pPr>
        <w:spacing w:after="0" w:line="166"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b w:val="1"/>
          <w:bCs w:val="1"/>
          <w:color w:val="auto"/>
        </w:rPr>
        <w:t>Pension obligations—</w:t>
      </w:r>
      <w:r>
        <w:rPr>
          <w:rFonts w:ascii="Arial" w:cs="Arial" w:eastAsia="Arial" w:hAnsi="Arial"/>
          <w:sz w:val="15"/>
          <w:szCs w:val="15"/>
          <w:color w:val="auto"/>
        </w:rPr>
        <w:t>Scholastic Corporation and certain of its subsidiaries have defined benefit pension plans covering the majority of its employees who meet certain eligibility</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The Company follows SFAS No. 87, “Employers’ Accounting for Pensions,” in calculating the existing benefit obligations and net cost under the plans. These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service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Pension benefits in the U.S. cash balance plan are based on formulas in which the employees’ balances are credited monthly with interest based on 1-year U.S. Treasury Bills plus 1%. Contribution credits are based on employees’ years of service and compensation levels during their employment period.</w:t>
      </w:r>
    </w:p>
    <w:p>
      <w:pPr>
        <w:spacing w:after="0" w:line="158"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b w:val="1"/>
          <w:bCs w:val="1"/>
          <w:color w:val="auto"/>
        </w:rPr>
        <w:t>Other post-retirement benefits—</w:t>
      </w:r>
      <w:r>
        <w:rPr>
          <w:rFonts w:ascii="Arial" w:cs="Arial" w:eastAsia="Arial" w:hAnsi="Arial"/>
          <w:sz w:val="15"/>
          <w:szCs w:val="15"/>
          <w:color w:val="auto"/>
        </w:rPr>
        <w:t>Scholastic Corporation provides post-retirement benefits including healthcare and life insurance benefits to retired U.S. employees. A majority</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Company’s U.S. employees may become eligible for these benefits if they reach normal retirement age while working for the Company. The post-retirement medical plan benefits are funded on a pay-as-you-go basis. The Company follows SFAS No. 106, “Employers’ Accounting for Post-Retirement Benefits Other than Pensions,” in calculating the existing benefit obligation, which is based on the discount rate and the assumed health care cost trend rate. The discount rate is used in the measurement of the expected and accumulated benefit obligations and the service and interest cost components of net periodic post-retirement benefit cost. The assumed health care cost trend rate is used in the measurement of the long term expected increase in medical claims.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amounts in millions, except per share data)</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86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20"/>
                <w:szCs w:val="20"/>
                <w:b w:val="1"/>
                <w:bCs w:val="1"/>
                <w:color w:val="auto"/>
              </w:rPr>
              <w:t>2003</w:t>
            </w:r>
          </w:p>
        </w:tc>
        <w:tc>
          <w:tcPr>
            <w:tcW w:w="620" w:type="dxa"/>
            <w:vAlign w:val="bottom"/>
          </w:tcPr>
          <w:p>
            <w:pPr>
              <w:spacing w:after="0"/>
              <w:rPr>
                <w:sz w:val="22"/>
                <w:szCs w:val="22"/>
                <w:color w:val="auto"/>
              </w:rPr>
            </w:pPr>
          </w:p>
        </w:tc>
        <w:tc>
          <w:tcPr>
            <w:tcW w:w="900" w:type="dxa"/>
            <w:vAlign w:val="bottom"/>
          </w:tcPr>
          <w:p>
            <w:pPr>
              <w:ind w:left="420"/>
              <w:spacing w:after="0"/>
              <w:rPr>
                <w:sz w:val="20"/>
                <w:szCs w:val="20"/>
                <w:color w:val="auto"/>
              </w:rPr>
            </w:pPr>
            <w:r>
              <w:rPr>
                <w:rFonts w:ascii="Arial" w:cs="Arial" w:eastAsia="Arial" w:hAnsi="Arial"/>
                <w:sz w:val="20"/>
                <w:szCs w:val="20"/>
                <w:b w:val="1"/>
                <w:bCs w:val="1"/>
                <w:color w:val="auto"/>
              </w:rPr>
              <w:t>2002</w:t>
            </w:r>
          </w:p>
        </w:tc>
        <w:tc>
          <w:tcPr>
            <w:tcW w:w="640" w:type="dxa"/>
            <w:vAlign w:val="bottom"/>
          </w:tcPr>
          <w:p>
            <w:pPr>
              <w:spacing w:after="0"/>
              <w:rPr>
                <w:sz w:val="22"/>
                <w:szCs w:val="22"/>
                <w:color w:val="auto"/>
              </w:rPr>
            </w:pPr>
          </w:p>
        </w:tc>
        <w:tc>
          <w:tcPr>
            <w:tcW w:w="920" w:type="dxa"/>
            <w:vAlign w:val="bottom"/>
          </w:tcPr>
          <w:p>
            <w:pPr>
              <w:ind w:left="420"/>
              <w:spacing w:after="0"/>
              <w:rPr>
                <w:sz w:val="20"/>
                <w:szCs w:val="20"/>
                <w:color w:val="auto"/>
              </w:rPr>
            </w:pPr>
            <w:r>
              <w:rPr>
                <w:rFonts w:ascii="Arial" w:cs="Arial" w:eastAsia="Arial" w:hAnsi="Arial"/>
                <w:sz w:val="20"/>
                <w:szCs w:val="20"/>
                <w:b w:val="1"/>
                <w:bCs w:val="1"/>
                <w:color w:val="auto"/>
              </w:rPr>
              <w:t>2001</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620" w:type="dxa"/>
            <w:vAlign w:val="bottom"/>
            <w:tcBorders>
              <w:bottom w:val="single" w:sz="8" w:color="808080"/>
            </w:tcBorders>
          </w:tcPr>
          <w:p>
            <w:pPr>
              <w:spacing w:after="0"/>
              <w:rPr>
                <w:sz w:val="7"/>
                <w:szCs w:val="7"/>
                <w:color w:val="auto"/>
              </w:rPr>
            </w:pPr>
          </w:p>
        </w:tc>
        <w:tc>
          <w:tcPr>
            <w:tcW w:w="2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160" w:type="dxa"/>
            <w:vAlign w:val="bottom"/>
          </w:tcPr>
          <w:p>
            <w:pPr>
              <w:jc w:val="right"/>
              <w:ind w:right="277"/>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101"/>
              <w:spacing w:after="0" w:line="324"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3"/>
                <w:szCs w:val="13"/>
                <w:color w:val="auto"/>
              </w:rPr>
              <w:t>(1)</w:t>
            </w:r>
          </w:p>
        </w:tc>
        <w:tc>
          <w:tcPr>
            <w:tcW w:w="900" w:type="dxa"/>
            <w:vAlign w:val="bottom"/>
          </w:tcPr>
          <w:p>
            <w:pPr>
              <w:ind w:left="42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121"/>
              <w:spacing w:after="0" w:line="324"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3"/>
                <w:szCs w:val="13"/>
                <w:color w:val="auto"/>
              </w:rPr>
              <w:t>(1)</w:t>
            </w:r>
          </w:p>
        </w:tc>
        <w:tc>
          <w:tcPr>
            <w:tcW w:w="920" w:type="dxa"/>
            <w:vAlign w:val="bottom"/>
          </w:tcPr>
          <w:p>
            <w:pPr>
              <w:ind w:left="420"/>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
              <w:spacing w:after="0" w:line="324"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DDDDDD"/>
          </w:tcPr>
          <w:p>
            <w:pPr>
              <w:spacing w:after="0"/>
              <w:rPr>
                <w:sz w:val="20"/>
                <w:szCs w:val="20"/>
                <w:color w:val="auto"/>
              </w:rPr>
            </w:pPr>
            <w:r>
              <w:rPr>
                <w:rFonts w:ascii="Arial" w:cs="Arial" w:eastAsia="Arial" w:hAnsi="Arial"/>
                <w:sz w:val="16"/>
                <w:szCs w:val="16"/>
                <w:color w:val="auto"/>
              </w:rPr>
              <w:t>Revenues:</w:t>
            </w:r>
          </w:p>
        </w:tc>
        <w:tc>
          <w:tcPr>
            <w:tcW w:w="216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Arial" w:cs="Arial" w:eastAsia="Arial" w:hAnsi="Arial"/>
                <w:sz w:val="16"/>
                <w:szCs w:val="16"/>
                <w:color w:val="auto"/>
              </w:rPr>
              <w:t>Children’s Book Publishing and Distribution</w:t>
            </w:r>
          </w:p>
        </w:tc>
        <w:tc>
          <w:tcPr>
            <w:tcW w:w="2160" w:type="dxa"/>
            <w:vAlign w:val="bottom"/>
          </w:tcPr>
          <w:p>
            <w:pPr>
              <w:jc w:val="right"/>
              <w:ind w:right="137"/>
              <w:spacing w:after="0"/>
              <w:rPr>
                <w:sz w:val="20"/>
                <w:szCs w:val="20"/>
                <w:color w:val="auto"/>
              </w:rPr>
            </w:pPr>
            <w:r>
              <w:rPr>
                <w:rFonts w:ascii="Arial" w:cs="Arial" w:eastAsia="Arial" w:hAnsi="Arial"/>
                <w:sz w:val="16"/>
                <w:szCs w:val="16"/>
                <w:color w:val="auto"/>
              </w:rPr>
              <w:t>1,189.9</w:t>
            </w: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60.8</w:t>
            </w:r>
          </w:p>
        </w:tc>
        <w:tc>
          <w:tcPr>
            <w:tcW w:w="900" w:type="dxa"/>
            <w:vAlign w:val="bottom"/>
          </w:tcPr>
          <w:p>
            <w:pPr>
              <w:jc w:val="right"/>
              <w:ind w:right="137"/>
              <w:spacing w:after="0"/>
              <w:rPr>
                <w:sz w:val="20"/>
                <w:szCs w:val="20"/>
                <w:color w:val="auto"/>
              </w:rPr>
            </w:pPr>
            <w:r>
              <w:rPr>
                <w:rFonts w:ascii="Arial" w:cs="Arial" w:eastAsia="Arial" w:hAnsi="Arial"/>
                <w:sz w:val="16"/>
                <w:szCs w:val="16"/>
                <w:color w:val="auto"/>
              </w:rPr>
              <w:t>1,168.6</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61.0</w:t>
            </w:r>
          </w:p>
        </w:tc>
        <w:tc>
          <w:tcPr>
            <w:tcW w:w="920" w:type="dxa"/>
            <w:vAlign w:val="bottom"/>
          </w:tcPr>
          <w:p>
            <w:pPr>
              <w:jc w:val="right"/>
              <w:ind w:right="177"/>
              <w:spacing w:after="0"/>
              <w:rPr>
                <w:sz w:val="20"/>
                <w:szCs w:val="20"/>
                <w:color w:val="auto"/>
              </w:rPr>
            </w:pPr>
            <w:r>
              <w:rPr>
                <w:rFonts w:ascii="Arial" w:cs="Arial" w:eastAsia="Arial" w:hAnsi="Arial"/>
                <w:sz w:val="16"/>
                <w:szCs w:val="16"/>
                <w:color w:val="auto"/>
              </w:rPr>
              <w:t>1,221.9</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Educational Publishing</w:t>
            </w:r>
          </w:p>
        </w:tc>
        <w:tc>
          <w:tcPr>
            <w:tcW w:w="216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325.9</w:t>
            </w:r>
          </w:p>
        </w:tc>
        <w:tc>
          <w:tcPr>
            <w:tcW w:w="620" w:type="dxa"/>
            <w:vAlign w:val="bottom"/>
            <w:shd w:val="clear" w:color="auto" w:fill="DDDDDD"/>
          </w:tcPr>
          <w:p>
            <w:pPr>
              <w:jc w:val="right"/>
              <w:ind w:right="101"/>
              <w:spacing w:after="0"/>
              <w:rPr>
                <w:sz w:val="20"/>
                <w:szCs w:val="20"/>
                <w:color w:val="auto"/>
              </w:rPr>
            </w:pPr>
            <w:r>
              <w:rPr>
                <w:rFonts w:ascii="Arial" w:cs="Arial" w:eastAsia="Arial" w:hAnsi="Arial"/>
                <w:sz w:val="16"/>
                <w:szCs w:val="16"/>
                <w:color w:val="auto"/>
              </w:rPr>
              <w:t>16.6</w:t>
            </w:r>
          </w:p>
        </w:tc>
        <w:tc>
          <w:tcPr>
            <w:tcW w:w="90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316.9</w:t>
            </w:r>
          </w:p>
        </w:tc>
        <w:tc>
          <w:tcPr>
            <w:tcW w:w="640" w:type="dxa"/>
            <w:vAlign w:val="bottom"/>
            <w:shd w:val="clear" w:color="auto" w:fill="DDDDDD"/>
          </w:tcPr>
          <w:p>
            <w:pPr>
              <w:jc w:val="right"/>
              <w:ind w:right="121"/>
              <w:spacing w:after="0"/>
              <w:rPr>
                <w:sz w:val="20"/>
                <w:szCs w:val="20"/>
                <w:color w:val="auto"/>
              </w:rPr>
            </w:pPr>
            <w:r>
              <w:rPr>
                <w:rFonts w:ascii="Arial" w:cs="Arial" w:eastAsia="Arial" w:hAnsi="Arial"/>
                <w:sz w:val="16"/>
                <w:szCs w:val="16"/>
                <w:color w:val="auto"/>
              </w:rPr>
              <w:t>16.5</w:t>
            </w:r>
          </w:p>
        </w:tc>
        <w:tc>
          <w:tcPr>
            <w:tcW w:w="920" w:type="dxa"/>
            <w:vAlign w:val="bottom"/>
            <w:shd w:val="clear" w:color="auto" w:fill="DDDDDD"/>
          </w:tcPr>
          <w:p>
            <w:pPr>
              <w:jc w:val="right"/>
              <w:ind w:right="177"/>
              <w:spacing w:after="0"/>
              <w:rPr>
                <w:sz w:val="20"/>
                <w:szCs w:val="20"/>
                <w:color w:val="auto"/>
              </w:rPr>
            </w:pPr>
            <w:r>
              <w:rPr>
                <w:rFonts w:ascii="Arial" w:cs="Arial" w:eastAsia="Arial" w:hAnsi="Arial"/>
                <w:sz w:val="16"/>
                <w:szCs w:val="16"/>
                <w:color w:val="auto"/>
              </w:rPr>
              <w:t>311.2</w:t>
            </w:r>
          </w:p>
        </w:tc>
        <w:tc>
          <w:tcPr>
            <w:tcW w:w="5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Arial" w:cs="Arial" w:eastAsia="Arial" w:hAnsi="Arial"/>
                <w:sz w:val="16"/>
                <w:szCs w:val="16"/>
                <w:color w:val="auto"/>
              </w:rPr>
              <w:t>Media, Licensing and Advertising</w:t>
            </w:r>
          </w:p>
        </w:tc>
        <w:tc>
          <w:tcPr>
            <w:tcW w:w="2160" w:type="dxa"/>
            <w:vAlign w:val="bottom"/>
          </w:tcPr>
          <w:p>
            <w:pPr>
              <w:jc w:val="right"/>
              <w:ind w:right="137"/>
              <w:spacing w:after="0"/>
              <w:rPr>
                <w:sz w:val="20"/>
                <w:szCs w:val="20"/>
                <w:color w:val="auto"/>
              </w:rPr>
            </w:pPr>
            <w:r>
              <w:rPr>
                <w:rFonts w:ascii="Arial" w:cs="Arial" w:eastAsia="Arial" w:hAnsi="Arial"/>
                <w:sz w:val="16"/>
                <w:szCs w:val="16"/>
                <w:color w:val="auto"/>
              </w:rPr>
              <w:t>123.5</w:t>
            </w: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6.3</w:t>
            </w:r>
          </w:p>
        </w:tc>
        <w:tc>
          <w:tcPr>
            <w:tcW w:w="900" w:type="dxa"/>
            <w:vAlign w:val="bottom"/>
          </w:tcPr>
          <w:p>
            <w:pPr>
              <w:jc w:val="right"/>
              <w:ind w:right="137"/>
              <w:spacing w:after="0"/>
              <w:rPr>
                <w:sz w:val="20"/>
                <w:szCs w:val="20"/>
                <w:color w:val="auto"/>
              </w:rPr>
            </w:pPr>
            <w:r>
              <w:rPr>
                <w:rFonts w:ascii="Arial" w:cs="Arial" w:eastAsia="Arial" w:hAnsi="Arial"/>
                <w:sz w:val="16"/>
                <w:szCs w:val="16"/>
                <w:color w:val="auto"/>
              </w:rPr>
              <w:t>129.8</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6.8</w:t>
            </w:r>
          </w:p>
        </w:tc>
        <w:tc>
          <w:tcPr>
            <w:tcW w:w="920" w:type="dxa"/>
            <w:vAlign w:val="bottom"/>
          </w:tcPr>
          <w:p>
            <w:pPr>
              <w:jc w:val="right"/>
              <w:ind w:right="177"/>
              <w:spacing w:after="0"/>
              <w:rPr>
                <w:sz w:val="20"/>
                <w:szCs w:val="20"/>
                <w:color w:val="auto"/>
              </w:rPr>
            </w:pPr>
            <w:r>
              <w:rPr>
                <w:rFonts w:ascii="Arial" w:cs="Arial" w:eastAsia="Arial" w:hAnsi="Arial"/>
                <w:sz w:val="16"/>
                <w:szCs w:val="16"/>
                <w:color w:val="auto"/>
              </w:rPr>
              <w:t>132.5</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International</w:t>
            </w:r>
          </w:p>
        </w:tc>
        <w:tc>
          <w:tcPr>
            <w:tcW w:w="216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319.0</w:t>
            </w:r>
          </w:p>
        </w:tc>
        <w:tc>
          <w:tcPr>
            <w:tcW w:w="620" w:type="dxa"/>
            <w:vAlign w:val="bottom"/>
            <w:shd w:val="clear" w:color="auto" w:fill="DDDDDD"/>
          </w:tcPr>
          <w:p>
            <w:pPr>
              <w:jc w:val="right"/>
              <w:ind w:right="101"/>
              <w:spacing w:after="0"/>
              <w:rPr>
                <w:sz w:val="20"/>
                <w:szCs w:val="20"/>
                <w:color w:val="auto"/>
              </w:rPr>
            </w:pPr>
            <w:r>
              <w:rPr>
                <w:rFonts w:ascii="Arial" w:cs="Arial" w:eastAsia="Arial" w:hAnsi="Arial"/>
                <w:sz w:val="16"/>
                <w:szCs w:val="16"/>
                <w:color w:val="auto"/>
              </w:rPr>
              <w:t>16.3</w:t>
            </w:r>
          </w:p>
        </w:tc>
        <w:tc>
          <w:tcPr>
            <w:tcW w:w="90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301.7</w:t>
            </w:r>
          </w:p>
        </w:tc>
        <w:tc>
          <w:tcPr>
            <w:tcW w:w="640" w:type="dxa"/>
            <w:vAlign w:val="bottom"/>
            <w:shd w:val="clear" w:color="auto" w:fill="DDDDDD"/>
          </w:tcPr>
          <w:p>
            <w:pPr>
              <w:jc w:val="right"/>
              <w:ind w:right="121"/>
              <w:spacing w:after="0"/>
              <w:rPr>
                <w:sz w:val="20"/>
                <w:szCs w:val="20"/>
                <w:color w:val="auto"/>
              </w:rPr>
            </w:pPr>
            <w:r>
              <w:rPr>
                <w:rFonts w:ascii="Arial" w:cs="Arial" w:eastAsia="Arial" w:hAnsi="Arial"/>
                <w:sz w:val="16"/>
                <w:szCs w:val="16"/>
                <w:color w:val="auto"/>
              </w:rPr>
              <w:t>15.7</w:t>
            </w:r>
          </w:p>
        </w:tc>
        <w:tc>
          <w:tcPr>
            <w:tcW w:w="920" w:type="dxa"/>
            <w:vAlign w:val="bottom"/>
            <w:shd w:val="clear" w:color="auto" w:fill="DDDDDD"/>
          </w:tcPr>
          <w:p>
            <w:pPr>
              <w:jc w:val="right"/>
              <w:ind w:right="177"/>
              <w:spacing w:after="0"/>
              <w:rPr>
                <w:sz w:val="20"/>
                <w:szCs w:val="20"/>
                <w:color w:val="auto"/>
              </w:rPr>
            </w:pPr>
            <w:r>
              <w:rPr>
                <w:rFonts w:ascii="Arial" w:cs="Arial" w:eastAsia="Arial" w:hAnsi="Arial"/>
                <w:sz w:val="16"/>
                <w:szCs w:val="16"/>
                <w:color w:val="auto"/>
              </w:rPr>
              <w:t>296.7</w:t>
            </w:r>
          </w:p>
        </w:tc>
        <w:tc>
          <w:tcPr>
            <w:tcW w:w="5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62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564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160" w:type="dxa"/>
            <w:vAlign w:val="bottom"/>
          </w:tcPr>
          <w:p>
            <w:pPr>
              <w:jc w:val="right"/>
              <w:ind w:right="137"/>
              <w:spacing w:after="0"/>
              <w:rPr>
                <w:sz w:val="20"/>
                <w:szCs w:val="20"/>
                <w:color w:val="auto"/>
              </w:rPr>
            </w:pPr>
            <w:r>
              <w:rPr>
                <w:rFonts w:ascii="Arial" w:cs="Arial" w:eastAsia="Arial" w:hAnsi="Arial"/>
                <w:sz w:val="16"/>
                <w:szCs w:val="16"/>
                <w:color w:val="auto"/>
              </w:rPr>
              <w:t>1,958.3</w:t>
            </w: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100.0</w:t>
            </w:r>
          </w:p>
        </w:tc>
        <w:tc>
          <w:tcPr>
            <w:tcW w:w="900" w:type="dxa"/>
            <w:vAlign w:val="bottom"/>
          </w:tcPr>
          <w:p>
            <w:pPr>
              <w:jc w:val="right"/>
              <w:ind w:right="137"/>
              <w:spacing w:after="0"/>
              <w:rPr>
                <w:sz w:val="20"/>
                <w:szCs w:val="20"/>
                <w:color w:val="auto"/>
              </w:rPr>
            </w:pPr>
            <w:r>
              <w:rPr>
                <w:rFonts w:ascii="Arial" w:cs="Arial" w:eastAsia="Arial" w:hAnsi="Arial"/>
                <w:sz w:val="16"/>
                <w:szCs w:val="16"/>
                <w:color w:val="auto"/>
              </w:rPr>
              <w:t>1,917.0</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100.0</w:t>
            </w:r>
          </w:p>
        </w:tc>
        <w:tc>
          <w:tcPr>
            <w:tcW w:w="920" w:type="dxa"/>
            <w:vAlign w:val="bottom"/>
          </w:tcPr>
          <w:p>
            <w:pPr>
              <w:jc w:val="right"/>
              <w:ind w:right="177"/>
              <w:spacing w:after="0"/>
              <w:rPr>
                <w:sz w:val="20"/>
                <w:szCs w:val="20"/>
                <w:color w:val="auto"/>
              </w:rPr>
            </w:pPr>
            <w:r>
              <w:rPr>
                <w:rFonts w:ascii="Arial" w:cs="Arial" w:eastAsia="Arial" w:hAnsi="Arial"/>
                <w:sz w:val="16"/>
                <w:szCs w:val="16"/>
                <w:color w:val="auto"/>
              </w:rPr>
              <w:t>1,962.3</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5620" w:type="dxa"/>
            <w:vAlign w:val="bottom"/>
            <w:shd w:val="clear" w:color="auto" w:fill="DDDDDD"/>
          </w:tcPr>
          <w:p>
            <w:pPr>
              <w:spacing w:after="0"/>
              <w:rPr>
                <w:sz w:val="20"/>
                <w:szCs w:val="20"/>
                <w:color w:val="auto"/>
              </w:rPr>
            </w:pPr>
            <w:r>
              <w:rPr>
                <w:rFonts w:ascii="Arial" w:cs="Arial" w:eastAsia="Arial" w:hAnsi="Arial"/>
                <w:sz w:val="16"/>
                <w:szCs w:val="16"/>
                <w:color w:val="auto"/>
              </w:rPr>
              <w:t>Cost of goods sold (exclusive of depreciation)</w:t>
            </w:r>
          </w:p>
        </w:tc>
        <w:tc>
          <w:tcPr>
            <w:tcW w:w="216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882.1</w:t>
            </w:r>
          </w:p>
        </w:tc>
        <w:tc>
          <w:tcPr>
            <w:tcW w:w="620" w:type="dxa"/>
            <w:vAlign w:val="bottom"/>
            <w:shd w:val="clear" w:color="auto" w:fill="DDDDDD"/>
          </w:tcPr>
          <w:p>
            <w:pPr>
              <w:jc w:val="right"/>
              <w:ind w:right="101"/>
              <w:spacing w:after="0"/>
              <w:rPr>
                <w:sz w:val="20"/>
                <w:szCs w:val="20"/>
                <w:color w:val="auto"/>
              </w:rPr>
            </w:pPr>
            <w:r>
              <w:rPr>
                <w:rFonts w:ascii="Arial" w:cs="Arial" w:eastAsia="Arial" w:hAnsi="Arial"/>
                <w:sz w:val="16"/>
                <w:szCs w:val="16"/>
                <w:color w:val="auto"/>
              </w:rPr>
              <w:t>45.0</w:t>
            </w:r>
          </w:p>
        </w:tc>
        <w:tc>
          <w:tcPr>
            <w:tcW w:w="90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852.1</w:t>
            </w:r>
          </w:p>
        </w:tc>
        <w:tc>
          <w:tcPr>
            <w:tcW w:w="640" w:type="dxa"/>
            <w:vAlign w:val="bottom"/>
            <w:shd w:val="clear" w:color="auto" w:fill="DDDDDD"/>
          </w:tcPr>
          <w:p>
            <w:pPr>
              <w:jc w:val="right"/>
              <w:ind w:right="121"/>
              <w:spacing w:after="0"/>
              <w:rPr>
                <w:sz w:val="20"/>
                <w:szCs w:val="20"/>
                <w:color w:val="auto"/>
              </w:rPr>
            </w:pPr>
            <w:r>
              <w:rPr>
                <w:rFonts w:ascii="Arial" w:cs="Arial" w:eastAsia="Arial" w:hAnsi="Arial"/>
                <w:sz w:val="16"/>
                <w:szCs w:val="16"/>
                <w:color w:val="auto"/>
              </w:rPr>
              <w:t>44.4</w:t>
            </w:r>
          </w:p>
        </w:tc>
        <w:tc>
          <w:tcPr>
            <w:tcW w:w="920" w:type="dxa"/>
            <w:vAlign w:val="bottom"/>
            <w:shd w:val="clear" w:color="auto" w:fill="DDDDDD"/>
          </w:tcPr>
          <w:p>
            <w:pPr>
              <w:jc w:val="right"/>
              <w:ind w:right="177"/>
              <w:spacing w:after="0"/>
              <w:rPr>
                <w:sz w:val="20"/>
                <w:szCs w:val="20"/>
                <w:color w:val="auto"/>
              </w:rPr>
            </w:pPr>
            <w:r>
              <w:rPr>
                <w:rFonts w:ascii="Arial" w:cs="Arial" w:eastAsia="Arial" w:hAnsi="Arial"/>
                <w:sz w:val="16"/>
                <w:szCs w:val="16"/>
                <w:color w:val="auto"/>
              </w:rPr>
              <w:t>899.7</w:t>
            </w:r>
          </w:p>
        </w:tc>
        <w:tc>
          <w:tcPr>
            <w:tcW w:w="5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line="233" w:lineRule="exact"/>
              <w:rPr>
                <w:sz w:val="20"/>
                <w:szCs w:val="20"/>
                <w:color w:val="auto"/>
              </w:rPr>
            </w:pPr>
            <w:r>
              <w:rPr>
                <w:rFonts w:ascii="Arial" w:cs="Arial" w:eastAsia="Arial" w:hAnsi="Arial"/>
                <w:sz w:val="16"/>
                <w:szCs w:val="16"/>
                <w:color w:val="auto"/>
              </w:rPr>
              <w:t>Cost of goods sold — Special Literacy Place and other charges</w:t>
            </w:r>
            <w:r>
              <w:rPr>
                <w:rFonts w:ascii="Arial" w:cs="Arial" w:eastAsia="Arial" w:hAnsi="Arial"/>
                <w:sz w:val="26"/>
                <w:szCs w:val="26"/>
                <w:color w:val="auto"/>
                <w:vertAlign w:val="superscript"/>
              </w:rPr>
              <w:t>(2)</w:t>
            </w:r>
          </w:p>
        </w:tc>
        <w:tc>
          <w:tcPr>
            <w:tcW w:w="216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7"/>
              <w:spacing w:after="0"/>
              <w:rPr>
                <w:sz w:val="20"/>
                <w:szCs w:val="20"/>
                <w:color w:val="auto"/>
              </w:rPr>
            </w:pPr>
            <w:r>
              <w:rPr>
                <w:rFonts w:ascii="Arial" w:cs="Arial" w:eastAsia="Arial" w:hAnsi="Arial"/>
                <w:sz w:val="16"/>
                <w:szCs w:val="16"/>
                <w:color w:val="auto"/>
              </w:rPr>
              <w:t>72.9</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620" w:type="dxa"/>
            <w:vAlign w:val="bottom"/>
            <w:shd w:val="clear" w:color="auto" w:fill="DDDDDD"/>
          </w:tcPr>
          <w:p>
            <w:pPr>
              <w:spacing w:after="0"/>
              <w:rPr>
                <w:sz w:val="19"/>
                <w:szCs w:val="19"/>
                <w:color w:val="auto"/>
              </w:rPr>
            </w:pPr>
          </w:p>
        </w:tc>
        <w:tc>
          <w:tcPr>
            <w:tcW w:w="216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160" w:type="dxa"/>
            <w:vAlign w:val="bottom"/>
          </w:tcPr>
          <w:p>
            <w:pPr>
              <w:jc w:val="right"/>
              <w:ind w:right="137"/>
              <w:spacing w:after="0"/>
              <w:rPr>
                <w:sz w:val="20"/>
                <w:szCs w:val="20"/>
                <w:color w:val="auto"/>
              </w:rPr>
            </w:pPr>
            <w:r>
              <w:rPr>
                <w:rFonts w:ascii="Arial" w:cs="Arial" w:eastAsia="Arial" w:hAnsi="Arial"/>
                <w:sz w:val="16"/>
                <w:szCs w:val="16"/>
                <w:color w:val="auto"/>
              </w:rPr>
              <w:t>826.3</w:t>
            </w: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42.2</w:t>
            </w:r>
          </w:p>
        </w:tc>
        <w:tc>
          <w:tcPr>
            <w:tcW w:w="900" w:type="dxa"/>
            <w:vAlign w:val="bottom"/>
          </w:tcPr>
          <w:p>
            <w:pPr>
              <w:jc w:val="right"/>
              <w:ind w:right="137"/>
              <w:spacing w:after="0"/>
              <w:rPr>
                <w:sz w:val="20"/>
                <w:szCs w:val="20"/>
                <w:color w:val="auto"/>
              </w:rPr>
            </w:pPr>
            <w:r>
              <w:rPr>
                <w:rFonts w:ascii="Arial" w:cs="Arial" w:eastAsia="Arial" w:hAnsi="Arial"/>
                <w:sz w:val="16"/>
                <w:szCs w:val="16"/>
                <w:color w:val="auto"/>
              </w:rPr>
              <w:t>771.7</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40.3</w:t>
            </w:r>
          </w:p>
        </w:tc>
        <w:tc>
          <w:tcPr>
            <w:tcW w:w="920" w:type="dxa"/>
            <w:vAlign w:val="bottom"/>
          </w:tcPr>
          <w:p>
            <w:pPr>
              <w:jc w:val="right"/>
              <w:ind w:right="177"/>
              <w:spacing w:after="0"/>
              <w:rPr>
                <w:sz w:val="20"/>
                <w:szCs w:val="20"/>
                <w:color w:val="auto"/>
              </w:rPr>
            </w:pPr>
            <w:r>
              <w:rPr>
                <w:rFonts w:ascii="Arial" w:cs="Arial" w:eastAsia="Arial" w:hAnsi="Arial"/>
                <w:sz w:val="16"/>
                <w:szCs w:val="16"/>
                <w:color w:val="auto"/>
              </w:rPr>
              <w:t>773.1</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20" w:type="dxa"/>
            <w:vAlign w:val="bottom"/>
            <w:shd w:val="clear" w:color="auto" w:fill="DDDDDD"/>
          </w:tcPr>
          <w:p>
            <w:pPr>
              <w:spacing w:after="0"/>
              <w:rPr>
                <w:sz w:val="20"/>
                <w:szCs w:val="20"/>
                <w:color w:val="auto"/>
              </w:rPr>
            </w:pPr>
            <w:r>
              <w:rPr>
                <w:rFonts w:ascii="Arial" w:cs="Arial" w:eastAsia="Arial" w:hAnsi="Arial"/>
                <w:sz w:val="16"/>
                <w:szCs w:val="16"/>
                <w:color w:val="auto"/>
              </w:rPr>
              <w:t>Bad debt expense</w:t>
            </w:r>
          </w:p>
        </w:tc>
        <w:tc>
          <w:tcPr>
            <w:tcW w:w="216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72.3</w:t>
            </w:r>
          </w:p>
        </w:tc>
        <w:tc>
          <w:tcPr>
            <w:tcW w:w="620" w:type="dxa"/>
            <w:vAlign w:val="bottom"/>
            <w:shd w:val="clear" w:color="auto" w:fill="DDDDDD"/>
          </w:tcPr>
          <w:p>
            <w:pPr>
              <w:jc w:val="right"/>
              <w:ind w:right="101"/>
              <w:spacing w:after="0"/>
              <w:rPr>
                <w:sz w:val="20"/>
                <w:szCs w:val="20"/>
                <w:color w:val="auto"/>
              </w:rPr>
            </w:pPr>
            <w:r>
              <w:rPr>
                <w:rFonts w:ascii="Arial" w:cs="Arial" w:eastAsia="Arial" w:hAnsi="Arial"/>
                <w:sz w:val="16"/>
                <w:szCs w:val="16"/>
                <w:color w:val="auto"/>
              </w:rPr>
              <w:t>3.7</w:t>
            </w:r>
          </w:p>
        </w:tc>
        <w:tc>
          <w:tcPr>
            <w:tcW w:w="90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68.7</w:t>
            </w:r>
          </w:p>
        </w:tc>
        <w:tc>
          <w:tcPr>
            <w:tcW w:w="640" w:type="dxa"/>
            <w:vAlign w:val="bottom"/>
            <w:shd w:val="clear" w:color="auto" w:fill="DDDDDD"/>
          </w:tcPr>
          <w:p>
            <w:pPr>
              <w:jc w:val="right"/>
              <w:ind w:right="121"/>
              <w:spacing w:after="0"/>
              <w:rPr>
                <w:sz w:val="20"/>
                <w:szCs w:val="20"/>
                <w:color w:val="auto"/>
              </w:rPr>
            </w:pPr>
            <w:r>
              <w:rPr>
                <w:rFonts w:ascii="Arial" w:cs="Arial" w:eastAsia="Arial" w:hAnsi="Arial"/>
                <w:sz w:val="16"/>
                <w:szCs w:val="16"/>
                <w:color w:val="auto"/>
              </w:rPr>
              <w:t>3.6</w:t>
            </w:r>
          </w:p>
        </w:tc>
        <w:tc>
          <w:tcPr>
            <w:tcW w:w="920" w:type="dxa"/>
            <w:vAlign w:val="bottom"/>
            <w:shd w:val="clear" w:color="auto" w:fill="DDDDDD"/>
          </w:tcPr>
          <w:p>
            <w:pPr>
              <w:jc w:val="right"/>
              <w:ind w:right="177"/>
              <w:spacing w:after="0"/>
              <w:rPr>
                <w:sz w:val="20"/>
                <w:szCs w:val="20"/>
                <w:color w:val="auto"/>
              </w:rPr>
            </w:pPr>
            <w:r>
              <w:rPr>
                <w:rFonts w:ascii="Arial" w:cs="Arial" w:eastAsia="Arial" w:hAnsi="Arial"/>
                <w:sz w:val="16"/>
                <w:szCs w:val="16"/>
                <w:color w:val="auto"/>
              </w:rPr>
              <w:t>75.5</w:t>
            </w:r>
          </w:p>
        </w:tc>
        <w:tc>
          <w:tcPr>
            <w:tcW w:w="5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160" w:type="dxa"/>
            <w:vAlign w:val="bottom"/>
          </w:tcPr>
          <w:p>
            <w:pPr>
              <w:jc w:val="right"/>
              <w:ind w:right="137"/>
              <w:spacing w:after="0"/>
              <w:rPr>
                <w:sz w:val="20"/>
                <w:szCs w:val="20"/>
                <w:color w:val="auto"/>
              </w:rPr>
            </w:pPr>
            <w:r>
              <w:rPr>
                <w:rFonts w:ascii="Arial" w:cs="Arial" w:eastAsia="Arial" w:hAnsi="Arial"/>
                <w:sz w:val="16"/>
                <w:szCs w:val="16"/>
                <w:color w:val="auto"/>
              </w:rPr>
              <w:t>46.1</w:t>
            </w: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2.3</w:t>
            </w:r>
          </w:p>
        </w:tc>
        <w:tc>
          <w:tcPr>
            <w:tcW w:w="900" w:type="dxa"/>
            <w:vAlign w:val="bottom"/>
          </w:tcPr>
          <w:p>
            <w:pPr>
              <w:jc w:val="right"/>
              <w:ind w:right="137"/>
              <w:spacing w:after="0"/>
              <w:rPr>
                <w:sz w:val="20"/>
                <w:szCs w:val="20"/>
                <w:color w:val="auto"/>
              </w:rPr>
            </w:pPr>
            <w:r>
              <w:rPr>
                <w:rFonts w:ascii="Arial" w:cs="Arial" w:eastAsia="Arial" w:hAnsi="Arial"/>
                <w:sz w:val="16"/>
                <w:szCs w:val="16"/>
                <w:color w:val="auto"/>
              </w:rPr>
              <w:t>36.6</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1.9</w:t>
            </w:r>
          </w:p>
        </w:tc>
        <w:tc>
          <w:tcPr>
            <w:tcW w:w="920" w:type="dxa"/>
            <w:vAlign w:val="bottom"/>
          </w:tcPr>
          <w:p>
            <w:pPr>
              <w:jc w:val="right"/>
              <w:ind w:right="177"/>
              <w:spacing w:after="0"/>
              <w:rPr>
                <w:sz w:val="20"/>
                <w:szCs w:val="20"/>
                <w:color w:val="auto"/>
              </w:rPr>
            </w:pPr>
            <w:r>
              <w:rPr>
                <w:rFonts w:ascii="Arial" w:cs="Arial" w:eastAsia="Arial" w:hAnsi="Arial"/>
                <w:sz w:val="16"/>
                <w:szCs w:val="16"/>
                <w:color w:val="auto"/>
              </w:rPr>
              <w:t>42.4</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20" w:type="dxa"/>
            <w:vAlign w:val="bottom"/>
            <w:shd w:val="clear" w:color="auto" w:fill="DDDDDD"/>
          </w:tcPr>
          <w:p>
            <w:pPr>
              <w:spacing w:after="0"/>
              <w:rPr>
                <w:sz w:val="19"/>
                <w:szCs w:val="19"/>
                <w:color w:val="auto"/>
              </w:rPr>
            </w:pPr>
          </w:p>
        </w:tc>
        <w:tc>
          <w:tcPr>
            <w:tcW w:w="216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620" w:type="dxa"/>
            <w:vAlign w:val="bottom"/>
          </w:tcPr>
          <w:p>
            <w:pPr>
              <w:spacing w:after="0" w:line="233" w:lineRule="exact"/>
              <w:rPr>
                <w:sz w:val="20"/>
                <w:szCs w:val="20"/>
                <w:color w:val="auto"/>
              </w:rPr>
            </w:pPr>
            <w:r>
              <w:rPr>
                <w:rFonts w:ascii="Arial" w:cs="Arial" w:eastAsia="Arial" w:hAnsi="Arial"/>
                <w:sz w:val="16"/>
                <w:szCs w:val="16"/>
                <w:color w:val="auto"/>
              </w:rPr>
              <w:t>Special severance charge</w:t>
            </w:r>
            <w:r>
              <w:rPr>
                <w:rFonts w:ascii="Arial" w:cs="Arial" w:eastAsia="Arial" w:hAnsi="Arial"/>
                <w:sz w:val="26"/>
                <w:szCs w:val="26"/>
                <w:color w:val="auto"/>
                <w:vertAlign w:val="superscript"/>
              </w:rPr>
              <w:t>(3)</w:t>
            </w:r>
          </w:p>
        </w:tc>
        <w:tc>
          <w:tcPr>
            <w:tcW w:w="2160" w:type="dxa"/>
            <w:vAlign w:val="bottom"/>
          </w:tcPr>
          <w:p>
            <w:pPr>
              <w:jc w:val="right"/>
              <w:ind w:right="137"/>
              <w:spacing w:after="0"/>
              <w:rPr>
                <w:sz w:val="20"/>
                <w:szCs w:val="20"/>
                <w:color w:val="auto"/>
              </w:rPr>
            </w:pPr>
            <w:r>
              <w:rPr>
                <w:rFonts w:ascii="Arial" w:cs="Arial" w:eastAsia="Arial" w:hAnsi="Arial"/>
                <w:sz w:val="16"/>
                <w:szCs w:val="16"/>
                <w:color w:val="auto"/>
              </w:rPr>
              <w:t>10.9</w:t>
            </w: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0.6</w:t>
            </w:r>
          </w:p>
        </w:tc>
        <w:tc>
          <w:tcPr>
            <w:tcW w:w="900" w:type="dxa"/>
            <w:vAlign w:val="bottom"/>
          </w:tcPr>
          <w:p>
            <w:pPr>
              <w:jc w:val="right"/>
              <w:ind w:right="137"/>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shd w:val="clear" w:color="auto" w:fill="DDDDDD"/>
          </w:tcPr>
          <w:p>
            <w:pPr>
              <w:spacing w:after="0" w:line="233" w:lineRule="exact"/>
              <w:rPr>
                <w:sz w:val="20"/>
                <w:szCs w:val="20"/>
                <w:color w:val="auto"/>
              </w:rPr>
            </w:pPr>
            <w:r>
              <w:rPr>
                <w:rFonts w:ascii="Arial" w:cs="Arial" w:eastAsia="Arial" w:hAnsi="Arial"/>
                <w:sz w:val="16"/>
                <w:szCs w:val="16"/>
                <w:color w:val="auto"/>
              </w:rPr>
              <w:t>Litigation and other charges</w:t>
            </w:r>
            <w:r>
              <w:rPr>
                <w:rFonts w:ascii="Arial" w:cs="Arial" w:eastAsia="Arial" w:hAnsi="Arial"/>
                <w:sz w:val="26"/>
                <w:szCs w:val="26"/>
                <w:color w:val="auto"/>
                <w:vertAlign w:val="superscript"/>
              </w:rPr>
              <w:t>(4)</w:t>
            </w:r>
          </w:p>
        </w:tc>
        <w:tc>
          <w:tcPr>
            <w:tcW w:w="216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1.9</w:t>
            </w:r>
          </w:p>
        </w:tc>
        <w:tc>
          <w:tcPr>
            <w:tcW w:w="620" w:type="dxa"/>
            <w:vAlign w:val="bottom"/>
            <w:shd w:val="clear" w:color="auto" w:fill="DDDDDD"/>
          </w:tcPr>
          <w:p>
            <w:pPr>
              <w:jc w:val="right"/>
              <w:ind w:right="101"/>
              <w:spacing w:after="0"/>
              <w:rPr>
                <w:sz w:val="20"/>
                <w:szCs w:val="20"/>
                <w:color w:val="auto"/>
              </w:rPr>
            </w:pPr>
            <w:r>
              <w:rPr>
                <w:rFonts w:ascii="Arial" w:cs="Arial" w:eastAsia="Arial" w:hAnsi="Arial"/>
                <w:sz w:val="16"/>
                <w:szCs w:val="16"/>
                <w:color w:val="auto"/>
              </w:rPr>
              <w:t>0.1</w:t>
            </w:r>
          </w:p>
        </w:tc>
        <w:tc>
          <w:tcPr>
            <w:tcW w:w="90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1.2</w:t>
            </w:r>
          </w:p>
        </w:tc>
        <w:tc>
          <w:tcPr>
            <w:tcW w:w="640" w:type="dxa"/>
            <w:vAlign w:val="bottom"/>
            <w:shd w:val="clear" w:color="auto" w:fill="DDDDDD"/>
          </w:tcPr>
          <w:p>
            <w:pPr>
              <w:jc w:val="right"/>
              <w:ind w:right="121"/>
              <w:spacing w:after="0"/>
              <w:rPr>
                <w:sz w:val="20"/>
                <w:szCs w:val="20"/>
                <w:color w:val="auto"/>
              </w:rPr>
            </w:pPr>
            <w:r>
              <w:rPr>
                <w:rFonts w:ascii="Arial" w:cs="Arial" w:eastAsia="Arial" w:hAnsi="Arial"/>
                <w:sz w:val="16"/>
                <w:szCs w:val="16"/>
                <w:color w:val="auto"/>
              </w:rPr>
              <w:t>0.1</w:t>
            </w:r>
          </w:p>
        </w:tc>
        <w:tc>
          <w:tcPr>
            <w:tcW w:w="920" w:type="dxa"/>
            <w:vAlign w:val="bottom"/>
            <w:shd w:val="clear" w:color="auto" w:fill="DDDDDD"/>
          </w:tcPr>
          <w:p>
            <w:pPr>
              <w:jc w:val="right"/>
              <w:ind w:right="177"/>
              <w:spacing w:after="0"/>
              <w:rPr>
                <w:sz w:val="20"/>
                <w:szCs w:val="20"/>
                <w:color w:val="auto"/>
              </w:rPr>
            </w:pPr>
            <w:r>
              <w:rPr>
                <w:rFonts w:ascii="Arial" w:cs="Arial" w:eastAsia="Arial" w:hAnsi="Arial"/>
                <w:sz w:val="16"/>
                <w:szCs w:val="16"/>
                <w:color w:val="auto"/>
              </w:rPr>
              <w:t>—</w:t>
            </w:r>
          </w:p>
        </w:tc>
        <w:tc>
          <w:tcPr>
            <w:tcW w:w="5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20" w:type="dxa"/>
            <w:vAlign w:val="bottom"/>
            <w:shd w:val="clear" w:color="auto" w:fill="DDDDDD"/>
          </w:tcPr>
          <w:p>
            <w:pPr>
              <w:spacing w:after="0"/>
              <w:rPr>
                <w:sz w:val="8"/>
                <w:szCs w:val="8"/>
                <w:color w:val="auto"/>
              </w:rPr>
            </w:pPr>
          </w:p>
        </w:tc>
        <w:tc>
          <w:tcPr>
            <w:tcW w:w="2160" w:type="dxa"/>
            <w:vAlign w:val="bottom"/>
            <w:shd w:val="clear" w:color="auto" w:fill="DDDDDD"/>
          </w:tcPr>
          <w:p>
            <w:pPr>
              <w:spacing w:after="0"/>
              <w:rPr>
                <w:sz w:val="8"/>
                <w:szCs w:val="8"/>
                <w:color w:val="auto"/>
              </w:rPr>
            </w:pPr>
          </w:p>
        </w:tc>
        <w:tc>
          <w:tcPr>
            <w:tcW w:w="620" w:type="dxa"/>
            <w:vAlign w:val="bottom"/>
            <w:shd w:val="clear" w:color="auto" w:fill="DDDDDD"/>
          </w:tcPr>
          <w:p>
            <w:pPr>
              <w:spacing w:after="0"/>
              <w:rPr>
                <w:sz w:val="8"/>
                <w:szCs w:val="8"/>
                <w:color w:val="auto"/>
              </w:rPr>
            </w:pPr>
          </w:p>
        </w:tc>
        <w:tc>
          <w:tcPr>
            <w:tcW w:w="900" w:type="dxa"/>
            <w:vAlign w:val="bottom"/>
            <w:shd w:val="clear" w:color="auto" w:fill="DDDDDD"/>
          </w:tcPr>
          <w:p>
            <w:pPr>
              <w:spacing w:after="0"/>
              <w:rPr>
                <w:sz w:val="8"/>
                <w:szCs w:val="8"/>
                <w:color w:val="auto"/>
              </w:rPr>
            </w:pPr>
          </w:p>
        </w:tc>
        <w:tc>
          <w:tcPr>
            <w:tcW w:w="640" w:type="dxa"/>
            <w:vAlign w:val="bottom"/>
            <w:shd w:val="clear" w:color="auto" w:fill="DDDDDD"/>
          </w:tcPr>
          <w:p>
            <w:pPr>
              <w:spacing w:after="0"/>
              <w:rPr>
                <w:sz w:val="8"/>
                <w:szCs w:val="8"/>
                <w:color w:val="auto"/>
              </w:rPr>
            </w:pPr>
          </w:p>
        </w:tc>
        <w:tc>
          <w:tcPr>
            <w:tcW w:w="920" w:type="dxa"/>
            <w:vAlign w:val="bottom"/>
            <w:shd w:val="clear" w:color="auto" w:fill="DDDDDD"/>
          </w:tcPr>
          <w:p>
            <w:pPr>
              <w:spacing w:after="0"/>
              <w:rPr>
                <w:sz w:val="8"/>
                <w:szCs w:val="8"/>
                <w:color w:val="auto"/>
              </w:rPr>
            </w:pPr>
          </w:p>
        </w:tc>
        <w:tc>
          <w:tcPr>
            <w:tcW w:w="540" w:type="dxa"/>
            <w:vAlign w:val="bottom"/>
            <w:shd w:val="clear" w:color="auto" w:fill="DDDDDD"/>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7" w:right="219" w:bottom="0" w:gutter="0" w:footer="0" w:header="0"/>
        </w:sectPr>
      </w:pPr>
    </w:p>
    <w:bookmarkStart w:id="10" w:name="page11"/>
    <w:bookmarkEnd w:id="10"/>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40" w:type="dxa"/>
            <w:vAlign w:val="bottom"/>
            <w:shd w:val="clear" w:color="auto" w:fill="DDDDDD"/>
          </w:tcPr>
          <w:p>
            <w:pPr>
              <w:spacing w:after="0"/>
              <w:rPr>
                <w:sz w:val="20"/>
                <w:szCs w:val="20"/>
                <w:color w:val="auto"/>
              </w:rPr>
            </w:pPr>
            <w:r>
              <w:rPr>
                <w:rFonts w:ascii="Arial" w:cs="Arial" w:eastAsia="Arial" w:hAnsi="Arial"/>
                <w:sz w:val="16"/>
                <w:szCs w:val="16"/>
                <w:color w:val="auto"/>
              </w:rPr>
              <w:t>Operating income</w:t>
            </w:r>
          </w:p>
        </w:tc>
        <w:tc>
          <w:tcPr>
            <w:tcW w:w="204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118.7</w:t>
            </w:r>
          </w:p>
        </w:tc>
        <w:tc>
          <w:tcPr>
            <w:tcW w:w="68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6.1</w:t>
            </w:r>
          </w:p>
        </w:tc>
        <w:tc>
          <w:tcPr>
            <w:tcW w:w="86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186.7</w:t>
            </w:r>
          </w:p>
        </w:tc>
        <w:tc>
          <w:tcPr>
            <w:tcW w:w="720" w:type="dxa"/>
            <w:vAlign w:val="bottom"/>
            <w:shd w:val="clear" w:color="auto" w:fill="DDDDDD"/>
          </w:tcPr>
          <w:p>
            <w:pPr>
              <w:jc w:val="right"/>
              <w:ind w:right="220"/>
              <w:spacing w:after="0"/>
              <w:rPr>
                <w:sz w:val="20"/>
                <w:szCs w:val="20"/>
                <w:color w:val="auto"/>
              </w:rPr>
            </w:pPr>
            <w:r>
              <w:rPr>
                <w:rFonts w:ascii="Arial" w:cs="Arial" w:eastAsia="Arial" w:hAnsi="Arial"/>
                <w:sz w:val="16"/>
                <w:szCs w:val="16"/>
                <w:color w:val="auto"/>
              </w:rPr>
              <w:t>9.7</w:t>
            </w:r>
          </w:p>
        </w:tc>
        <w:tc>
          <w:tcPr>
            <w:tcW w:w="820" w:type="dxa"/>
            <w:vAlign w:val="bottom"/>
            <w:shd w:val="clear" w:color="auto" w:fill="DDDDDD"/>
          </w:tcPr>
          <w:p>
            <w:pPr>
              <w:jc w:val="right"/>
              <w:ind w:right="180"/>
              <w:spacing w:after="0"/>
              <w:rPr>
                <w:sz w:val="20"/>
                <w:szCs w:val="20"/>
                <w:color w:val="auto"/>
              </w:rPr>
            </w:pPr>
            <w:r>
              <w:rPr>
                <w:rFonts w:ascii="Arial" w:cs="Arial" w:eastAsia="Arial" w:hAnsi="Arial"/>
                <w:sz w:val="16"/>
                <w:szCs w:val="16"/>
                <w:color w:val="auto"/>
              </w:rPr>
              <w:t>98.7</w:t>
            </w:r>
          </w:p>
        </w:tc>
        <w:tc>
          <w:tcPr>
            <w:tcW w:w="5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line="233" w:lineRule="exact"/>
              <w:rPr>
                <w:sz w:val="20"/>
                <w:szCs w:val="20"/>
                <w:color w:val="auto"/>
              </w:rPr>
            </w:pPr>
            <w:r>
              <w:rPr>
                <w:rFonts w:ascii="Arial" w:cs="Arial" w:eastAsia="Arial" w:hAnsi="Arial"/>
                <w:sz w:val="16"/>
                <w:szCs w:val="16"/>
                <w:color w:val="auto"/>
              </w:rPr>
              <w:t>Other income (expense)</w:t>
            </w:r>
            <w:r>
              <w:rPr>
                <w:rFonts w:ascii="Arial" w:cs="Arial" w:eastAsia="Arial" w:hAnsi="Arial"/>
                <w:sz w:val="26"/>
                <w:szCs w:val="26"/>
                <w:color w:val="auto"/>
                <w:vertAlign w:val="superscript"/>
              </w:rPr>
              <w:t>(5)</w:t>
            </w:r>
          </w:p>
        </w:tc>
        <w:tc>
          <w:tcPr>
            <w:tcW w:w="204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0.1</w:t>
            </w: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(2.0)</w:t>
            </w:r>
          </w:p>
        </w:tc>
        <w:tc>
          <w:tcPr>
            <w:tcW w:w="720" w:type="dxa"/>
            <w:vAlign w:val="bottom"/>
          </w:tcPr>
          <w:p>
            <w:pPr>
              <w:jc w:val="right"/>
              <w:ind w:right="220"/>
              <w:spacing w:after="0"/>
              <w:rPr>
                <w:sz w:val="20"/>
                <w:szCs w:val="20"/>
                <w:color w:val="auto"/>
              </w:rPr>
            </w:pPr>
            <w:r>
              <w:rPr>
                <w:rFonts w:ascii="Arial" w:cs="Arial" w:eastAsia="Arial" w:hAnsi="Arial"/>
                <w:sz w:val="16"/>
                <w:szCs w:val="16"/>
                <w:color w:val="auto"/>
              </w:rPr>
              <w:t>0.1</w:t>
            </w: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shd w:val="clear" w:color="auto" w:fill="DDDDDD"/>
          </w:tcPr>
          <w:p>
            <w:pPr>
              <w:spacing w:after="0"/>
              <w:rPr>
                <w:sz w:val="20"/>
                <w:szCs w:val="20"/>
                <w:color w:val="auto"/>
              </w:rPr>
            </w:pPr>
            <w:r>
              <w:rPr>
                <w:rFonts w:ascii="Arial" w:cs="Arial" w:eastAsia="Arial" w:hAnsi="Arial"/>
                <w:sz w:val="16"/>
                <w:szCs w:val="16"/>
                <w:color w:val="auto"/>
              </w:rPr>
              <w:t>Interest expense</w:t>
            </w:r>
          </w:p>
        </w:tc>
        <w:tc>
          <w:tcPr>
            <w:tcW w:w="204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31.5</w:t>
            </w:r>
          </w:p>
        </w:tc>
        <w:tc>
          <w:tcPr>
            <w:tcW w:w="68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1.6</w:t>
            </w:r>
          </w:p>
        </w:tc>
        <w:tc>
          <w:tcPr>
            <w:tcW w:w="86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31.4</w:t>
            </w:r>
          </w:p>
        </w:tc>
        <w:tc>
          <w:tcPr>
            <w:tcW w:w="720" w:type="dxa"/>
            <w:vAlign w:val="bottom"/>
            <w:shd w:val="clear" w:color="auto" w:fill="DDDDDD"/>
          </w:tcPr>
          <w:p>
            <w:pPr>
              <w:jc w:val="right"/>
              <w:ind w:right="220"/>
              <w:spacing w:after="0"/>
              <w:rPr>
                <w:sz w:val="20"/>
                <w:szCs w:val="20"/>
                <w:color w:val="auto"/>
              </w:rPr>
            </w:pPr>
            <w:r>
              <w:rPr>
                <w:rFonts w:ascii="Arial" w:cs="Arial" w:eastAsia="Arial" w:hAnsi="Arial"/>
                <w:sz w:val="16"/>
                <w:szCs w:val="16"/>
                <w:color w:val="auto"/>
              </w:rPr>
              <w:t>1.6</w:t>
            </w:r>
          </w:p>
        </w:tc>
        <w:tc>
          <w:tcPr>
            <w:tcW w:w="820" w:type="dxa"/>
            <w:vAlign w:val="bottom"/>
            <w:shd w:val="clear" w:color="auto" w:fill="DDDDDD"/>
          </w:tcPr>
          <w:p>
            <w:pPr>
              <w:jc w:val="right"/>
              <w:ind w:right="180"/>
              <w:spacing w:after="0"/>
              <w:rPr>
                <w:sz w:val="20"/>
                <w:szCs w:val="20"/>
                <w:color w:val="auto"/>
              </w:rPr>
            </w:pPr>
            <w:r>
              <w:rPr>
                <w:rFonts w:ascii="Arial" w:cs="Arial" w:eastAsia="Arial" w:hAnsi="Arial"/>
                <w:sz w:val="16"/>
                <w:szCs w:val="16"/>
                <w:color w:val="auto"/>
              </w:rPr>
              <w:t>41.6</w:t>
            </w:r>
          </w:p>
        </w:tc>
        <w:tc>
          <w:tcPr>
            <w:tcW w:w="5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Earnings before income taxes and Cumulative</w:t>
            </w:r>
          </w:p>
        </w:tc>
        <w:tc>
          <w:tcPr>
            <w:tcW w:w="2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tcPr>
          <w:p>
            <w:pPr>
              <w:ind w:left="420"/>
              <w:spacing w:after="0"/>
              <w:rPr>
                <w:sz w:val="20"/>
                <w:szCs w:val="20"/>
                <w:color w:val="auto"/>
              </w:rPr>
            </w:pPr>
            <w:r>
              <w:rPr>
                <w:rFonts w:ascii="Arial" w:cs="Arial" w:eastAsia="Arial" w:hAnsi="Arial"/>
                <w:sz w:val="16"/>
                <w:szCs w:val="16"/>
                <w:color w:val="auto"/>
              </w:rPr>
              <w:t>effect of accounting change</w:t>
            </w:r>
          </w:p>
        </w:tc>
        <w:tc>
          <w:tcPr>
            <w:tcW w:w="2040" w:type="dxa"/>
            <w:vAlign w:val="bottom"/>
          </w:tcPr>
          <w:p>
            <w:pPr>
              <w:jc w:val="right"/>
              <w:ind w:right="140"/>
              <w:spacing w:after="0"/>
              <w:rPr>
                <w:sz w:val="20"/>
                <w:szCs w:val="20"/>
                <w:color w:val="auto"/>
              </w:rPr>
            </w:pPr>
            <w:r>
              <w:rPr>
                <w:rFonts w:ascii="Arial" w:cs="Arial" w:eastAsia="Arial" w:hAnsi="Arial"/>
                <w:sz w:val="16"/>
                <w:szCs w:val="16"/>
                <w:color w:val="auto"/>
              </w:rPr>
              <w:t>90.1</w:t>
            </w: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4.6</w:t>
            </w: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153.3</w:t>
            </w:r>
          </w:p>
        </w:tc>
        <w:tc>
          <w:tcPr>
            <w:tcW w:w="720" w:type="dxa"/>
            <w:vAlign w:val="bottom"/>
          </w:tcPr>
          <w:p>
            <w:pPr>
              <w:jc w:val="right"/>
              <w:ind w:right="220"/>
              <w:spacing w:after="0"/>
              <w:rPr>
                <w:sz w:val="20"/>
                <w:szCs w:val="20"/>
                <w:color w:val="auto"/>
              </w:rPr>
            </w:pPr>
            <w:r>
              <w:rPr>
                <w:rFonts w:ascii="Arial" w:cs="Arial" w:eastAsia="Arial" w:hAnsi="Arial"/>
                <w:sz w:val="16"/>
                <w:szCs w:val="16"/>
                <w:color w:val="auto"/>
              </w:rPr>
              <w:t>8.0</w:t>
            </w: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57.1</w:t>
            </w: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740" w:type="dxa"/>
            <w:vAlign w:val="bottom"/>
            <w:shd w:val="clear" w:color="auto" w:fill="DDDDDD"/>
          </w:tcPr>
          <w:p>
            <w:pPr>
              <w:spacing w:after="0" w:line="235" w:lineRule="exact"/>
              <w:rPr>
                <w:sz w:val="20"/>
                <w:szCs w:val="20"/>
                <w:color w:val="auto"/>
              </w:rPr>
            </w:pPr>
            <w:r>
              <w:rPr>
                <w:rFonts w:ascii="Arial" w:cs="Arial" w:eastAsia="Arial" w:hAnsi="Arial"/>
                <w:sz w:val="16"/>
                <w:szCs w:val="16"/>
                <w:color w:val="auto"/>
              </w:rPr>
              <w:t>Cumulative effect of accounting change (net of income taxes)</w:t>
            </w:r>
            <w:r>
              <w:rPr>
                <w:rFonts w:ascii="Arial" w:cs="Arial" w:eastAsia="Arial" w:hAnsi="Arial"/>
                <w:sz w:val="26"/>
                <w:szCs w:val="26"/>
                <w:color w:val="auto"/>
                <w:vertAlign w:val="superscript"/>
              </w:rPr>
              <w:t>(6)</w:t>
            </w:r>
          </w:p>
        </w:tc>
        <w:tc>
          <w:tcPr>
            <w:tcW w:w="204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(5.2)</w:t>
            </w:r>
          </w:p>
        </w:tc>
        <w:tc>
          <w:tcPr>
            <w:tcW w:w="720" w:type="dxa"/>
            <w:vAlign w:val="bottom"/>
            <w:shd w:val="clear" w:color="auto" w:fill="DDDDDD"/>
          </w:tcPr>
          <w:p>
            <w:pPr>
              <w:jc w:val="right"/>
              <w:ind w:right="220"/>
              <w:spacing w:after="0"/>
              <w:rPr>
                <w:sz w:val="20"/>
                <w:szCs w:val="20"/>
                <w:color w:val="auto"/>
              </w:rPr>
            </w:pPr>
            <w:r>
              <w:rPr>
                <w:rFonts w:ascii="Arial" w:cs="Arial" w:eastAsia="Arial" w:hAnsi="Arial"/>
                <w:sz w:val="16"/>
                <w:szCs w:val="16"/>
                <w:color w:val="auto"/>
              </w:rPr>
              <w:t>0.3</w:t>
            </w:r>
          </w:p>
        </w:tc>
        <w:tc>
          <w:tcPr>
            <w:tcW w:w="820" w:type="dxa"/>
            <w:vAlign w:val="bottom"/>
            <w:shd w:val="clear" w:color="auto" w:fill="DDDDDD"/>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Net income</w:t>
            </w:r>
          </w:p>
        </w:tc>
        <w:tc>
          <w:tcPr>
            <w:tcW w:w="2040" w:type="dxa"/>
            <w:vAlign w:val="bottom"/>
          </w:tcPr>
          <w:p>
            <w:pPr>
              <w:jc w:val="right"/>
              <w:ind w:right="140"/>
              <w:spacing w:after="0"/>
              <w:rPr>
                <w:sz w:val="20"/>
                <w:szCs w:val="20"/>
                <w:color w:val="auto"/>
              </w:rPr>
            </w:pPr>
            <w:r>
              <w:rPr>
                <w:rFonts w:ascii="Arial" w:cs="Arial" w:eastAsia="Arial" w:hAnsi="Arial"/>
                <w:sz w:val="16"/>
                <w:szCs w:val="16"/>
                <w:color w:val="auto"/>
              </w:rPr>
              <w:t>58.6</w:t>
            </w: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3.0</w:t>
            </w: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93.5</w:t>
            </w:r>
          </w:p>
        </w:tc>
        <w:tc>
          <w:tcPr>
            <w:tcW w:w="720" w:type="dxa"/>
            <w:vAlign w:val="bottom"/>
          </w:tcPr>
          <w:p>
            <w:pPr>
              <w:jc w:val="right"/>
              <w:ind w:right="220"/>
              <w:spacing w:after="0"/>
              <w:rPr>
                <w:sz w:val="20"/>
                <w:szCs w:val="20"/>
                <w:color w:val="auto"/>
              </w:rPr>
            </w:pPr>
            <w:r>
              <w:rPr>
                <w:rFonts w:ascii="Arial" w:cs="Arial" w:eastAsia="Arial" w:hAnsi="Arial"/>
                <w:sz w:val="16"/>
                <w:szCs w:val="16"/>
                <w:color w:val="auto"/>
              </w:rPr>
              <w:t>4.9</w:t>
            </w: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36.3</w:t>
            </w: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40" w:type="dxa"/>
            <w:vAlign w:val="bottom"/>
            <w:shd w:val="clear" w:color="auto" w:fill="DDDDDD"/>
          </w:tcPr>
          <w:p>
            <w:pPr>
              <w:spacing w:after="0"/>
              <w:rPr>
                <w:sz w:val="19"/>
                <w:szCs w:val="19"/>
                <w:color w:val="auto"/>
              </w:rPr>
            </w:pPr>
          </w:p>
        </w:tc>
        <w:tc>
          <w:tcPr>
            <w:tcW w:w="204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8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Earnings per share before Cumulative effect of accounting change:</w:t>
            </w:r>
          </w:p>
        </w:tc>
        <w:tc>
          <w:tcPr>
            <w:tcW w:w="2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DDDDDD"/>
          </w:tcPr>
          <w:p>
            <w:pPr>
              <w:ind w:left="380"/>
              <w:spacing w:after="0"/>
              <w:rPr>
                <w:sz w:val="20"/>
                <w:szCs w:val="20"/>
                <w:color w:val="auto"/>
              </w:rPr>
            </w:pPr>
            <w:r>
              <w:rPr>
                <w:rFonts w:ascii="Arial" w:cs="Arial" w:eastAsia="Arial" w:hAnsi="Arial"/>
                <w:sz w:val="16"/>
                <w:szCs w:val="16"/>
                <w:color w:val="auto"/>
              </w:rPr>
              <w:t>Basic</w:t>
            </w:r>
          </w:p>
        </w:tc>
        <w:tc>
          <w:tcPr>
            <w:tcW w:w="204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1.50</w:t>
            </w:r>
          </w:p>
        </w:tc>
        <w:tc>
          <w:tcPr>
            <w:tcW w:w="680" w:type="dxa"/>
            <w:vAlign w:val="bottom"/>
            <w:shd w:val="clear" w:color="auto" w:fill="DDDDDD"/>
          </w:tcPr>
          <w:p>
            <w:pPr>
              <w:spacing w:after="0"/>
              <w:rPr>
                <w:sz w:val="19"/>
                <w:szCs w:val="19"/>
                <w:color w:val="auto"/>
              </w:rPr>
            </w:pPr>
          </w:p>
        </w:tc>
        <w:tc>
          <w:tcPr>
            <w:tcW w:w="86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2.69</w:t>
            </w:r>
          </w:p>
        </w:tc>
        <w:tc>
          <w:tcPr>
            <w:tcW w:w="72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80"/>
              <w:spacing w:after="0"/>
              <w:rPr>
                <w:sz w:val="20"/>
                <w:szCs w:val="20"/>
                <w:color w:val="auto"/>
              </w:rPr>
            </w:pPr>
            <w:r>
              <w:rPr>
                <w:rFonts w:ascii="Arial" w:cs="Arial" w:eastAsia="Arial" w:hAnsi="Arial"/>
                <w:sz w:val="16"/>
                <w:szCs w:val="16"/>
                <w:color w:val="auto"/>
              </w:rPr>
              <w:t>1.05</w:t>
            </w:r>
          </w:p>
        </w:tc>
        <w:tc>
          <w:tcPr>
            <w:tcW w:w="5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tcPr>
          <w:p>
            <w:pPr>
              <w:ind w:left="380"/>
              <w:spacing w:after="0"/>
              <w:rPr>
                <w:sz w:val="20"/>
                <w:szCs w:val="20"/>
                <w:color w:val="auto"/>
              </w:rPr>
            </w:pPr>
            <w:r>
              <w:rPr>
                <w:rFonts w:ascii="Arial" w:cs="Arial" w:eastAsia="Arial" w:hAnsi="Arial"/>
                <w:sz w:val="16"/>
                <w:szCs w:val="16"/>
                <w:color w:val="auto"/>
              </w:rPr>
              <w:t>Diluted</w:t>
            </w:r>
          </w:p>
        </w:tc>
        <w:tc>
          <w:tcPr>
            <w:tcW w:w="2040" w:type="dxa"/>
            <w:vAlign w:val="bottom"/>
          </w:tcPr>
          <w:p>
            <w:pPr>
              <w:jc w:val="right"/>
              <w:ind w:right="140"/>
              <w:spacing w:after="0"/>
              <w:rPr>
                <w:sz w:val="20"/>
                <w:szCs w:val="20"/>
                <w:color w:val="auto"/>
              </w:rPr>
            </w:pPr>
            <w:r>
              <w:rPr>
                <w:rFonts w:ascii="Arial" w:cs="Arial" w:eastAsia="Arial" w:hAnsi="Arial"/>
                <w:sz w:val="16"/>
                <w:szCs w:val="16"/>
                <w:color w:val="auto"/>
              </w:rPr>
              <w:t>1.46</w:t>
            </w:r>
          </w:p>
        </w:tc>
        <w:tc>
          <w:tcPr>
            <w:tcW w:w="680" w:type="dxa"/>
            <w:vAlign w:val="bottom"/>
          </w:tcPr>
          <w:p>
            <w:pPr>
              <w:spacing w:after="0"/>
              <w:rPr>
                <w:sz w:val="17"/>
                <w:szCs w:val="17"/>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2.51</w:t>
            </w:r>
          </w:p>
        </w:tc>
        <w:tc>
          <w:tcPr>
            <w:tcW w:w="720" w:type="dxa"/>
            <w:vAlign w:val="bottom"/>
          </w:tcPr>
          <w:p>
            <w:pPr>
              <w:spacing w:after="0"/>
              <w:rPr>
                <w:sz w:val="17"/>
                <w:szCs w:val="17"/>
                <w:color w:val="auto"/>
              </w:rPr>
            </w:pP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1.01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DDDDDD"/>
          </w:tcPr>
          <w:p>
            <w:pPr>
              <w:spacing w:after="0"/>
              <w:rPr>
                <w:sz w:val="20"/>
                <w:szCs w:val="20"/>
                <w:color w:val="auto"/>
              </w:rPr>
            </w:pPr>
            <w:r>
              <w:rPr>
                <w:rFonts w:ascii="Arial" w:cs="Arial" w:eastAsia="Arial" w:hAnsi="Arial"/>
                <w:sz w:val="16"/>
                <w:szCs w:val="16"/>
                <w:color w:val="auto"/>
              </w:rPr>
              <w:t>Earnings per share:</w:t>
            </w:r>
          </w:p>
        </w:tc>
        <w:tc>
          <w:tcPr>
            <w:tcW w:w="2040" w:type="dxa"/>
            <w:vAlign w:val="bottom"/>
            <w:shd w:val="clear" w:color="auto" w:fill="DDDDDD"/>
          </w:tcPr>
          <w:p>
            <w:pPr>
              <w:spacing w:after="0"/>
              <w:rPr>
                <w:sz w:val="18"/>
                <w:szCs w:val="18"/>
                <w:color w:val="auto"/>
              </w:rPr>
            </w:pPr>
          </w:p>
        </w:tc>
        <w:tc>
          <w:tcPr>
            <w:tcW w:w="68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ind w:left="380"/>
              <w:spacing w:after="0"/>
              <w:rPr>
                <w:sz w:val="20"/>
                <w:szCs w:val="20"/>
                <w:color w:val="auto"/>
              </w:rPr>
            </w:pPr>
            <w:r>
              <w:rPr>
                <w:rFonts w:ascii="Arial" w:cs="Arial" w:eastAsia="Arial" w:hAnsi="Arial"/>
                <w:sz w:val="16"/>
                <w:szCs w:val="16"/>
                <w:color w:val="auto"/>
              </w:rPr>
              <w:t>Basic</w:t>
            </w:r>
          </w:p>
        </w:tc>
        <w:tc>
          <w:tcPr>
            <w:tcW w:w="2040" w:type="dxa"/>
            <w:vAlign w:val="bottom"/>
          </w:tcPr>
          <w:p>
            <w:pPr>
              <w:jc w:val="right"/>
              <w:ind w:right="140"/>
              <w:spacing w:after="0"/>
              <w:rPr>
                <w:sz w:val="20"/>
                <w:szCs w:val="20"/>
                <w:color w:val="auto"/>
              </w:rPr>
            </w:pPr>
            <w:r>
              <w:rPr>
                <w:rFonts w:ascii="Arial" w:cs="Arial" w:eastAsia="Arial" w:hAnsi="Arial"/>
                <w:sz w:val="16"/>
                <w:szCs w:val="16"/>
                <w:color w:val="auto"/>
              </w:rPr>
              <w:t>1.50</w:t>
            </w:r>
          </w:p>
        </w:tc>
        <w:tc>
          <w:tcPr>
            <w:tcW w:w="680" w:type="dxa"/>
            <w:vAlign w:val="bottom"/>
          </w:tcPr>
          <w:p>
            <w:pPr>
              <w:spacing w:after="0"/>
              <w:rPr>
                <w:sz w:val="18"/>
                <w:szCs w:val="18"/>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2.55</w:t>
            </w:r>
          </w:p>
        </w:tc>
        <w:tc>
          <w:tcPr>
            <w:tcW w:w="720" w:type="dxa"/>
            <w:vAlign w:val="bottom"/>
          </w:tcPr>
          <w:p>
            <w:pPr>
              <w:spacing w:after="0"/>
              <w:rPr>
                <w:sz w:val="18"/>
                <w:szCs w:val="18"/>
                <w:color w:val="auto"/>
              </w:rPr>
            </w:pP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1.05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Diluted</w:t>
            </w:r>
          </w:p>
        </w:tc>
        <w:tc>
          <w:tcPr>
            <w:tcW w:w="204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1.46</w:t>
            </w:r>
          </w:p>
        </w:tc>
        <w:tc>
          <w:tcPr>
            <w:tcW w:w="680" w:type="dxa"/>
            <w:vAlign w:val="bottom"/>
            <w:shd w:val="clear" w:color="auto" w:fill="DDDDDD"/>
          </w:tcPr>
          <w:p>
            <w:pPr>
              <w:spacing w:after="0"/>
              <w:rPr>
                <w:sz w:val="19"/>
                <w:szCs w:val="19"/>
                <w:color w:val="auto"/>
              </w:rPr>
            </w:pPr>
          </w:p>
        </w:tc>
        <w:tc>
          <w:tcPr>
            <w:tcW w:w="860" w:type="dxa"/>
            <w:vAlign w:val="bottom"/>
            <w:shd w:val="clear" w:color="auto" w:fill="DDDDDD"/>
          </w:tcPr>
          <w:p>
            <w:pPr>
              <w:jc w:val="right"/>
              <w:ind w:right="160"/>
              <w:spacing w:after="0"/>
              <w:rPr>
                <w:sz w:val="20"/>
                <w:szCs w:val="20"/>
                <w:color w:val="auto"/>
              </w:rPr>
            </w:pPr>
            <w:r>
              <w:rPr>
                <w:rFonts w:ascii="Arial" w:cs="Arial" w:eastAsia="Arial" w:hAnsi="Arial"/>
                <w:sz w:val="16"/>
                <w:szCs w:val="16"/>
                <w:color w:val="auto"/>
              </w:rPr>
              <w:t>2.38</w:t>
            </w:r>
          </w:p>
        </w:tc>
        <w:tc>
          <w:tcPr>
            <w:tcW w:w="72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80"/>
              <w:spacing w:after="0"/>
              <w:rPr>
                <w:sz w:val="20"/>
                <w:szCs w:val="20"/>
                <w:color w:val="auto"/>
              </w:rPr>
            </w:pPr>
            <w:r>
              <w:rPr>
                <w:rFonts w:ascii="Arial" w:cs="Arial" w:eastAsia="Arial" w:hAnsi="Arial"/>
                <w:sz w:val="16"/>
                <w:szCs w:val="16"/>
                <w:color w:val="auto"/>
              </w:rPr>
              <w:t>1.01</w:t>
            </w:r>
          </w:p>
        </w:tc>
        <w:tc>
          <w:tcPr>
            <w:tcW w:w="5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 w:right="260"/>
        <w:spacing w:after="0" w:line="283" w:lineRule="auto"/>
        <w:rPr>
          <w:sz w:val="20"/>
          <w:szCs w:val="20"/>
          <w:color w:val="auto"/>
        </w:rPr>
      </w:pPr>
      <w:r>
        <w:rPr>
          <w:rFonts w:ascii="Arial" w:cs="Arial" w:eastAsia="Arial" w:hAnsi="Arial"/>
          <w:sz w:val="16"/>
          <w:szCs w:val="16"/>
          <w:color w:val="auto"/>
        </w:rPr>
        <w:t>Certain prior year amounts have been reclassified to conform with the present year presentation, and share amounts have been adjusted to reflect a 100% stock dividend in the form of a 2-for-1 stock split on the Class A Stock and Common Stock paid on January 16,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86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46" w:lineRule="exact"/>
        <w:rPr>
          <w:sz w:val="20"/>
          <w:szCs w:val="20"/>
          <w:color w:val="auto"/>
        </w:rPr>
      </w:pPr>
    </w:p>
    <w:p>
      <w:pPr>
        <w:ind w:left="342" w:hanging="342"/>
        <w:spacing w:after="0"/>
        <w:tabs>
          <w:tab w:leader="none" w:pos="342"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percentage of total revenues.</w:t>
      </w:r>
    </w:p>
    <w:p>
      <w:pPr>
        <w:spacing w:after="0" w:line="83" w:lineRule="exact"/>
        <w:rPr>
          <w:rFonts w:ascii="Arial" w:cs="Arial" w:eastAsia="Arial" w:hAnsi="Arial"/>
          <w:sz w:val="12"/>
          <w:szCs w:val="12"/>
          <w:color w:val="auto"/>
        </w:rPr>
      </w:pPr>
    </w:p>
    <w:p>
      <w:pPr>
        <w:ind w:left="342" w:hanging="342"/>
        <w:spacing w:after="0"/>
        <w:tabs>
          <w:tab w:leader="none" w:pos="34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 fiscal 2001, the Company decided not to update </w:t>
      </w:r>
      <w:r>
        <w:rPr>
          <w:rFonts w:ascii="Arial" w:cs="Arial" w:eastAsia="Arial" w:hAnsi="Arial"/>
          <w:sz w:val="12"/>
          <w:szCs w:val="12"/>
          <w:i w:val="1"/>
          <w:iCs w:val="1"/>
          <w:color w:val="auto"/>
        </w:rPr>
        <w:t>Scholastic Literacy Place,</w:t>
      </w:r>
      <w:r>
        <w:rPr>
          <w:rFonts w:ascii="Arial" w:cs="Arial" w:eastAsia="Arial" w:hAnsi="Arial"/>
          <w:sz w:val="12"/>
          <w:szCs w:val="12"/>
          <w:color w:val="auto"/>
        </w:rPr>
        <w:t xml:space="preserve"> which resulted in a pre-tax special charge of $72.9, or $1.20 per diluted share, recorded in Cost of goods sold.</w:t>
      </w:r>
    </w:p>
    <w:p>
      <w:pPr>
        <w:spacing w:after="0" w:line="83" w:lineRule="exact"/>
        <w:rPr>
          <w:rFonts w:ascii="Arial" w:cs="Arial" w:eastAsia="Arial" w:hAnsi="Arial"/>
          <w:sz w:val="12"/>
          <w:szCs w:val="12"/>
          <w:color w:val="auto"/>
        </w:rPr>
      </w:pPr>
    </w:p>
    <w:p>
      <w:pPr>
        <w:ind w:left="342" w:hanging="342"/>
        <w:spacing w:after="0"/>
        <w:tabs>
          <w:tab w:leader="none" w:pos="342"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fiscal 2003, the Company recorded a pre-tax Special severance charge of $10.9, or $0.18 per diluted share, relating to a reduction in its work force.</w:t>
      </w:r>
    </w:p>
    <w:p>
      <w:pPr>
        <w:spacing w:after="0" w:line="83" w:lineRule="exact"/>
        <w:rPr>
          <w:rFonts w:ascii="Arial" w:cs="Arial" w:eastAsia="Arial" w:hAnsi="Arial"/>
          <w:sz w:val="12"/>
          <w:szCs w:val="12"/>
          <w:color w:val="auto"/>
        </w:rPr>
      </w:pPr>
    </w:p>
    <w:p>
      <w:pPr>
        <w:ind w:left="342" w:right="120" w:hanging="342"/>
        <w:spacing w:after="0" w:line="266" w:lineRule="auto"/>
        <w:tabs>
          <w:tab w:leader="none" w:pos="342"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fiscal 2003 pre-tax charge of $1.9, or $0.03 per diluted share, relates to the settlement of a securities lawsuit, which was agreed to in principle on September 23, 2002. The fiscal 2002 pre-tax charge of $1.2, or $0.02 per diluted share, relates to a lawsuit with Robert Harris and Harris Entertainment, Inc., which was settled on July 30, 2002.</w:t>
      </w:r>
    </w:p>
    <w:p>
      <w:pPr>
        <w:spacing w:after="0" w:line="63" w:lineRule="exact"/>
        <w:rPr>
          <w:rFonts w:ascii="Arial" w:cs="Arial" w:eastAsia="Arial" w:hAnsi="Arial"/>
          <w:sz w:val="12"/>
          <w:szCs w:val="12"/>
          <w:color w:val="auto"/>
        </w:rPr>
      </w:pPr>
    </w:p>
    <w:p>
      <w:pPr>
        <w:ind w:left="342" w:right="60" w:hanging="342"/>
        <w:spacing w:after="0" w:line="266" w:lineRule="auto"/>
        <w:tabs>
          <w:tab w:leader="none" w:pos="342"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fiscal 2003, the Company sold a portion of an equity investment, resulting in a pre-tax gain of $2.9, or $0.05 per diluted share. In fiscal 2002, the Company wrote off an equity investment, resulting in a pre-tax loss of $2.0, or $0.03 per diluted share.</w:t>
      </w:r>
    </w:p>
    <w:p>
      <w:pPr>
        <w:spacing w:after="0" w:line="63" w:lineRule="exact"/>
        <w:rPr>
          <w:rFonts w:ascii="Arial" w:cs="Arial" w:eastAsia="Arial" w:hAnsi="Arial"/>
          <w:sz w:val="12"/>
          <w:szCs w:val="12"/>
          <w:color w:val="auto"/>
        </w:rPr>
      </w:pPr>
    </w:p>
    <w:p>
      <w:pPr>
        <w:ind w:left="342" w:right="140" w:hanging="342"/>
        <w:spacing w:after="0" w:line="266" w:lineRule="auto"/>
        <w:tabs>
          <w:tab w:leader="none" w:pos="342"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fiscal 2002, the Company adopted Statement of Position No. 00-2, “Accounting by Producers and Distributors of Films,” which resulted in an after-tax charge of $5.2, or $0.13 per diluted share, recorded as a Cumulative effect of accounting change.</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Results of Operations —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76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 w:right="20"/>
        <w:spacing w:after="0" w:line="265" w:lineRule="auto"/>
        <w:rPr>
          <w:sz w:val="20"/>
          <w:szCs w:val="20"/>
          <w:color w:val="auto"/>
        </w:rPr>
      </w:pPr>
      <w:r>
        <w:rPr>
          <w:rFonts w:ascii="Arial" w:cs="Arial" w:eastAsia="Arial" w:hAnsi="Arial"/>
          <w:sz w:val="16"/>
          <w:szCs w:val="16"/>
          <w:color w:val="auto"/>
        </w:rPr>
        <w:t xml:space="preserve">Revenues for fiscal 2003 increased 2.2%, or $41.3 million, to $1,958.3 million as compared with revenues in fiscal 2002 of $1,917.0 million. Increased revenues in the </w:t>
      </w:r>
      <w:r>
        <w:rPr>
          <w:rFonts w:ascii="Arial" w:cs="Arial" w:eastAsia="Arial" w:hAnsi="Arial"/>
          <w:sz w:val="16"/>
          <w:szCs w:val="16"/>
          <w:i w:val="1"/>
          <w:iCs w:val="1"/>
          <w:color w:val="auto"/>
        </w:rPr>
        <w:t>Children’s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Book Publishing and Distribution </w:t>
      </w:r>
      <w:r>
        <w:rPr>
          <w:rFonts w:ascii="Arial" w:cs="Arial" w:eastAsia="Arial" w:hAnsi="Arial"/>
          <w:sz w:val="16"/>
          <w:szCs w:val="16"/>
          <w:color w:val="auto"/>
        </w:rPr>
        <w:t>segment of $21.3 million, the</w:t>
      </w:r>
      <w:r>
        <w:rPr>
          <w:rFonts w:ascii="Arial" w:cs="Arial" w:eastAsia="Arial" w:hAnsi="Arial"/>
          <w:sz w:val="16"/>
          <w:szCs w:val="16"/>
          <w:i w:val="1"/>
          <w:iCs w:val="1"/>
          <w:color w:val="auto"/>
        </w:rPr>
        <w:t xml:space="preserve"> International </w:t>
      </w:r>
      <w:r>
        <w:rPr>
          <w:rFonts w:ascii="Arial" w:cs="Arial" w:eastAsia="Arial" w:hAnsi="Arial"/>
          <w:sz w:val="16"/>
          <w:szCs w:val="16"/>
          <w:color w:val="auto"/>
        </w:rPr>
        <w:t>segment of $17.3 million and the</w:t>
      </w:r>
      <w:r>
        <w:rPr>
          <w:rFonts w:ascii="Arial" w:cs="Arial" w:eastAsia="Arial" w:hAnsi="Arial"/>
          <w:sz w:val="16"/>
          <w:szCs w:val="16"/>
          <w:i w:val="1"/>
          <w:iCs w:val="1"/>
          <w:color w:val="auto"/>
        </w:rPr>
        <w:t xml:space="preserve"> Educational Publishing </w:t>
      </w:r>
      <w:r>
        <w:rPr>
          <w:rFonts w:ascii="Arial" w:cs="Arial" w:eastAsia="Arial" w:hAnsi="Arial"/>
          <w:sz w:val="16"/>
          <w:szCs w:val="16"/>
          <w:color w:val="auto"/>
        </w:rPr>
        <w:t>segment of $9.0 million were partially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offset by decreased 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of $6.3 million. Businesses acquired in fiscal 2002 contributed approximately $58 million of incremental revenues to the Company in fiscal 2003.</w:t>
      </w:r>
    </w:p>
    <w:p>
      <w:pPr>
        <w:spacing w:after="0" w:line="172" w:lineRule="exact"/>
        <w:rPr>
          <w:sz w:val="20"/>
          <w:szCs w:val="20"/>
          <w:color w:val="auto"/>
        </w:rPr>
      </w:pPr>
    </w:p>
    <w:p>
      <w:pPr>
        <w:ind w:left="2" w:right="220"/>
        <w:spacing w:after="0" w:line="283" w:lineRule="auto"/>
        <w:rPr>
          <w:sz w:val="20"/>
          <w:szCs w:val="20"/>
          <w:color w:val="auto"/>
        </w:rPr>
      </w:pPr>
      <w:r>
        <w:rPr>
          <w:rFonts w:ascii="Arial" w:cs="Arial" w:eastAsia="Arial" w:hAnsi="Arial"/>
          <w:sz w:val="16"/>
          <w:szCs w:val="16"/>
          <w:color w:val="auto"/>
        </w:rPr>
        <w:t xml:space="preserve">Fiscal 2002 revenues declined 2.3%, or $45.3 million, from $1,962.3 million in fiscal 2001, primarily as a result of a $53.3 million decrease in revenues in the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segment.</w:t>
      </w:r>
    </w:p>
    <w:p>
      <w:pPr>
        <w:spacing w:after="0" w:line="157" w:lineRule="exact"/>
        <w:rPr>
          <w:sz w:val="20"/>
          <w:szCs w:val="20"/>
          <w:color w:val="auto"/>
        </w:rPr>
      </w:pPr>
    </w:p>
    <w:p>
      <w:pPr>
        <w:jc w:val="both"/>
        <w:ind w:left="2" w:right="60"/>
        <w:spacing w:after="0" w:line="270" w:lineRule="auto"/>
        <w:rPr>
          <w:sz w:val="20"/>
          <w:szCs w:val="20"/>
          <w:color w:val="auto"/>
        </w:rPr>
      </w:pPr>
      <w:r>
        <w:rPr>
          <w:rFonts w:ascii="Arial" w:cs="Arial" w:eastAsia="Arial" w:hAnsi="Arial"/>
          <w:sz w:val="16"/>
          <w:szCs w:val="16"/>
          <w:color w:val="auto"/>
        </w:rPr>
        <w:t>Cost of goods sold as a percentage of revenues increased by 0.6% to 45.0% in fiscal 2003 from 44.4% in fiscal 2002, principally due to an unfavorable change in revenue mix. In fiscal 2002, Cost of goods sold as a percentage of revenues improved as compared to 45.8% in fiscal 2001, primarily attributable to the Company’s cost savings program, which produced approximately $25 million in savings, or 1.3% of revenues, in fiscal 2002.</w:t>
      </w:r>
    </w:p>
    <w:p>
      <w:pPr>
        <w:spacing w:after="0" w:line="167" w:lineRule="exact"/>
        <w:rPr>
          <w:sz w:val="20"/>
          <w:szCs w:val="20"/>
          <w:color w:val="auto"/>
        </w:rPr>
      </w:pPr>
    </w:p>
    <w:p>
      <w:pPr>
        <w:ind w:left="2" w:right="40"/>
        <w:spacing w:after="0" w:line="291" w:lineRule="auto"/>
        <w:rPr>
          <w:sz w:val="20"/>
          <w:szCs w:val="20"/>
          <w:color w:val="auto"/>
        </w:rPr>
      </w:pPr>
      <w:r>
        <w:rPr>
          <w:rFonts w:ascii="Arial" w:cs="Arial" w:eastAsia="Arial" w:hAnsi="Arial"/>
          <w:sz w:val="16"/>
          <w:szCs w:val="16"/>
          <w:color w:val="auto"/>
        </w:rPr>
        <w:t xml:space="preserve">Fiscal 2001 expenses included the $72.9 million, or 3.7% of revenues, Cost of goods sold-Special Literacy Place and other charges (the “Special Charge”) primarily related to the Company’s decision not to update </w:t>
      </w:r>
      <w:r>
        <w:rPr>
          <w:rFonts w:ascii="Arial" w:cs="Arial" w:eastAsia="Arial" w:hAnsi="Arial"/>
          <w:sz w:val="16"/>
          <w:szCs w:val="16"/>
          <w:i w:val="1"/>
          <w:iCs w:val="1"/>
          <w:color w:val="auto"/>
        </w:rPr>
        <w:t>Scholastic Literacy Place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its basal reading textbook program.</w:t>
      </w:r>
    </w:p>
    <w:p>
      <w:pPr>
        <w:spacing w:after="0" w:line="42" w:lineRule="exact"/>
        <w:rPr>
          <w:sz w:val="20"/>
          <w:szCs w:val="20"/>
          <w:color w:val="auto"/>
        </w:rPr>
      </w:pPr>
    </w:p>
    <w:p>
      <w:pPr>
        <w:ind w:left="2" w:right="140"/>
        <w:spacing w:after="0" w:line="281" w:lineRule="auto"/>
        <w:rPr>
          <w:sz w:val="20"/>
          <w:szCs w:val="20"/>
          <w:color w:val="auto"/>
        </w:rPr>
      </w:pPr>
      <w:r>
        <w:rPr>
          <w:rFonts w:ascii="Arial" w:cs="Arial" w:eastAsia="Arial" w:hAnsi="Arial"/>
          <w:sz w:val="15"/>
          <w:szCs w:val="15"/>
          <w:color w:val="auto"/>
        </w:rPr>
        <w:t xml:space="preserve">As a percentage of revenues, Selling, general and administrative expenses increased by 1.9% to 42.2% in fiscal 2003 from 40.3% in fiscal 2002. The increase was primarily due to an increase in the cost of general and health care insurance and other employee benefit costs of approximately 0.9%, an increase in systems and facilities costs of approximately 0.6% and an increase in general expenses related to fiscal 2002 acquisitions of 0.6%. These increases were partially offset by the elimination of management incentive bonuses for fiscal 2003, which represented approximately 0.6% of revenues in fiscal 2002. Selling, general and administrative expenses as a percentage of revenues increased in fiscal 2002 from 39.4% in fiscal 2001. Fiscal 2001 Selling, general and administrative expenses as a percentage of revenues benefited from higher </w:t>
      </w:r>
      <w:r>
        <w:rPr>
          <w:rFonts w:ascii="Arial" w:cs="Arial" w:eastAsia="Arial" w:hAnsi="Arial"/>
          <w:sz w:val="15"/>
          <w:szCs w:val="15"/>
          <w:i w:val="1"/>
          <w:iCs w:val="1"/>
          <w:color w:val="auto"/>
        </w:rPr>
        <w:t>Harry Potter</w:t>
      </w:r>
      <w:r>
        <w:rPr>
          <w:rFonts w:ascii="Arial" w:cs="Arial" w:eastAsia="Arial" w:hAnsi="Arial"/>
          <w:sz w:val="15"/>
          <w:szCs w:val="15"/>
          <w:color w:val="auto"/>
        </w:rPr>
        <w:t xml:space="preserve"> revenues, which did not require a proportionate increase in marketing and promotional expenses. In fiscal 2002, the Company recorded a $4.1 million benefit related to the adjustment of certain acquisition-related reserves reflecting lower than anticipated Grolier integration costs.</w:t>
      </w:r>
    </w:p>
    <w:p>
      <w:pPr>
        <w:spacing w:after="0" w:line="161" w:lineRule="exact"/>
        <w:rPr>
          <w:sz w:val="20"/>
          <w:szCs w:val="20"/>
          <w:color w:val="auto"/>
        </w:rPr>
      </w:pPr>
    </w:p>
    <w:p>
      <w:pPr>
        <w:ind w:left="2" w:right="120"/>
        <w:spacing w:after="0" w:line="265" w:lineRule="auto"/>
        <w:rPr>
          <w:sz w:val="20"/>
          <w:szCs w:val="20"/>
          <w:color w:val="auto"/>
        </w:rPr>
      </w:pPr>
      <w:r>
        <w:rPr>
          <w:rFonts w:ascii="Arial" w:cs="Arial" w:eastAsia="Arial" w:hAnsi="Arial"/>
          <w:sz w:val="16"/>
          <w:szCs w:val="16"/>
          <w:color w:val="auto"/>
        </w:rPr>
        <w:t>Bad debt expense increased to $72.3 million, or 3.7% of revenues, in fiscal 2003 as compared to $68.7 million, or 3.6% of revenues, in fiscal 2002. As a percentage of revenues, bad debt expense increased modestly as the continuity business, which has proportionately higher bad debt expense, experienced greater revenue growth than the overall Company growth rate. Fiscal 2002 bad debt expense decreased $6.8 million from $75.5 million, or 3.8% of revenues, in fiscal 2001. This decrease was primarily attributable to better credit performance for the direct-to-home continuity business.</w:t>
      </w:r>
    </w:p>
    <w:p>
      <w:pPr>
        <w:spacing w:after="0" w:line="172" w:lineRule="exact"/>
        <w:rPr>
          <w:sz w:val="20"/>
          <w:szCs w:val="20"/>
          <w:color w:val="auto"/>
        </w:rPr>
      </w:pPr>
    </w:p>
    <w:p>
      <w:pPr>
        <w:ind w:left="2" w:right="300"/>
        <w:spacing w:after="0" w:line="263" w:lineRule="auto"/>
        <w:rPr>
          <w:sz w:val="20"/>
          <w:szCs w:val="20"/>
          <w:color w:val="auto"/>
        </w:rPr>
      </w:pPr>
      <w:r>
        <w:rPr>
          <w:rFonts w:ascii="Arial" w:cs="Arial" w:eastAsia="Arial" w:hAnsi="Arial"/>
          <w:sz w:val="16"/>
          <w:szCs w:val="16"/>
          <w:color w:val="auto"/>
        </w:rPr>
        <w:t>Depreciation expense for fiscal 2003 increased by $10.0 million to $45.6 million, as compared to $35.6 million in fiscal 2002. This increase was primarily due to incremental depreciation of $4.8 million related to the completion of capital projects, including information technology and Internet projects, and $2.7 million related to the expansion of facilities. In fiscal 2002, depreciation expense increased by $7.4 million from $28.2 million in fiscal 2001. Incremental depreciation of $2.6 million in fiscal 2002 related to information technology projects, including the Internet sites placed into service in fiscal 2002, and $2.2 million was due to the expansion of the Company’s facilities in metropolitan New York.</w:t>
      </w:r>
    </w:p>
    <w:p>
      <w:pPr>
        <w:spacing w:after="0" w:line="173" w:lineRule="exact"/>
        <w:rPr>
          <w:sz w:val="20"/>
          <w:szCs w:val="20"/>
          <w:color w:val="auto"/>
        </w:rPr>
      </w:pPr>
    </w:p>
    <w:p>
      <w:pPr>
        <w:ind w:left="2"/>
        <w:spacing w:after="0" w:line="270" w:lineRule="auto"/>
        <w:rPr>
          <w:sz w:val="20"/>
          <w:szCs w:val="20"/>
          <w:color w:val="auto"/>
        </w:rPr>
      </w:pPr>
      <w:r>
        <w:rPr>
          <w:rFonts w:ascii="Arial" w:cs="Arial" w:eastAsia="Arial" w:hAnsi="Arial"/>
          <w:sz w:val="16"/>
          <w:szCs w:val="16"/>
          <w:color w:val="auto"/>
        </w:rPr>
        <w:t>On May 28, 2003, the Company announced a reduction in its global work force of approximately 400 positions, or 4%. This decision resulted in a pre-tax charge of $10.9 million, or 0.6% of revenues, and is recorded as a Special severance charge. The Company expects to realize more than $15 million in salary related savings in fiscal 2004 related to the reduction in work force.</w:t>
      </w:r>
    </w:p>
    <w:p>
      <w:pPr>
        <w:spacing w:after="0" w:line="167" w:lineRule="exact"/>
        <w:rPr>
          <w:sz w:val="20"/>
          <w:szCs w:val="20"/>
          <w:color w:val="auto"/>
        </w:rPr>
      </w:pPr>
    </w:p>
    <w:p>
      <w:pPr>
        <w:ind w:left="2" w:right="160"/>
        <w:spacing w:after="0" w:line="283" w:lineRule="auto"/>
        <w:rPr>
          <w:sz w:val="20"/>
          <w:szCs w:val="20"/>
          <w:color w:val="auto"/>
        </w:rPr>
      </w:pPr>
      <w:r>
        <w:rPr>
          <w:rFonts w:ascii="Arial" w:cs="Arial" w:eastAsia="Arial" w:hAnsi="Arial"/>
          <w:sz w:val="16"/>
          <w:szCs w:val="16"/>
          <w:color w:val="auto"/>
        </w:rPr>
        <w:t>Goodwill and other intangibles amortization was $0.5 million and $1.0 million in fiscal 2003 and 2002, respectively. In fiscal 2002, goodwill and other intangibles amortization decreased $13.2 million from $14.2 million in fiscal 2001 due to the Company’s adoption of SFAS No. 142. Under this pronouncement,</w:t>
      </w:r>
    </w:p>
    <w:p>
      <w:pPr>
        <w:sectPr>
          <w:pgSz w:w="11900" w:h="16838" w:orient="portrait"/>
          <w:cols w:equalWidth="0" w:num="1">
            <w:col w:w="11422"/>
          </w:cols>
          <w:pgMar w:left="238" w:top="140" w:right="239" w:bottom="0" w:gutter="0" w:footer="0" w:header="0"/>
        </w:sectPr>
      </w:pPr>
    </w:p>
    <w:p>
      <w:pPr>
        <w:spacing w:after="0" w:line="15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63765" cy="3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36195"/>
                    </a:xfrm>
                    <a:prstGeom prst="rect">
                      <a:avLst/>
                    </a:prstGeom>
                    <a:noFill/>
                  </pic:spPr>
                </pic:pic>
              </a:graphicData>
            </a:graphic>
          </wp:anchor>
        </w:drawing>
      </w:r>
    </w:p>
    <w:p>
      <w:pPr>
        <w:sectPr>
          <w:pgSz w:w="11900" w:h="16838" w:orient="portrait"/>
          <w:cols w:equalWidth="0" w:num="1">
            <w:col w:w="11422"/>
          </w:cols>
          <w:pgMar w:left="238" w:top="140" w:right="239" w:bottom="0" w:gutter="0" w:footer="0" w:header="0"/>
          <w:type w:val="continuous"/>
        </w:sectPr>
      </w:pPr>
    </w:p>
    <w:bookmarkStart w:id="11" w:name="page12"/>
    <w:bookmarkEnd w:id="1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1838960</wp:posOffset>
            </wp:positionH>
            <wp:positionV relativeFrom="page">
              <wp:posOffset>88900</wp:posOffset>
            </wp:positionV>
            <wp:extent cx="3891280" cy="328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ind w:right="160"/>
        <w:spacing w:after="0" w:line="283" w:lineRule="auto"/>
        <w:rPr>
          <w:sz w:val="20"/>
          <w:szCs w:val="20"/>
          <w:color w:val="auto"/>
        </w:rPr>
      </w:pPr>
      <w:r>
        <w:rPr>
          <w:rFonts w:ascii="Arial" w:cs="Arial" w:eastAsia="Arial" w:hAnsi="Arial"/>
          <w:sz w:val="16"/>
          <w:szCs w:val="16"/>
          <w:color w:val="auto"/>
        </w:rPr>
        <w:t>the Company is required to take an impairment-only approach to amortizing goodwill and other intangibles assets with indefinite lives, which accordingly reduced amortization expense.</w:t>
      </w:r>
    </w:p>
    <w:p>
      <w:pPr>
        <w:spacing w:after="0" w:line="15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Litigation and other charges reflect a $1.9 million charge recorded in fiscal 2003 for the settlement of a securities lawsuit initiated in 1997, which represents the portion of the total settlement amount of $7.5 million that was not paid by the insurance carrier. In fiscal 2002, the Company recorded a $1.2 million charge for the settlement of a lawsuit filed in 1995 with Robert Harris and Harris Entertainment, Inc., for which the Company had established a $6.7 million liability in fiscal 2000. The $1.2 million charge represents the amount by which the settlement and related legal expenses exceeded the previously recorded liability.</w:t>
      </w:r>
    </w:p>
    <w:p>
      <w:pPr>
        <w:spacing w:after="0" w:line="172" w:lineRule="exact"/>
        <w:rPr>
          <w:sz w:val="20"/>
          <w:szCs w:val="20"/>
          <w:color w:val="auto"/>
        </w:rPr>
      </w:pPr>
    </w:p>
    <w:p>
      <w:pPr>
        <w:jc w:val="both"/>
        <w:ind w:right="260"/>
        <w:spacing w:after="0" w:line="288" w:lineRule="auto"/>
        <w:rPr>
          <w:sz w:val="20"/>
          <w:szCs w:val="20"/>
          <w:color w:val="auto"/>
        </w:rPr>
      </w:pPr>
      <w:r>
        <w:rPr>
          <w:rFonts w:ascii="Arial" w:cs="Arial" w:eastAsia="Arial" w:hAnsi="Arial"/>
          <w:sz w:val="15"/>
          <w:szCs w:val="15"/>
          <w:color w:val="auto"/>
        </w:rPr>
        <w:t xml:space="preserve">Operating income for fiscal 2003 decreased by $68.0 million, or 36.4%, to $118.7 million, or 6.1% of revenues, as compared to $186.7 million, or 9.7% of revenues, in fiscal 2002. This decrease is primarily due to lower profits of $41.3 million 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which includes $2.4 million of the Special severance charge, as well as the $8.5 million balance of the Special severance charge of $10.9 million. Operating income for fiscal 2002 increased by $88.0 million, or 89.2%, from $98.7 million, or 5.0% of revenues, in fiscal 2001. Fiscal 2001 included the impact of the $72.9 million Special charge.</w:t>
      </w:r>
    </w:p>
    <w:p>
      <w:pPr>
        <w:spacing w:after="0" w:line="156"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Other income was $2.9 million in fiscal 2003, representing a gain from the sale of a portion of an interest in a French publishing company. Other expense was $2.0 million in fiscal 2002, representing a charge for the write-off of an equity investment.</w:t>
      </w:r>
    </w:p>
    <w:p>
      <w:pPr>
        <w:spacing w:after="0" w:line="15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Interest expense was $31.5 million and $31.4 million in fiscal 2003 and 2002, respectively. In fiscal 2002, net interest expense decreased by $10.2 million from $41.6 million in fiscal 2001, primarily due to lower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rates were 35.0%, 35.6% and 36.5% of earnings before taxes for fiscal 2003, 2002 and 2001, respectively.</w:t>
      </w:r>
    </w:p>
    <w:p>
      <w:pPr>
        <w:spacing w:after="0" w:line="2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fiscal 2002, the Company recorded an after-tax charge of $5.2 million, which was reflected as a Cumulative effect of accounting change, as a result of its adoption of Statement of Position No. 00-2, “Accounting by Producers and Distributors of Films”.</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Net income was $58.6 million, or 3.0% of revenues, in fiscal 2003, $93.5 million, or 4.9% of revenues, in fiscal 2002 and $36.3 million, or 1.8% of revenues, in fiscal 2001. The basic and diluted earnings per share of Class A Stock and Common Stock were $1.50 and $1.46, respectively, in fiscal 2003, $2.55 and $2.38, respectively, in fiscal 2002 and $1.05 and $1.01, respectively, in fiscal 2001.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CHILDREN’S BOOK PUBLISHING AND DISTRIBUTION</w:t>
      </w:r>
    </w:p>
    <w:p>
      <w:pPr>
        <w:spacing w:after="0" w:line="22"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includes the publication and distribution of children’s books in the United States through school-based book clubs and book fairs, school-based and direct-to-home continuity programs and the trade channel.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 amounts in millions)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tcPr>
          <w:p>
            <w:pPr>
              <w:jc w:val="right"/>
              <w:ind w:right="815"/>
              <w:spacing w:after="0"/>
              <w:rPr>
                <w:sz w:val="20"/>
                <w:szCs w:val="20"/>
                <w:color w:val="auto"/>
              </w:rPr>
            </w:pPr>
            <w:r>
              <w:rPr>
                <w:rFonts w:ascii="Arial" w:cs="Arial" w:eastAsia="Arial" w:hAnsi="Arial"/>
                <w:sz w:val="20"/>
                <w:szCs w:val="20"/>
                <w:b w:val="1"/>
                <w:bCs w:val="1"/>
                <w:color w:val="auto"/>
              </w:rPr>
              <w:t>2003</w:t>
            </w:r>
          </w:p>
        </w:tc>
        <w:tc>
          <w:tcPr>
            <w:tcW w:w="2020" w:type="dxa"/>
            <w:vAlign w:val="bottom"/>
          </w:tcPr>
          <w:p>
            <w:pPr>
              <w:jc w:val="right"/>
              <w:ind w:right="455"/>
              <w:spacing w:after="0"/>
              <w:rPr>
                <w:sz w:val="20"/>
                <w:szCs w:val="20"/>
                <w:color w:val="auto"/>
              </w:rPr>
            </w:pPr>
            <w:r>
              <w:rPr>
                <w:rFonts w:ascii="Arial" w:cs="Arial" w:eastAsia="Arial" w:hAnsi="Arial"/>
                <w:sz w:val="20"/>
                <w:szCs w:val="20"/>
                <w:b w:val="1"/>
                <w:bCs w:val="1"/>
                <w:color w:val="auto"/>
              </w:rPr>
              <w:t>2002</w:t>
            </w:r>
          </w:p>
        </w:tc>
        <w:tc>
          <w:tcPr>
            <w:tcW w:w="2020" w:type="dxa"/>
            <w:vAlign w:val="bottom"/>
          </w:tcPr>
          <w:p>
            <w:pPr>
              <w:jc w:val="right"/>
              <w:ind w:right="96"/>
              <w:spacing w:after="0"/>
              <w:rPr>
                <w:sz w:val="20"/>
                <w:szCs w:val="20"/>
                <w:color w:val="auto"/>
              </w:rPr>
            </w:pPr>
            <w:r>
              <w:rPr>
                <w:rFonts w:ascii="Arial" w:cs="Arial" w:eastAsia="Arial" w:hAnsi="Arial"/>
                <w:sz w:val="20"/>
                <w:szCs w:val="20"/>
                <w:b w:val="1"/>
                <w:bCs w:val="1"/>
                <w:color w:val="auto"/>
              </w:rPr>
              <w:t>2001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480" w:type="dxa"/>
            <w:vAlign w:val="bottom"/>
            <w:tcBorders>
              <w:bottom w:val="single" w:sz="8" w:color="808080"/>
            </w:tcBorders>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50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3880" w:type="dxa"/>
            <w:vAlign w:val="bottom"/>
          </w:tcPr>
          <w:p>
            <w:pPr>
              <w:jc w:val="right"/>
              <w:ind w:right="815"/>
              <w:spacing w:after="0"/>
              <w:rPr>
                <w:sz w:val="20"/>
                <w:szCs w:val="20"/>
                <w:color w:val="auto"/>
              </w:rPr>
            </w:pPr>
            <w:r>
              <w:rPr>
                <w:rFonts w:ascii="Arial" w:cs="Arial" w:eastAsia="Arial" w:hAnsi="Arial"/>
                <w:sz w:val="16"/>
                <w:szCs w:val="16"/>
                <w:color w:val="auto"/>
              </w:rPr>
              <w:t>$ 1,189.9</w:t>
            </w:r>
          </w:p>
        </w:tc>
        <w:tc>
          <w:tcPr>
            <w:tcW w:w="2020" w:type="dxa"/>
            <w:vAlign w:val="bottom"/>
          </w:tcPr>
          <w:p>
            <w:pPr>
              <w:jc w:val="right"/>
              <w:ind w:right="455"/>
              <w:spacing w:after="0"/>
              <w:rPr>
                <w:sz w:val="20"/>
                <w:szCs w:val="20"/>
                <w:color w:val="auto"/>
              </w:rPr>
            </w:pPr>
            <w:r>
              <w:rPr>
                <w:rFonts w:ascii="Arial" w:cs="Arial" w:eastAsia="Arial" w:hAnsi="Arial"/>
                <w:sz w:val="16"/>
                <w:szCs w:val="16"/>
                <w:color w:val="auto"/>
              </w:rPr>
              <w:t>$ 1,168.6</w:t>
            </w:r>
          </w:p>
        </w:tc>
        <w:tc>
          <w:tcPr>
            <w:tcW w:w="2020" w:type="dxa"/>
            <w:vAlign w:val="bottom"/>
          </w:tcPr>
          <w:p>
            <w:pPr>
              <w:jc w:val="right"/>
              <w:ind w:right="96"/>
              <w:spacing w:after="0"/>
              <w:rPr>
                <w:sz w:val="20"/>
                <w:szCs w:val="20"/>
                <w:color w:val="auto"/>
              </w:rPr>
            </w:pPr>
            <w:r>
              <w:rPr>
                <w:rFonts w:ascii="Arial" w:cs="Arial" w:eastAsia="Arial" w:hAnsi="Arial"/>
                <w:sz w:val="16"/>
                <w:szCs w:val="16"/>
                <w:color w:val="auto"/>
              </w:rPr>
              <w:t>$ 1,221.9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480" w:type="dxa"/>
            <w:vAlign w:val="bottom"/>
            <w:shd w:val="clear" w:color="auto" w:fill="DDDDDD"/>
          </w:tcPr>
          <w:p>
            <w:pPr>
              <w:spacing w:after="0"/>
              <w:rPr>
                <w:sz w:val="20"/>
                <w:szCs w:val="20"/>
                <w:color w:val="auto"/>
              </w:rPr>
            </w:pPr>
            <w:r>
              <w:rPr>
                <w:rFonts w:ascii="Arial" w:cs="Arial" w:eastAsia="Arial" w:hAnsi="Arial"/>
                <w:sz w:val="16"/>
                <w:szCs w:val="16"/>
                <w:color w:val="auto"/>
              </w:rPr>
              <w:t>Operating profit</w:t>
            </w:r>
          </w:p>
        </w:tc>
        <w:tc>
          <w:tcPr>
            <w:tcW w:w="3880" w:type="dxa"/>
            <w:vAlign w:val="bottom"/>
            <w:shd w:val="clear" w:color="auto" w:fill="DDDDDD"/>
          </w:tcPr>
          <w:p>
            <w:pPr>
              <w:jc w:val="right"/>
              <w:ind w:right="815"/>
              <w:spacing w:after="0"/>
              <w:rPr>
                <w:sz w:val="20"/>
                <w:szCs w:val="20"/>
                <w:color w:val="auto"/>
              </w:rPr>
            </w:pPr>
            <w:r>
              <w:rPr>
                <w:rFonts w:ascii="Arial" w:cs="Arial" w:eastAsia="Arial" w:hAnsi="Arial"/>
                <w:sz w:val="16"/>
                <w:szCs w:val="16"/>
                <w:color w:val="auto"/>
              </w:rPr>
              <w:t>137.1</w:t>
            </w:r>
          </w:p>
        </w:tc>
        <w:tc>
          <w:tcPr>
            <w:tcW w:w="2020" w:type="dxa"/>
            <w:vAlign w:val="bottom"/>
            <w:shd w:val="clear" w:color="auto" w:fill="DDDDDD"/>
          </w:tcPr>
          <w:p>
            <w:pPr>
              <w:jc w:val="right"/>
              <w:ind w:right="455"/>
              <w:spacing w:after="0"/>
              <w:rPr>
                <w:sz w:val="20"/>
                <w:szCs w:val="20"/>
                <w:color w:val="auto"/>
              </w:rPr>
            </w:pPr>
            <w:r>
              <w:rPr>
                <w:rFonts w:ascii="Arial" w:cs="Arial" w:eastAsia="Arial" w:hAnsi="Arial"/>
                <w:sz w:val="16"/>
                <w:szCs w:val="16"/>
                <w:color w:val="auto"/>
              </w:rPr>
              <w:t>178.4</w:t>
            </w:r>
          </w:p>
        </w:tc>
        <w:tc>
          <w:tcPr>
            <w:tcW w:w="2020" w:type="dxa"/>
            <w:vAlign w:val="bottom"/>
            <w:shd w:val="clear" w:color="auto" w:fill="DDDDDD"/>
          </w:tcPr>
          <w:p>
            <w:pPr>
              <w:jc w:val="right"/>
              <w:ind w:right="96"/>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3500" w:type="dxa"/>
            <w:vAlign w:val="bottom"/>
            <w:gridSpan w:val="2"/>
          </w:tcPr>
          <w:p>
            <w:pPr>
              <w:spacing w:after="0"/>
              <w:rPr>
                <w:sz w:val="20"/>
                <w:szCs w:val="20"/>
                <w:color w:val="auto"/>
              </w:rPr>
            </w:pPr>
            <w:r>
              <w:rPr>
                <w:rFonts w:ascii="Arial" w:cs="Arial" w:eastAsia="Arial" w:hAnsi="Arial"/>
                <w:sz w:val="16"/>
                <w:szCs w:val="16"/>
                <w:color w:val="auto"/>
              </w:rPr>
              <w:t>Operating margin</w:t>
            </w:r>
          </w:p>
        </w:tc>
        <w:tc>
          <w:tcPr>
            <w:tcW w:w="3880" w:type="dxa"/>
            <w:vAlign w:val="bottom"/>
          </w:tcPr>
          <w:p>
            <w:pPr>
              <w:jc w:val="right"/>
              <w:ind w:right="815"/>
              <w:spacing w:after="0"/>
              <w:rPr>
                <w:sz w:val="20"/>
                <w:szCs w:val="20"/>
                <w:color w:val="auto"/>
              </w:rPr>
            </w:pPr>
            <w:r>
              <w:rPr>
                <w:rFonts w:ascii="Arial" w:cs="Arial" w:eastAsia="Arial" w:hAnsi="Arial"/>
                <w:sz w:val="16"/>
                <w:szCs w:val="16"/>
                <w:color w:val="auto"/>
              </w:rPr>
              <w:t>11.5%</w:t>
            </w:r>
          </w:p>
        </w:tc>
        <w:tc>
          <w:tcPr>
            <w:tcW w:w="2020" w:type="dxa"/>
            <w:vAlign w:val="bottom"/>
          </w:tcPr>
          <w:p>
            <w:pPr>
              <w:jc w:val="right"/>
              <w:ind w:right="455"/>
              <w:spacing w:after="0"/>
              <w:rPr>
                <w:sz w:val="20"/>
                <w:szCs w:val="20"/>
                <w:color w:val="auto"/>
              </w:rPr>
            </w:pPr>
            <w:r>
              <w:rPr>
                <w:rFonts w:ascii="Arial" w:cs="Arial" w:eastAsia="Arial" w:hAnsi="Arial"/>
                <w:sz w:val="16"/>
                <w:szCs w:val="16"/>
                <w:color w:val="auto"/>
              </w:rPr>
              <w:t>15.3%</w:t>
            </w:r>
          </w:p>
        </w:tc>
        <w:tc>
          <w:tcPr>
            <w:tcW w:w="2020" w:type="dxa"/>
            <w:vAlign w:val="bottom"/>
          </w:tcPr>
          <w:p>
            <w:pPr>
              <w:jc w:val="right"/>
              <w:ind w:right="96"/>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i w:val="1"/>
          <w:iCs w:val="1"/>
          <w:color w:val="auto"/>
        </w:rPr>
        <w:t xml:space="preserve">Children’s Book Publishing and Distribution </w:t>
      </w:r>
      <w:r>
        <w:rPr>
          <w:rFonts w:ascii="Arial" w:cs="Arial" w:eastAsia="Arial" w:hAnsi="Arial"/>
          <w:sz w:val="16"/>
          <w:szCs w:val="16"/>
          <w:color w:val="auto"/>
        </w:rPr>
        <w:t>revenues accounted for 60.8% of the Company’s revenues in fiscal 2003, 61.0% in fiscal 2002 and 62.3% in fiscal 2001. Fiscal 2003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revenues of $1,189.9 million increased 1.8%, or $21.3 million, from $1,168.6 million in fiscal 2002. Businesses acquired in fiscal 2002 contributed incremental revenues of $43.4 million to this segment in fiscal 2003. The fiscal 2003 segment revenue increase also reflects increases in school-based continuities and school-based book fairs of $17.3 million and $14.5 million, respectively. These increases were partially offset by lower </w:t>
      </w:r>
      <w:r>
        <w:rPr>
          <w:rFonts w:ascii="Arial" w:cs="Arial" w:eastAsia="Arial" w:hAnsi="Arial"/>
          <w:sz w:val="16"/>
          <w:szCs w:val="16"/>
          <w:i w:val="1"/>
          <w:iCs w:val="1"/>
          <w:color w:val="auto"/>
        </w:rPr>
        <w:t>Harry Potter</w:t>
      </w:r>
      <w:r>
        <w:rPr>
          <w:rFonts w:ascii="Arial" w:cs="Arial" w:eastAsia="Arial" w:hAnsi="Arial"/>
          <w:sz w:val="16"/>
          <w:szCs w:val="16"/>
          <w:color w:val="auto"/>
        </w:rPr>
        <w:t xml:space="preserve"> trade revenues of approximately $30 million. Excluding the direct-to-home continuity business, described in the table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segment revenues in fiscal 2003 increased by $18.0 million to $977.6, million as compared to $959.6 million in fiscal 2002.</w:t>
      </w:r>
    </w:p>
    <w:p>
      <w:pPr>
        <w:spacing w:after="0" w:line="2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 xml:space="preserve">Fiscal 2002 revenues decreased 4.4%, or $53.3 million, from $1,221.9 million in fiscal 2001. This decrease reflects the impact of lower </w:t>
      </w:r>
      <w:r>
        <w:rPr>
          <w:rFonts w:ascii="Arial" w:cs="Arial" w:eastAsia="Arial" w:hAnsi="Arial"/>
          <w:sz w:val="16"/>
          <w:szCs w:val="16"/>
          <w:i w:val="1"/>
          <w:iCs w:val="1"/>
          <w:color w:val="auto"/>
        </w:rPr>
        <w:t>Harry Potter</w:t>
      </w:r>
      <w:r>
        <w:rPr>
          <w:rFonts w:ascii="Arial" w:cs="Arial" w:eastAsia="Arial" w:hAnsi="Arial"/>
          <w:sz w:val="16"/>
          <w:szCs w:val="16"/>
          <w:color w:val="auto"/>
        </w:rPr>
        <w:t xml:space="preserve"> trade revenues of approximately $120 million in fiscal 2002, partially offset by revenue increases in school-based book fairs and school-based book clubs of $46.8 million and $29.6 million, respectively, compared to fiscal 2001. Excluding the direct-to-home continuity business, segment revenues in fiscal 2002 decreased $44.4 million from $1,004.0 million in fiscal 2001.</w:t>
      </w:r>
    </w:p>
    <w:p>
      <w:pPr>
        <w:spacing w:after="0" w:line="172" w:lineRule="exact"/>
        <w:rPr>
          <w:sz w:val="20"/>
          <w:szCs w:val="20"/>
          <w:color w:val="auto"/>
        </w:rPr>
      </w:pPr>
    </w:p>
    <w:p>
      <w:pPr>
        <w:jc w:val="both"/>
        <w:ind w:right="180"/>
        <w:spacing w:after="0" w:line="270" w:lineRule="auto"/>
        <w:rPr>
          <w:sz w:val="20"/>
          <w:szCs w:val="20"/>
          <w:color w:val="auto"/>
        </w:rPr>
      </w:pPr>
      <w:r>
        <w:rPr>
          <w:rFonts w:ascii="Arial" w:cs="Arial" w:eastAsia="Arial" w:hAnsi="Arial"/>
          <w:sz w:val="16"/>
          <w:szCs w:val="16"/>
          <w:color w:val="auto"/>
        </w:rPr>
        <w:t xml:space="preserve">School-based book club revenues accounted for 29.5% of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revenues in fiscal 2003, compared to 30.8% in fiscal 2002 and 26.9% in fiscal 2001. Fiscal 2003 school-based book club revenues decreased by 2.2%, or $8.0 million, over fiscal 2002, primarily due to a decrease in orders. Fiscal 2002 school-based book club revenues grew by 9.0%, or $29.6 million, over fiscal 2001, primarily reflecting an increase in orders.</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Revenues from school-based book fairs accounted for 27.5% of segment revenues in fiscal 2003, compared to 26.8% in fiscal 2002 and 21.8% in fiscal 2001. Revenue growth for school-based book fairs was 4.6%, or $14.5 million, in fiscal 2003, primarily due to growth in fair count of approximately 7%. Fiscal 2002 revenues from school-based book fairs of $313.1 million increased 17.6%, or $46.8 million, from $266.3 million in fiscal 2001. The increase in fiscal 2002 was primarily due to growth in fair count of approximately 13%, helped by the acquisition of assets of Troll Book Fairs in July 2001, which accounted for approximately 4% of the revenue growth.</w:t>
      </w:r>
    </w:p>
    <w:p>
      <w:pPr>
        <w:spacing w:after="0" w:line="156"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Fiscal 2003 continuity revenues accounted for 25.4% of segment revenues, as compared to 24.0% in fiscal 2002 and 24.7% in fiscal 2001. Revenues from the direct-to-home continuity business were 17.9%, 17.9% and 17.8% of segment revenues in fiscal 2003, 2002 and 2001, respectively. Revenues from school-based continuity programs were 7.5%, 6.1% and 6.9% of segment revenues in fiscal 2003, 2002 and 2001, respectively. Fiscal 2003 revenues of $212.3 million from the direct-to-home continuity business increased</w:t>
      </w:r>
    </w:p>
    <w:p>
      <w:pPr>
        <w:spacing w:after="0" w:line="1" w:lineRule="exact"/>
        <w:rPr>
          <w:sz w:val="20"/>
          <w:szCs w:val="20"/>
          <w:color w:val="auto"/>
        </w:rPr>
      </w:pPr>
    </w:p>
    <w:p>
      <w:pPr>
        <w:ind w:right="100"/>
        <w:spacing w:after="0" w:line="320" w:lineRule="auto"/>
        <w:rPr>
          <w:sz w:val="20"/>
          <w:szCs w:val="20"/>
          <w:color w:val="auto"/>
        </w:rPr>
      </w:pPr>
      <w:r>
        <w:rPr>
          <w:rFonts w:ascii="Arial" w:cs="Arial" w:eastAsia="Arial" w:hAnsi="Arial"/>
          <w:sz w:val="14"/>
          <w:szCs w:val="14"/>
          <w:color w:val="auto"/>
        </w:rPr>
        <w:t>1.6%, or $3.3 million, from $209.0 million in fiscal 2002, primarily due to the incremental revenues of $12.2 million from the fiscal 2002 acquisition of Baby’s First Book Club. Higher enrollments from school-based continuity programs resulted in an increase of $17.3 million in revenues in fiscal 2003 as compared to fiscal 2002. Fiscal 2002 revenues from the direct-to-home continuity business decreased 4.1%, or $8.9 million, from $217.9 million in fiscal 2001, primarily due to the elimination of less profitable programs,</w:t>
      </w:r>
    </w:p>
    <w:p>
      <w:pPr>
        <w:sectPr>
          <w:pgSz w:w="11900" w:h="16844" w:orient="portrait"/>
          <w:cols w:equalWidth="0" w:num="1">
            <w:col w:w="11420"/>
          </w:cols>
          <w:pgMar w:left="240" w:top="844" w:right="239" w:bottom="0" w:gutter="0" w:footer="0" w:header="0"/>
        </w:sectPr>
      </w:pPr>
    </w:p>
    <w:bookmarkStart w:id="12" w:name="page13"/>
    <w:bookmarkEnd w:id="12"/>
    <w:p>
      <w:pPr>
        <w:spacing w:after="0" w:line="62"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partially offset by the impact of three additional weeks of revenues of $17.8 million in fiscal 2002. Lower enrollments from school-based continuity programs resulted in a decrease of $12.0 million in revenues in fiscal 2002 as compared to fiscal 2001.</w:t>
      </w:r>
    </w:p>
    <w:p>
      <w:pPr>
        <w:spacing w:after="0" w:line="157"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 xml:space="preserve">The Company’s trade distribution channel accounted for 17.6% of segment revenues in fiscal 2003, as compared to 18.4% in fiscal 2002 and 26.6% in fiscal 2001. Trade revenues decreased in fiscal 2003 by $6.5 million, or 3.0%, to $208.3 million, principally due to the decline in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backlist revenues of approximately $30 million and other backlist titles of approximately $6 million, partially offset by the incremental revenue of $31.3 million from the fiscal 2002 acquisition of Klutz. Trade revenues in fiscal 2002, including Klutz revenue of $5.6 million, decreased $109.9 million to $214.8 million, or 33.8%, due primarily to the decline in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revenues of approximately $120 million. Trade revenues for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accounted for approximately $50 million, $80 million and $200 million in fiscal 2003, 2002 and 2001, respectively.</w:t>
      </w:r>
    </w:p>
    <w:p>
      <w:pPr>
        <w:spacing w:after="0" w:line="145"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 xml:space="preserve">Segment operating profit in fiscal 2003 declined $41.3 million, or 23.1%, to $137.1 million, or 11.5% of revenues, compared to $178.4 million, or 15.3% of revenues, in fiscal 2002, and fiscal 2002 operating profit decreased $24.5 million, or 12.1%, from $202.9 million, or 16.6% of revenues, in fiscal 2001. The segment operating margin decreases in fiscal 2003 and 2002 were primarily related to the revenue decline in higher margin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and other trade backlist titles. Operating profit for the Company’s direct-to-home continuity business decreased in fiscal 2003 to $30.7 million, or 14.5% of revenues, from $39.7 million, or 19.0% of revenues, in fiscal 2002 and increased $26.2 million in fiscal 2002 from $13.5 million, or 6.2% of revenues, in fiscal 2001. The $9.0 million decrease in operating profit in fiscal 2003 was primarily related to 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increase of approximately $6 million in Selling, general and administrative expenses. The $26.2 million increase in operating profit in fiscal 2002 reflected the impact of planned lower revenues due to the elimination of less profitable programs and favorable bad debt experience. Excluding the direct-to-home continuity business, the segment operating profit in fiscal 2003 decreased to $106.4 million, or 10.9% of revenues, from $138.7 million, or 14.5% of revenues, in fiscal 2002, and fiscal 2002 operating profit decreased $50.7 million from $189.4 million in fiscal 2001.</w:t>
      </w:r>
    </w:p>
    <w:p>
      <w:pPr>
        <w:spacing w:after="0" w:line="17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following table highlights the results of the direct-to-home continuity programs, which consist primarily of the business formerly operated by Grolier and are included in the </w:t>
      </w:r>
      <w:r>
        <w:rPr>
          <w:rFonts w:ascii="Arial" w:cs="Arial" w:eastAsia="Arial" w:hAnsi="Arial"/>
          <w:sz w:val="16"/>
          <w:szCs w:val="16"/>
          <w:i w:val="1"/>
          <w:iCs w:val="1"/>
          <w:color w:val="auto"/>
        </w:rPr>
        <w:t xml:space="preserve">Children’s Book Publishing and Distribution </w:t>
      </w:r>
      <w:r>
        <w:rPr>
          <w:rFonts w:ascii="Arial" w:cs="Arial" w:eastAsia="Arial" w:hAnsi="Arial"/>
          <w:sz w:val="16"/>
          <w:szCs w:val="16"/>
          <w:color w:val="auto"/>
        </w:rPr>
        <w:t>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 amounts in millions)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940" w:type="dxa"/>
            <w:vAlign w:val="bottom"/>
          </w:tcPr>
          <w:p>
            <w:pPr>
              <w:jc w:val="right"/>
              <w:ind w:right="755"/>
              <w:spacing w:after="0"/>
              <w:rPr>
                <w:sz w:val="20"/>
                <w:szCs w:val="20"/>
                <w:color w:val="auto"/>
              </w:rPr>
            </w:pPr>
            <w:r>
              <w:rPr>
                <w:rFonts w:ascii="Arial" w:cs="Arial" w:eastAsia="Arial" w:hAnsi="Arial"/>
                <w:sz w:val="20"/>
                <w:szCs w:val="20"/>
                <w:b w:val="1"/>
                <w:bCs w:val="1"/>
                <w:color w:val="auto"/>
              </w:rPr>
              <w:t>2003</w:t>
            </w:r>
          </w:p>
        </w:tc>
        <w:tc>
          <w:tcPr>
            <w:tcW w:w="1800" w:type="dxa"/>
            <w:vAlign w:val="bottom"/>
          </w:tcPr>
          <w:p>
            <w:pPr>
              <w:jc w:val="right"/>
              <w:ind w:right="375"/>
              <w:spacing w:after="0"/>
              <w:rPr>
                <w:sz w:val="20"/>
                <w:szCs w:val="20"/>
                <w:color w:val="auto"/>
              </w:rPr>
            </w:pPr>
            <w:r>
              <w:rPr>
                <w:rFonts w:ascii="Arial" w:cs="Arial" w:eastAsia="Arial" w:hAnsi="Arial"/>
                <w:sz w:val="20"/>
                <w:szCs w:val="20"/>
                <w:b w:val="1"/>
                <w:bCs w:val="1"/>
                <w:color w:val="auto"/>
              </w:rPr>
              <w:t>2002</w:t>
            </w:r>
          </w:p>
        </w:tc>
        <w:tc>
          <w:tcPr>
            <w:tcW w:w="1940" w:type="dxa"/>
            <w:vAlign w:val="bottom"/>
          </w:tcPr>
          <w:p>
            <w:pPr>
              <w:jc w:val="right"/>
              <w:ind w:right="116"/>
              <w:spacing w:after="0"/>
              <w:rPr>
                <w:sz w:val="20"/>
                <w:szCs w:val="20"/>
                <w:color w:val="auto"/>
              </w:rPr>
            </w:pPr>
            <w:r>
              <w:rPr>
                <w:rFonts w:ascii="Arial" w:cs="Arial" w:eastAsia="Arial" w:hAnsi="Arial"/>
                <w:sz w:val="20"/>
                <w:szCs w:val="20"/>
                <w:b w:val="1"/>
                <w:bCs w:val="1"/>
                <w:color w:val="auto"/>
              </w:rPr>
              <w:t>2001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94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74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3940" w:type="dxa"/>
            <w:vAlign w:val="bottom"/>
          </w:tcPr>
          <w:p>
            <w:pPr>
              <w:jc w:val="right"/>
              <w:ind w:right="755"/>
              <w:spacing w:after="0"/>
              <w:rPr>
                <w:sz w:val="20"/>
                <w:szCs w:val="20"/>
                <w:color w:val="auto"/>
              </w:rPr>
            </w:pPr>
            <w:r>
              <w:rPr>
                <w:rFonts w:ascii="Arial" w:cs="Arial" w:eastAsia="Arial" w:hAnsi="Arial"/>
                <w:sz w:val="16"/>
                <w:szCs w:val="16"/>
                <w:color w:val="auto"/>
              </w:rPr>
              <w:t>$ 212.3</w:t>
            </w:r>
          </w:p>
        </w:tc>
        <w:tc>
          <w:tcPr>
            <w:tcW w:w="1800" w:type="dxa"/>
            <w:vAlign w:val="bottom"/>
          </w:tcPr>
          <w:p>
            <w:pPr>
              <w:jc w:val="right"/>
              <w:ind w:right="375"/>
              <w:spacing w:after="0"/>
              <w:rPr>
                <w:sz w:val="20"/>
                <w:szCs w:val="20"/>
                <w:color w:val="auto"/>
              </w:rPr>
            </w:pPr>
            <w:r>
              <w:rPr>
                <w:rFonts w:ascii="Arial" w:cs="Arial" w:eastAsia="Arial" w:hAnsi="Arial"/>
                <w:sz w:val="16"/>
                <w:szCs w:val="16"/>
                <w:color w:val="auto"/>
              </w:rPr>
              <w:t>$ 209.0</w:t>
            </w:r>
          </w:p>
        </w:tc>
        <w:tc>
          <w:tcPr>
            <w:tcW w:w="1940" w:type="dxa"/>
            <w:vAlign w:val="bottom"/>
          </w:tcPr>
          <w:p>
            <w:pPr>
              <w:jc w:val="right"/>
              <w:ind w:right="116"/>
              <w:spacing w:after="0"/>
              <w:rPr>
                <w:sz w:val="20"/>
                <w:szCs w:val="20"/>
                <w:color w:val="auto"/>
              </w:rPr>
            </w:pPr>
            <w:r>
              <w:rPr>
                <w:rFonts w:ascii="Arial" w:cs="Arial" w:eastAsia="Arial" w:hAnsi="Arial"/>
                <w:sz w:val="16"/>
                <w:szCs w:val="16"/>
                <w:color w:val="auto"/>
              </w:rPr>
              <w:t>$ 217.9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720" w:type="dxa"/>
            <w:vAlign w:val="bottom"/>
            <w:shd w:val="clear" w:color="auto" w:fill="DDDDDD"/>
          </w:tcPr>
          <w:p>
            <w:pPr>
              <w:spacing w:after="0"/>
              <w:rPr>
                <w:sz w:val="20"/>
                <w:szCs w:val="20"/>
                <w:color w:val="auto"/>
              </w:rPr>
            </w:pPr>
            <w:r>
              <w:rPr>
                <w:rFonts w:ascii="Arial" w:cs="Arial" w:eastAsia="Arial" w:hAnsi="Arial"/>
                <w:sz w:val="16"/>
                <w:szCs w:val="16"/>
                <w:color w:val="auto"/>
              </w:rPr>
              <w:t>Operating profit</w:t>
            </w:r>
          </w:p>
        </w:tc>
        <w:tc>
          <w:tcPr>
            <w:tcW w:w="3940" w:type="dxa"/>
            <w:vAlign w:val="bottom"/>
            <w:shd w:val="clear" w:color="auto" w:fill="DDDDDD"/>
          </w:tcPr>
          <w:p>
            <w:pPr>
              <w:jc w:val="right"/>
              <w:ind w:right="755"/>
              <w:spacing w:after="0"/>
              <w:rPr>
                <w:sz w:val="20"/>
                <w:szCs w:val="20"/>
                <w:color w:val="auto"/>
              </w:rPr>
            </w:pPr>
            <w:r>
              <w:rPr>
                <w:rFonts w:ascii="Arial" w:cs="Arial" w:eastAsia="Arial" w:hAnsi="Arial"/>
                <w:sz w:val="16"/>
                <w:szCs w:val="16"/>
                <w:color w:val="auto"/>
              </w:rPr>
              <w:t>30.7</w:t>
            </w:r>
          </w:p>
        </w:tc>
        <w:tc>
          <w:tcPr>
            <w:tcW w:w="1800" w:type="dxa"/>
            <w:vAlign w:val="bottom"/>
            <w:shd w:val="clear" w:color="auto" w:fill="DDDDDD"/>
          </w:tcPr>
          <w:p>
            <w:pPr>
              <w:jc w:val="right"/>
              <w:ind w:right="375"/>
              <w:spacing w:after="0"/>
              <w:rPr>
                <w:sz w:val="20"/>
                <w:szCs w:val="20"/>
                <w:color w:val="auto"/>
              </w:rPr>
            </w:pPr>
            <w:r>
              <w:rPr>
                <w:rFonts w:ascii="Arial" w:cs="Arial" w:eastAsia="Arial" w:hAnsi="Arial"/>
                <w:sz w:val="16"/>
                <w:szCs w:val="16"/>
                <w:color w:val="auto"/>
              </w:rPr>
              <w:t>39.7</w:t>
            </w:r>
          </w:p>
        </w:tc>
        <w:tc>
          <w:tcPr>
            <w:tcW w:w="1940" w:type="dxa"/>
            <w:vAlign w:val="bottom"/>
            <w:shd w:val="clear" w:color="auto" w:fill="DDDDDD"/>
          </w:tcPr>
          <w:p>
            <w:pPr>
              <w:jc w:val="right"/>
              <w:ind w:right="116"/>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3740" w:type="dxa"/>
            <w:vAlign w:val="bottom"/>
            <w:gridSpan w:val="2"/>
          </w:tcPr>
          <w:p>
            <w:pPr>
              <w:spacing w:after="0"/>
              <w:rPr>
                <w:sz w:val="20"/>
                <w:szCs w:val="20"/>
                <w:color w:val="auto"/>
              </w:rPr>
            </w:pPr>
            <w:r>
              <w:rPr>
                <w:rFonts w:ascii="Arial" w:cs="Arial" w:eastAsia="Arial" w:hAnsi="Arial"/>
                <w:sz w:val="16"/>
                <w:szCs w:val="16"/>
                <w:color w:val="auto"/>
              </w:rPr>
              <w:t>Operating margin</w:t>
            </w:r>
          </w:p>
        </w:tc>
        <w:tc>
          <w:tcPr>
            <w:tcW w:w="3940" w:type="dxa"/>
            <w:vAlign w:val="bottom"/>
          </w:tcPr>
          <w:p>
            <w:pPr>
              <w:jc w:val="right"/>
              <w:ind w:right="755"/>
              <w:spacing w:after="0"/>
              <w:rPr>
                <w:sz w:val="20"/>
                <w:szCs w:val="20"/>
                <w:color w:val="auto"/>
              </w:rPr>
            </w:pPr>
            <w:r>
              <w:rPr>
                <w:rFonts w:ascii="Arial" w:cs="Arial" w:eastAsia="Arial" w:hAnsi="Arial"/>
                <w:sz w:val="16"/>
                <w:szCs w:val="16"/>
                <w:color w:val="auto"/>
              </w:rPr>
              <w:t>14.5%</w:t>
            </w:r>
          </w:p>
        </w:tc>
        <w:tc>
          <w:tcPr>
            <w:tcW w:w="1800" w:type="dxa"/>
            <w:vAlign w:val="bottom"/>
          </w:tcPr>
          <w:p>
            <w:pPr>
              <w:jc w:val="right"/>
              <w:ind w:right="375"/>
              <w:spacing w:after="0"/>
              <w:rPr>
                <w:sz w:val="20"/>
                <w:szCs w:val="20"/>
                <w:color w:val="auto"/>
              </w:rPr>
            </w:pPr>
            <w:r>
              <w:rPr>
                <w:rFonts w:ascii="Arial" w:cs="Arial" w:eastAsia="Arial" w:hAnsi="Arial"/>
                <w:sz w:val="16"/>
                <w:szCs w:val="16"/>
                <w:color w:val="auto"/>
              </w:rPr>
              <w:t>19.0%</w:t>
            </w:r>
          </w:p>
        </w:tc>
        <w:tc>
          <w:tcPr>
            <w:tcW w:w="1940" w:type="dxa"/>
            <w:vAlign w:val="bottom"/>
          </w:tcPr>
          <w:p>
            <w:pPr>
              <w:jc w:val="right"/>
              <w:ind w:right="116"/>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EDUCATIONAL PUBLISHING</w:t>
      </w:r>
    </w:p>
    <w:p>
      <w:pPr>
        <w:spacing w:after="0" w:line="2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includes the publication and distribution to schools and libraries of curriculum materials, classroom magazines and print and on-line reference and non-fiction products for grades pre-K to 12 in the United States.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 amounts in millions)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0" w:type="dxa"/>
            <w:vAlign w:val="bottom"/>
          </w:tcPr>
          <w:p>
            <w:pPr>
              <w:jc w:val="right"/>
              <w:ind w:right="635"/>
              <w:spacing w:after="0"/>
              <w:rPr>
                <w:sz w:val="20"/>
                <w:szCs w:val="20"/>
                <w:color w:val="auto"/>
              </w:rPr>
            </w:pPr>
            <w:r>
              <w:rPr>
                <w:rFonts w:ascii="Arial" w:cs="Arial" w:eastAsia="Arial" w:hAnsi="Arial"/>
                <w:sz w:val="20"/>
                <w:szCs w:val="20"/>
                <w:b w:val="1"/>
                <w:bCs w:val="1"/>
                <w:color w:val="auto"/>
              </w:rPr>
              <w:t>2003</w:t>
            </w:r>
          </w:p>
        </w:tc>
        <w:tc>
          <w:tcPr>
            <w:tcW w:w="1640" w:type="dxa"/>
            <w:vAlign w:val="bottom"/>
          </w:tcPr>
          <w:p>
            <w:pPr>
              <w:jc w:val="right"/>
              <w:ind w:right="355"/>
              <w:spacing w:after="0"/>
              <w:rPr>
                <w:sz w:val="20"/>
                <w:szCs w:val="20"/>
                <w:color w:val="auto"/>
              </w:rPr>
            </w:pPr>
            <w:r>
              <w:rPr>
                <w:rFonts w:ascii="Arial" w:cs="Arial" w:eastAsia="Arial" w:hAnsi="Arial"/>
                <w:sz w:val="20"/>
                <w:szCs w:val="20"/>
                <w:b w:val="1"/>
                <w:bCs w:val="1"/>
                <w:color w:val="auto"/>
              </w:rPr>
              <w:t>2002</w:t>
            </w:r>
          </w:p>
        </w:tc>
        <w:tc>
          <w:tcPr>
            <w:tcW w:w="1940" w:type="dxa"/>
            <w:vAlign w:val="bottom"/>
          </w:tcPr>
          <w:p>
            <w:pPr>
              <w:jc w:val="right"/>
              <w:ind w:right="93"/>
              <w:spacing w:after="0"/>
              <w:rPr>
                <w:sz w:val="20"/>
                <w:szCs w:val="20"/>
                <w:color w:val="auto"/>
              </w:rPr>
            </w:pPr>
            <w:r>
              <w:rPr>
                <w:rFonts w:ascii="Arial" w:cs="Arial" w:eastAsia="Arial" w:hAnsi="Arial"/>
                <w:sz w:val="20"/>
                <w:szCs w:val="20"/>
                <w:b w:val="1"/>
                <w:bCs w:val="1"/>
                <w:color w:val="auto"/>
              </w:rPr>
              <w:t>2001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20" w:type="dxa"/>
            <w:vAlign w:val="bottom"/>
            <w:tcBorders>
              <w:bottom w:val="single" w:sz="8" w:color="808080"/>
            </w:tcBorders>
          </w:tcPr>
          <w:p>
            <w:pPr>
              <w:spacing w:after="0"/>
              <w:rPr>
                <w:sz w:val="7"/>
                <w:szCs w:val="7"/>
                <w:color w:val="auto"/>
              </w:rPr>
            </w:pPr>
          </w:p>
        </w:tc>
        <w:tc>
          <w:tcPr>
            <w:tcW w:w="380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020" w:type="dxa"/>
            <w:vAlign w:val="bottom"/>
            <w:shd w:val="clear" w:color="auto" w:fill="DDDDDD"/>
          </w:tcPr>
          <w:p>
            <w:pPr>
              <w:spacing w:after="0"/>
              <w:rPr>
                <w:sz w:val="20"/>
                <w:szCs w:val="20"/>
                <w:color w:val="auto"/>
              </w:rPr>
            </w:pPr>
            <w:r>
              <w:rPr>
                <w:rFonts w:ascii="Arial" w:cs="Arial" w:eastAsia="Arial" w:hAnsi="Arial"/>
                <w:sz w:val="16"/>
                <w:szCs w:val="16"/>
                <w:color w:val="auto"/>
              </w:rPr>
              <w:t>Revenue</w:t>
            </w:r>
          </w:p>
        </w:tc>
        <w:tc>
          <w:tcPr>
            <w:tcW w:w="3800" w:type="dxa"/>
            <w:vAlign w:val="bottom"/>
            <w:shd w:val="clear" w:color="auto" w:fill="DDDDDD"/>
          </w:tcPr>
          <w:p>
            <w:pPr>
              <w:jc w:val="right"/>
              <w:ind w:right="635"/>
              <w:spacing w:after="0"/>
              <w:rPr>
                <w:sz w:val="20"/>
                <w:szCs w:val="20"/>
                <w:color w:val="auto"/>
              </w:rPr>
            </w:pPr>
            <w:r>
              <w:rPr>
                <w:rFonts w:ascii="Arial" w:cs="Arial" w:eastAsia="Arial" w:hAnsi="Arial"/>
                <w:sz w:val="16"/>
                <w:szCs w:val="16"/>
                <w:color w:val="auto"/>
              </w:rPr>
              <w:t>$ 325.9</w:t>
            </w:r>
          </w:p>
        </w:tc>
        <w:tc>
          <w:tcPr>
            <w:tcW w:w="1640" w:type="dxa"/>
            <w:vAlign w:val="bottom"/>
            <w:shd w:val="clear" w:color="auto" w:fill="DDDDDD"/>
          </w:tcPr>
          <w:p>
            <w:pPr>
              <w:jc w:val="right"/>
              <w:ind w:right="355"/>
              <w:spacing w:after="0"/>
              <w:rPr>
                <w:sz w:val="20"/>
                <w:szCs w:val="20"/>
                <w:color w:val="auto"/>
              </w:rPr>
            </w:pPr>
            <w:r>
              <w:rPr>
                <w:rFonts w:ascii="Arial" w:cs="Arial" w:eastAsia="Arial" w:hAnsi="Arial"/>
                <w:sz w:val="16"/>
                <w:szCs w:val="16"/>
                <w:color w:val="auto"/>
              </w:rPr>
              <w:t>$ 316.9</w:t>
            </w:r>
          </w:p>
        </w:tc>
        <w:tc>
          <w:tcPr>
            <w:tcW w:w="1940" w:type="dxa"/>
            <w:vAlign w:val="bottom"/>
            <w:shd w:val="clear" w:color="auto" w:fill="DDDDDD"/>
          </w:tcPr>
          <w:p>
            <w:pPr>
              <w:jc w:val="right"/>
              <w:ind w:right="93"/>
              <w:spacing w:after="0"/>
              <w:rPr>
                <w:sz w:val="20"/>
                <w:szCs w:val="20"/>
                <w:color w:val="auto"/>
              </w:rPr>
            </w:pPr>
            <w:r>
              <w:rPr>
                <w:rFonts w:ascii="Arial" w:cs="Arial" w:eastAsia="Arial" w:hAnsi="Arial"/>
                <w:sz w:val="16"/>
                <w:szCs w:val="16"/>
                <w:color w:val="auto"/>
              </w:rPr>
              <w:t>$ 311.2</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02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Operating profit/(loss)</w:t>
            </w:r>
          </w:p>
        </w:tc>
        <w:tc>
          <w:tcPr>
            <w:tcW w:w="3800" w:type="dxa"/>
            <w:vAlign w:val="bottom"/>
            <w:tcBorders>
              <w:bottom w:val="single" w:sz="8" w:color="808080"/>
            </w:tcBorders>
          </w:tcPr>
          <w:p>
            <w:pPr>
              <w:jc w:val="right"/>
              <w:ind w:right="635"/>
              <w:spacing w:after="0"/>
              <w:rPr>
                <w:sz w:val="20"/>
                <w:szCs w:val="20"/>
                <w:color w:val="auto"/>
              </w:rPr>
            </w:pPr>
            <w:r>
              <w:rPr>
                <w:rFonts w:ascii="Arial" w:cs="Arial" w:eastAsia="Arial" w:hAnsi="Arial"/>
                <w:sz w:val="16"/>
                <w:szCs w:val="16"/>
                <w:color w:val="auto"/>
              </w:rPr>
              <w:t>41.7</w:t>
            </w:r>
          </w:p>
        </w:tc>
        <w:tc>
          <w:tcPr>
            <w:tcW w:w="1640" w:type="dxa"/>
            <w:vAlign w:val="bottom"/>
            <w:tcBorders>
              <w:bottom w:val="single" w:sz="8" w:color="808080"/>
            </w:tcBorders>
          </w:tcPr>
          <w:p>
            <w:pPr>
              <w:jc w:val="right"/>
              <w:ind w:right="355"/>
              <w:spacing w:after="0"/>
              <w:rPr>
                <w:sz w:val="20"/>
                <w:szCs w:val="20"/>
                <w:color w:val="auto"/>
              </w:rPr>
            </w:pPr>
            <w:r>
              <w:rPr>
                <w:rFonts w:ascii="Arial" w:cs="Arial" w:eastAsia="Arial" w:hAnsi="Arial"/>
                <w:sz w:val="16"/>
                <w:szCs w:val="16"/>
                <w:color w:val="auto"/>
              </w:rPr>
              <w:t>44.1</w:t>
            </w:r>
          </w:p>
        </w:tc>
        <w:tc>
          <w:tcPr>
            <w:tcW w:w="1940" w:type="dxa"/>
            <w:vAlign w:val="bottom"/>
            <w:tcBorders>
              <w:bottom w:val="single" w:sz="8" w:color="808080"/>
            </w:tcBorders>
          </w:tcPr>
          <w:p>
            <w:pPr>
              <w:jc w:val="right"/>
              <w:ind w:right="93"/>
              <w:spacing w:after="0"/>
              <w:rPr>
                <w:sz w:val="20"/>
                <w:szCs w:val="20"/>
                <w:color w:val="auto"/>
              </w:rPr>
            </w:pPr>
            <w:r>
              <w:rPr>
                <w:rFonts w:ascii="Arial" w:cs="Arial" w:eastAsia="Arial" w:hAnsi="Arial"/>
                <w:sz w:val="16"/>
                <w:szCs w:val="16"/>
                <w:color w:val="auto"/>
              </w:rPr>
              <w:t>(67.1)</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020" w:type="dxa"/>
            <w:vAlign w:val="bottom"/>
            <w:shd w:val="clear" w:color="auto" w:fill="DDDDDD"/>
          </w:tcPr>
          <w:p>
            <w:pPr>
              <w:spacing w:after="0"/>
              <w:rPr>
                <w:sz w:val="20"/>
                <w:szCs w:val="20"/>
                <w:color w:val="auto"/>
              </w:rPr>
            </w:pPr>
            <w:r>
              <w:rPr>
                <w:rFonts w:ascii="Arial" w:cs="Arial" w:eastAsia="Arial" w:hAnsi="Arial"/>
                <w:sz w:val="16"/>
                <w:szCs w:val="16"/>
                <w:color w:val="auto"/>
              </w:rPr>
              <w:t>Operating margin</w:t>
            </w:r>
          </w:p>
        </w:tc>
        <w:tc>
          <w:tcPr>
            <w:tcW w:w="3800" w:type="dxa"/>
            <w:vAlign w:val="bottom"/>
            <w:shd w:val="clear" w:color="auto" w:fill="DDDDDD"/>
          </w:tcPr>
          <w:p>
            <w:pPr>
              <w:jc w:val="right"/>
              <w:ind w:right="635"/>
              <w:spacing w:after="0"/>
              <w:rPr>
                <w:sz w:val="20"/>
                <w:szCs w:val="20"/>
                <w:color w:val="auto"/>
              </w:rPr>
            </w:pPr>
            <w:r>
              <w:rPr>
                <w:rFonts w:ascii="Arial" w:cs="Arial" w:eastAsia="Arial" w:hAnsi="Arial"/>
                <w:sz w:val="16"/>
                <w:szCs w:val="16"/>
                <w:color w:val="auto"/>
              </w:rPr>
              <w:t>12.8%</w:t>
            </w:r>
          </w:p>
        </w:tc>
        <w:tc>
          <w:tcPr>
            <w:tcW w:w="1640" w:type="dxa"/>
            <w:vAlign w:val="bottom"/>
            <w:shd w:val="clear" w:color="auto" w:fill="DDDDDD"/>
          </w:tcPr>
          <w:p>
            <w:pPr>
              <w:jc w:val="right"/>
              <w:ind w:right="355"/>
              <w:spacing w:after="0"/>
              <w:rPr>
                <w:sz w:val="20"/>
                <w:szCs w:val="20"/>
                <w:color w:val="auto"/>
              </w:rPr>
            </w:pPr>
            <w:r>
              <w:rPr>
                <w:rFonts w:ascii="Arial" w:cs="Arial" w:eastAsia="Arial" w:hAnsi="Arial"/>
                <w:sz w:val="16"/>
                <w:szCs w:val="16"/>
                <w:color w:val="auto"/>
              </w:rPr>
              <w:t>13.9%</w:t>
            </w:r>
          </w:p>
        </w:tc>
        <w:tc>
          <w:tcPr>
            <w:tcW w:w="1940" w:type="dxa"/>
            <w:vAlign w:val="bottom"/>
            <w:shd w:val="clear" w:color="auto" w:fill="DDDDDD"/>
          </w:tcPr>
          <w:p>
            <w:pPr>
              <w:jc w:val="right"/>
              <w:ind w:right="93"/>
              <w:spacing w:after="0" w:line="22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 not meaningful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The fiscal 2001 operating loss included the Special Charge of $72.9.</w:t>
      </w:r>
    </w:p>
    <w:p>
      <w:pPr>
        <w:spacing w:after="0" w:line="184"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 xml:space="preserve">Segment revenues accounted for 16.6% of the Company’s revenues in fiscal 2003, compared to 16.5% in fiscal 2002 and 15.9% in fiscal 2001. In fiscal 2003, </w:t>
      </w:r>
      <w:r>
        <w:rPr>
          <w:rFonts w:ascii="Arial" w:cs="Arial" w:eastAsia="Arial" w:hAnsi="Arial"/>
          <w:sz w:val="16"/>
          <w:szCs w:val="16"/>
          <w:i w:val="1"/>
          <w:iCs w:val="1"/>
          <w:color w:val="auto"/>
        </w:rPr>
        <w:t>Educational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w:t>
      </w:r>
      <w:r>
        <w:rPr>
          <w:rFonts w:ascii="Arial" w:cs="Arial" w:eastAsia="Arial" w:hAnsi="Arial"/>
          <w:sz w:val="16"/>
          <w:szCs w:val="16"/>
          <w:color w:val="auto"/>
        </w:rPr>
        <w:t>revenues increased to $325.9 million from $316.9 million in fiscal 2002 and $311.2 million in fiscal 2001. The $9.0 million revenue increase in fiscal 2003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primarily due to $10.4 million of incremental revenues related to fiscal 2002 acquisitions and increased curriculum publishing revenues of $9.3 million, partially offset by decreased revenues from library publishing of $7.2 million. In fiscal 2002,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revenues increased $5.7 million over fiscal 2001, primarily due to increased revenues from paperbacks and collections of $11.4 million and $5.4 million of incremental revenues related to fiscal 2002 acquisitions, partially offset by decreased curriculum publishing revenues of $11.6 million.</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Operating profit for this segment in fiscal 2003 of $41.7 million decreased by $2.4 million from $44.1 million in fiscal 2002, primarily due to the portion of the Special severance charge related to this segment of $2.1 million. Fiscal 2002 operating profit increased $111.2 million from a loss of $67.1 million in fiscal 2001, which included the Special Charge of $72.9 million. In addition to the impact of the Special Charge, the improved operating profit in fiscal 2002 reflected reduced prepublication amortization of $18.8 million, principally related to the decision not to update </w:t>
      </w:r>
      <w:r>
        <w:rPr>
          <w:rFonts w:ascii="Arial" w:cs="Arial" w:eastAsia="Arial" w:hAnsi="Arial"/>
          <w:sz w:val="16"/>
          <w:szCs w:val="16"/>
          <w:i w:val="1"/>
          <w:iCs w:val="1"/>
          <w:color w:val="auto"/>
        </w:rPr>
        <w:t>Scholastic Literacy Place,</w:t>
      </w:r>
      <w:r>
        <w:rPr>
          <w:rFonts w:ascii="Arial" w:cs="Arial" w:eastAsia="Arial" w:hAnsi="Arial"/>
          <w:sz w:val="16"/>
          <w:szCs w:val="16"/>
          <w:color w:val="auto"/>
        </w:rPr>
        <w:t xml:space="preserve"> and reduced amortization of goodwill and other intangibles of $6.1 million resulting from the adoption of SFAS No.142.</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LICENSING AND ADVERTISING</w:t>
      </w:r>
    </w:p>
    <w:p>
      <w:pPr>
        <w:spacing w:after="0" w:line="2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includes the production and/or distribution of software in the United States, the production and/or distribution by and through SEI of programming and consumer products (including children’s television programming, videos, software, feature films, promotional activities and non-book merchandise), and advertising revenue, including sponsorship programs.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 amounts in millions)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40" w:type="dxa"/>
            <w:vAlign w:val="bottom"/>
          </w:tcPr>
          <w:p>
            <w:pPr>
              <w:jc w:val="right"/>
              <w:ind w:right="754"/>
              <w:spacing w:after="0"/>
              <w:rPr>
                <w:sz w:val="20"/>
                <w:szCs w:val="20"/>
                <w:color w:val="auto"/>
              </w:rPr>
            </w:pPr>
            <w:r>
              <w:rPr>
                <w:rFonts w:ascii="Arial" w:cs="Arial" w:eastAsia="Arial" w:hAnsi="Arial"/>
                <w:sz w:val="20"/>
                <w:szCs w:val="20"/>
                <w:b w:val="1"/>
                <w:bCs w:val="1"/>
                <w:color w:val="auto"/>
              </w:rPr>
              <w:t>2003</w:t>
            </w:r>
          </w:p>
        </w:tc>
        <w:tc>
          <w:tcPr>
            <w:tcW w:w="1800" w:type="dxa"/>
            <w:vAlign w:val="bottom"/>
          </w:tcPr>
          <w:p>
            <w:pPr>
              <w:jc w:val="right"/>
              <w:ind w:right="374"/>
              <w:spacing w:after="0"/>
              <w:rPr>
                <w:sz w:val="20"/>
                <w:szCs w:val="20"/>
                <w:color w:val="auto"/>
              </w:rPr>
            </w:pPr>
            <w:r>
              <w:rPr>
                <w:rFonts w:ascii="Arial" w:cs="Arial" w:eastAsia="Arial" w:hAnsi="Arial"/>
                <w:sz w:val="20"/>
                <w:szCs w:val="20"/>
                <w:b w:val="1"/>
                <w:bCs w:val="1"/>
                <w:color w:val="auto"/>
              </w:rPr>
              <w:t>2002</w:t>
            </w:r>
          </w:p>
        </w:tc>
        <w:tc>
          <w:tcPr>
            <w:tcW w:w="1940" w:type="dxa"/>
            <w:vAlign w:val="bottom"/>
          </w:tcPr>
          <w:p>
            <w:pPr>
              <w:jc w:val="right"/>
              <w:ind w:right="115"/>
              <w:spacing w:after="0"/>
              <w:rPr>
                <w:sz w:val="20"/>
                <w:szCs w:val="20"/>
                <w:color w:val="auto"/>
              </w:rPr>
            </w:pPr>
            <w:r>
              <w:rPr>
                <w:rFonts w:ascii="Arial" w:cs="Arial" w:eastAsia="Arial" w:hAnsi="Arial"/>
                <w:sz w:val="20"/>
                <w:szCs w:val="20"/>
                <w:b w:val="1"/>
                <w:bCs w:val="1"/>
                <w:color w:val="auto"/>
              </w:rPr>
              <w:t>2001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20" w:type="dxa"/>
            <w:vAlign w:val="bottom"/>
            <w:tcBorders>
              <w:bottom w:val="single" w:sz="8" w:color="808080"/>
            </w:tcBorders>
          </w:tcPr>
          <w:p>
            <w:pPr>
              <w:spacing w:after="0"/>
              <w:rPr>
                <w:sz w:val="7"/>
                <w:szCs w:val="7"/>
                <w:color w:val="auto"/>
              </w:rPr>
            </w:pPr>
          </w:p>
        </w:tc>
        <w:tc>
          <w:tcPr>
            <w:tcW w:w="404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6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620" w:type="dxa"/>
            <w:vAlign w:val="bottom"/>
            <w:shd w:val="clear" w:color="auto" w:fill="DDDDDD"/>
          </w:tcPr>
          <w:p>
            <w:pPr>
              <w:spacing w:after="0"/>
              <w:rPr>
                <w:sz w:val="20"/>
                <w:szCs w:val="20"/>
                <w:color w:val="auto"/>
              </w:rPr>
            </w:pPr>
            <w:r>
              <w:rPr>
                <w:rFonts w:ascii="Arial" w:cs="Arial" w:eastAsia="Arial" w:hAnsi="Arial"/>
                <w:sz w:val="16"/>
                <w:szCs w:val="16"/>
                <w:color w:val="auto"/>
              </w:rPr>
              <w:t>Revenue</w:t>
            </w:r>
          </w:p>
        </w:tc>
        <w:tc>
          <w:tcPr>
            <w:tcW w:w="4040" w:type="dxa"/>
            <w:vAlign w:val="bottom"/>
            <w:shd w:val="clear" w:color="auto" w:fill="DDDDDD"/>
          </w:tcPr>
          <w:p>
            <w:pPr>
              <w:jc w:val="right"/>
              <w:ind w:right="754"/>
              <w:spacing w:after="0"/>
              <w:rPr>
                <w:sz w:val="20"/>
                <w:szCs w:val="20"/>
                <w:color w:val="auto"/>
              </w:rPr>
            </w:pPr>
            <w:r>
              <w:rPr>
                <w:rFonts w:ascii="Arial" w:cs="Arial" w:eastAsia="Arial" w:hAnsi="Arial"/>
                <w:sz w:val="16"/>
                <w:szCs w:val="16"/>
                <w:color w:val="auto"/>
              </w:rPr>
              <w:t>$ 123.5</w:t>
            </w:r>
          </w:p>
        </w:tc>
        <w:tc>
          <w:tcPr>
            <w:tcW w:w="1800" w:type="dxa"/>
            <w:vAlign w:val="bottom"/>
            <w:shd w:val="clear" w:color="auto" w:fill="DDDDDD"/>
          </w:tcPr>
          <w:p>
            <w:pPr>
              <w:jc w:val="right"/>
              <w:ind w:right="374"/>
              <w:spacing w:after="0"/>
              <w:rPr>
                <w:sz w:val="20"/>
                <w:szCs w:val="20"/>
                <w:color w:val="auto"/>
              </w:rPr>
            </w:pPr>
            <w:r>
              <w:rPr>
                <w:rFonts w:ascii="Arial" w:cs="Arial" w:eastAsia="Arial" w:hAnsi="Arial"/>
                <w:sz w:val="16"/>
                <w:szCs w:val="16"/>
                <w:color w:val="auto"/>
              </w:rPr>
              <w:t>$ 129.8</w:t>
            </w:r>
          </w:p>
        </w:tc>
        <w:tc>
          <w:tcPr>
            <w:tcW w:w="1940" w:type="dxa"/>
            <w:vAlign w:val="bottom"/>
            <w:shd w:val="clear" w:color="auto" w:fill="DDDDDD"/>
          </w:tcPr>
          <w:p>
            <w:pPr>
              <w:jc w:val="right"/>
              <w:ind w:right="115"/>
              <w:spacing w:after="0"/>
              <w:rPr>
                <w:sz w:val="20"/>
                <w:szCs w:val="20"/>
                <w:color w:val="auto"/>
              </w:rPr>
            </w:pPr>
            <w:r>
              <w:rPr>
                <w:rFonts w:ascii="Arial" w:cs="Arial" w:eastAsia="Arial" w:hAnsi="Arial"/>
                <w:sz w:val="16"/>
                <w:szCs w:val="16"/>
                <w:color w:val="auto"/>
              </w:rPr>
              <w:t>$ 132.5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Operating loss</w:t>
            </w:r>
          </w:p>
        </w:tc>
        <w:tc>
          <w:tcPr>
            <w:tcW w:w="4040" w:type="dxa"/>
            <w:vAlign w:val="bottom"/>
          </w:tcPr>
          <w:p>
            <w:pPr>
              <w:jc w:val="right"/>
              <w:ind w:right="754"/>
              <w:spacing w:after="0"/>
              <w:rPr>
                <w:sz w:val="20"/>
                <w:szCs w:val="20"/>
                <w:color w:val="auto"/>
              </w:rPr>
            </w:pPr>
            <w:r>
              <w:rPr>
                <w:rFonts w:ascii="Arial" w:cs="Arial" w:eastAsia="Arial" w:hAnsi="Arial"/>
                <w:sz w:val="16"/>
                <w:szCs w:val="16"/>
                <w:color w:val="auto"/>
              </w:rPr>
              <w:t>(5.4)</w:t>
            </w:r>
          </w:p>
        </w:tc>
        <w:tc>
          <w:tcPr>
            <w:tcW w:w="1800" w:type="dxa"/>
            <w:vAlign w:val="bottom"/>
          </w:tcPr>
          <w:p>
            <w:pPr>
              <w:jc w:val="right"/>
              <w:ind w:right="374"/>
              <w:spacing w:after="0"/>
              <w:rPr>
                <w:sz w:val="20"/>
                <w:szCs w:val="20"/>
                <w:color w:val="auto"/>
              </w:rPr>
            </w:pPr>
            <w:r>
              <w:rPr>
                <w:rFonts w:ascii="Arial" w:cs="Arial" w:eastAsia="Arial" w:hAnsi="Arial"/>
                <w:sz w:val="16"/>
                <w:szCs w:val="16"/>
                <w:color w:val="auto"/>
              </w:rPr>
              <w:t>(0.2)</w:t>
            </w:r>
          </w:p>
        </w:tc>
        <w:tc>
          <w:tcPr>
            <w:tcW w:w="1940" w:type="dxa"/>
            <w:vAlign w:val="bottom"/>
          </w:tcPr>
          <w:p>
            <w:pPr>
              <w:jc w:val="right"/>
              <w:ind w:right="115"/>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15"/>
        </w:trPr>
        <w:tc>
          <w:tcPr>
            <w:tcW w:w="2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20" w:type="dxa"/>
            <w:vAlign w:val="bottom"/>
            <w:tcBorders>
              <w:bottom w:val="single" w:sz="8" w:color="DDDDDD"/>
            </w:tcBorders>
          </w:tcPr>
          <w:p>
            <w:pPr>
              <w:spacing w:after="0"/>
              <w:rPr>
                <w:sz w:val="10"/>
                <w:szCs w:val="10"/>
                <w:color w:val="auto"/>
              </w:rPr>
            </w:pPr>
          </w:p>
        </w:tc>
        <w:tc>
          <w:tcPr>
            <w:tcW w:w="4040" w:type="dxa"/>
            <w:vAlign w:val="bottom"/>
            <w:tcBorders>
              <w:bottom w:val="single" w:sz="8" w:color="DDDDDD"/>
            </w:tcBorders>
          </w:tcPr>
          <w:p>
            <w:pPr>
              <w:spacing w:after="0"/>
              <w:rPr>
                <w:sz w:val="10"/>
                <w:szCs w:val="10"/>
                <w:color w:val="auto"/>
              </w:rPr>
            </w:pPr>
          </w:p>
        </w:tc>
        <w:tc>
          <w:tcPr>
            <w:tcW w:w="1800" w:type="dxa"/>
            <w:vAlign w:val="bottom"/>
            <w:tcBorders>
              <w:bottom w:val="single" w:sz="8" w:color="DDDDDD"/>
            </w:tcBorders>
          </w:tcPr>
          <w:p>
            <w:pPr>
              <w:spacing w:after="0"/>
              <w:rPr>
                <w:sz w:val="10"/>
                <w:szCs w:val="10"/>
                <w:color w:val="auto"/>
              </w:rPr>
            </w:pPr>
          </w:p>
        </w:tc>
        <w:tc>
          <w:tcPr>
            <w:tcW w:w="1940" w:type="dxa"/>
            <w:vAlign w:val="bottom"/>
            <w:tcBorders>
              <w:bottom w:val="single" w:sz="8" w:color="DDDDDD"/>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13" w:name="page14"/>
    <w:bookmarkEnd w:id="13"/>
    <w:p>
      <w:pPr>
        <w:spacing w:after="0"/>
        <w:tabs>
          <w:tab w:leader="none" w:pos="6720" w:val="left"/>
          <w:tab w:leader="none" w:pos="8900" w:val="left"/>
          <w:tab w:leader="none" w:pos="11100" w:val="left"/>
        </w:tabs>
        <w:rPr>
          <w:sz w:val="20"/>
          <w:szCs w:val="20"/>
          <w:color w:val="auto"/>
        </w:rPr>
      </w:pPr>
      <w:r>
        <w:rPr>
          <w:rFonts w:ascii="Arial" w:cs="Arial" w:eastAsia="Arial" w:hAnsi="Arial"/>
          <w:sz w:val="16"/>
          <w:szCs w:val="16"/>
          <w:color w:val="auto"/>
        </w:rPr>
        <w:t>Operating margin</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8685" cy="140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685" cy="1403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 not meaningful</w:t>
      </w:r>
    </w:p>
    <w:p>
      <w:pPr>
        <w:spacing w:after="0" w:line="194"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i w:val="1"/>
          <w:iCs w:val="1"/>
          <w:color w:val="auto"/>
        </w:rPr>
        <w:t xml:space="preserve">Media, Licensing and Advertising </w:t>
      </w:r>
      <w:r>
        <w:rPr>
          <w:rFonts w:ascii="Arial" w:cs="Arial" w:eastAsia="Arial" w:hAnsi="Arial"/>
          <w:sz w:val="16"/>
          <w:szCs w:val="16"/>
          <w:color w:val="auto"/>
        </w:rPr>
        <w:t>revenues accounted for 6.3% of the Company’s revenues in fiscal 2003, 6.8% in fiscal 2002 and 6.7% in fiscal 2001. In fiscal 2003,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by 4.9%, or $6.3 million, primarily due to lower sales of software and multimedia products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 xml:space="preserve">$9.7 million and lower non-book consumer merchandise revenues of $3.3 million. The decreased revenues were partially offset by increased programming revenues of $3.7 million from </w:t>
      </w:r>
      <w:r>
        <w:rPr>
          <w:rFonts w:ascii="Arial" w:cs="Arial" w:eastAsia="Arial" w:hAnsi="Arial"/>
          <w:sz w:val="16"/>
          <w:szCs w:val="16"/>
          <w:i w:val="1"/>
          <w:iCs w:val="1"/>
          <w:color w:val="auto"/>
        </w:rPr>
        <w:t>Clifford The Big Red Dog</w:t>
      </w:r>
      <w:r>
        <w:rPr>
          <w:rFonts w:ascii="Arial" w:cs="Arial" w:eastAsia="Arial" w:hAnsi="Arial"/>
          <w:sz w:val="16"/>
          <w:szCs w:val="16"/>
          <w:color w:val="auto"/>
        </w:rPr>
        <w:t xml:space="preserve"> and incremental programming revenues of $3.6 million relating to fiscal 2002 acquisitions. In fiscal 2002, revenues decreased by 2.0%, or $2.7 million, principally due to reduced programming revenues of $8.0 million attributable to the delivery of fewer episodes of the television series </w:t>
      </w:r>
      <w:r>
        <w:rPr>
          <w:rFonts w:ascii="Arial" w:cs="Arial" w:eastAsia="Arial" w:hAnsi="Arial"/>
          <w:sz w:val="16"/>
          <w:szCs w:val="16"/>
          <w:i w:val="1"/>
          <w:iCs w:val="1"/>
          <w:color w:val="auto"/>
        </w:rPr>
        <w:t>Clifford The Big Red Dog</w:t>
      </w:r>
      <w:r>
        <w:rPr>
          <w:rFonts w:ascii="Arial" w:cs="Arial" w:eastAsia="Arial" w:hAnsi="Arial"/>
          <w:sz w:val="16"/>
          <w:szCs w:val="16"/>
          <w:color w:val="auto"/>
        </w:rPr>
        <w:t xml:space="preserve"> in fiscal 2002 and the benefit in fiscal 2001 of a $3.9 million license of Scholastic’s </w:t>
      </w:r>
      <w:r>
        <w:rPr>
          <w:rFonts w:ascii="Arial" w:cs="Arial" w:eastAsia="Arial" w:hAnsi="Arial"/>
          <w:sz w:val="16"/>
          <w:szCs w:val="16"/>
          <w:i w:val="1"/>
          <w:iCs w:val="1"/>
          <w:color w:val="auto"/>
        </w:rPr>
        <w:t>The Magic School Bus</w:t>
      </w:r>
      <w:r>
        <w:rPr>
          <w:rFonts w:ascii="Arial" w:cs="Arial" w:eastAsia="Arial" w:hAnsi="Arial"/>
          <w:sz w:val="16"/>
          <w:szCs w:val="16"/>
          <w:color w:val="auto"/>
        </w:rPr>
        <w:t xml:space="preserve"> series, partially offset by increased licensing royalty revenue in fiscal 2002 from the </w:t>
      </w:r>
      <w:r>
        <w:rPr>
          <w:rFonts w:ascii="Arial" w:cs="Arial" w:eastAsia="Arial" w:hAnsi="Arial"/>
          <w:sz w:val="16"/>
          <w:szCs w:val="16"/>
          <w:i w:val="1"/>
          <w:iCs w:val="1"/>
          <w:color w:val="auto"/>
        </w:rPr>
        <w:t>Clifford</w:t>
      </w:r>
      <w:r>
        <w:rPr>
          <w:rFonts w:ascii="Arial" w:cs="Arial" w:eastAsia="Arial" w:hAnsi="Arial"/>
          <w:sz w:val="16"/>
          <w:szCs w:val="16"/>
          <w:color w:val="auto"/>
        </w:rPr>
        <w:t xml:space="preserve"> property of $8.0 million.</w:t>
      </w:r>
    </w:p>
    <w:p>
      <w:pPr>
        <w:spacing w:after="0" w:line="17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The operating loss for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in fiscal 2003 was $5.4 million, compared to operating losses of $0.2 million in fiscal 2002 and $3.5 million in fiscal 2001. In fiscal 2003, the operating loss increased by $5.2 million as compared to fiscal 2002, primarily due to the related margin on decreased revenues, offset by reductions in marketing and promotional expenses of $1.1 million. The operating loss for fiscal 2002 improved by $3.3 million, primarily due to reductions in marketing and promotional expenses.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w:t>
      </w:r>
    </w:p>
    <w:p>
      <w:pPr>
        <w:spacing w:after="0" w:line="22"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includes the publication and distribution of products and services outside the United States by the Company’s international operations, and its export and foreign rights businesses.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 amounts in millions)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940" w:type="dxa"/>
            <w:vAlign w:val="bottom"/>
          </w:tcPr>
          <w:p>
            <w:pPr>
              <w:jc w:val="right"/>
              <w:ind w:right="755"/>
              <w:spacing w:after="0"/>
              <w:rPr>
                <w:sz w:val="20"/>
                <w:szCs w:val="20"/>
                <w:color w:val="auto"/>
              </w:rPr>
            </w:pPr>
            <w:r>
              <w:rPr>
                <w:rFonts w:ascii="Arial" w:cs="Arial" w:eastAsia="Arial" w:hAnsi="Arial"/>
                <w:sz w:val="20"/>
                <w:szCs w:val="20"/>
                <w:b w:val="1"/>
                <w:bCs w:val="1"/>
                <w:color w:val="auto"/>
              </w:rPr>
              <w:t>2003</w:t>
            </w:r>
          </w:p>
        </w:tc>
        <w:tc>
          <w:tcPr>
            <w:tcW w:w="1800" w:type="dxa"/>
            <w:vAlign w:val="bottom"/>
          </w:tcPr>
          <w:p>
            <w:pPr>
              <w:jc w:val="right"/>
              <w:ind w:right="375"/>
              <w:spacing w:after="0"/>
              <w:rPr>
                <w:sz w:val="20"/>
                <w:szCs w:val="20"/>
                <w:color w:val="auto"/>
              </w:rPr>
            </w:pPr>
            <w:r>
              <w:rPr>
                <w:rFonts w:ascii="Arial" w:cs="Arial" w:eastAsia="Arial" w:hAnsi="Arial"/>
                <w:sz w:val="20"/>
                <w:szCs w:val="20"/>
                <w:b w:val="1"/>
                <w:bCs w:val="1"/>
                <w:color w:val="auto"/>
              </w:rPr>
              <w:t>2002</w:t>
            </w:r>
          </w:p>
        </w:tc>
        <w:tc>
          <w:tcPr>
            <w:tcW w:w="1940" w:type="dxa"/>
            <w:vAlign w:val="bottom"/>
          </w:tcPr>
          <w:p>
            <w:pPr>
              <w:jc w:val="right"/>
              <w:ind w:right="116"/>
              <w:spacing w:after="0"/>
              <w:rPr>
                <w:sz w:val="20"/>
                <w:szCs w:val="20"/>
                <w:color w:val="auto"/>
              </w:rPr>
            </w:pPr>
            <w:r>
              <w:rPr>
                <w:rFonts w:ascii="Arial" w:cs="Arial" w:eastAsia="Arial" w:hAnsi="Arial"/>
                <w:sz w:val="20"/>
                <w:szCs w:val="20"/>
                <w:b w:val="1"/>
                <w:bCs w:val="1"/>
                <w:color w:val="auto"/>
              </w:rPr>
              <w:t>2001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94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7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720" w:type="dxa"/>
            <w:vAlign w:val="bottom"/>
            <w:shd w:val="clear" w:color="auto" w:fill="DDDDDD"/>
          </w:tcPr>
          <w:p>
            <w:pPr>
              <w:spacing w:after="0"/>
              <w:rPr>
                <w:sz w:val="20"/>
                <w:szCs w:val="20"/>
                <w:color w:val="auto"/>
              </w:rPr>
            </w:pPr>
            <w:r>
              <w:rPr>
                <w:rFonts w:ascii="Arial" w:cs="Arial" w:eastAsia="Arial" w:hAnsi="Arial"/>
                <w:sz w:val="16"/>
                <w:szCs w:val="16"/>
                <w:color w:val="auto"/>
              </w:rPr>
              <w:t>Revenue</w:t>
            </w:r>
          </w:p>
        </w:tc>
        <w:tc>
          <w:tcPr>
            <w:tcW w:w="3940" w:type="dxa"/>
            <w:vAlign w:val="bottom"/>
            <w:shd w:val="clear" w:color="auto" w:fill="DDDDDD"/>
          </w:tcPr>
          <w:p>
            <w:pPr>
              <w:jc w:val="right"/>
              <w:ind w:right="755"/>
              <w:spacing w:after="0"/>
              <w:rPr>
                <w:sz w:val="20"/>
                <w:szCs w:val="20"/>
                <w:color w:val="auto"/>
              </w:rPr>
            </w:pPr>
            <w:r>
              <w:rPr>
                <w:rFonts w:ascii="Arial" w:cs="Arial" w:eastAsia="Arial" w:hAnsi="Arial"/>
                <w:sz w:val="16"/>
                <w:szCs w:val="16"/>
                <w:color w:val="auto"/>
              </w:rPr>
              <w:t>$ 319.0</w:t>
            </w:r>
          </w:p>
        </w:tc>
        <w:tc>
          <w:tcPr>
            <w:tcW w:w="1800" w:type="dxa"/>
            <w:vAlign w:val="bottom"/>
            <w:shd w:val="clear" w:color="auto" w:fill="DDDDDD"/>
          </w:tcPr>
          <w:p>
            <w:pPr>
              <w:jc w:val="right"/>
              <w:ind w:right="375"/>
              <w:spacing w:after="0"/>
              <w:rPr>
                <w:sz w:val="20"/>
                <w:szCs w:val="20"/>
                <w:color w:val="auto"/>
              </w:rPr>
            </w:pPr>
            <w:r>
              <w:rPr>
                <w:rFonts w:ascii="Arial" w:cs="Arial" w:eastAsia="Arial" w:hAnsi="Arial"/>
                <w:sz w:val="16"/>
                <w:szCs w:val="16"/>
                <w:color w:val="auto"/>
              </w:rPr>
              <w:t>$ 301.7</w:t>
            </w:r>
          </w:p>
        </w:tc>
        <w:tc>
          <w:tcPr>
            <w:tcW w:w="1940" w:type="dxa"/>
            <w:vAlign w:val="bottom"/>
            <w:shd w:val="clear" w:color="auto" w:fill="DDDDDD"/>
          </w:tcPr>
          <w:p>
            <w:pPr>
              <w:jc w:val="right"/>
              <w:ind w:right="116"/>
              <w:spacing w:after="0"/>
              <w:rPr>
                <w:sz w:val="20"/>
                <w:szCs w:val="20"/>
                <w:color w:val="auto"/>
              </w:rPr>
            </w:pPr>
            <w:r>
              <w:rPr>
                <w:rFonts w:ascii="Arial" w:cs="Arial" w:eastAsia="Arial" w:hAnsi="Arial"/>
                <w:sz w:val="16"/>
                <w:szCs w:val="16"/>
                <w:color w:val="auto"/>
              </w:rPr>
              <w:t>$ 296.7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Operating profit</w:t>
            </w:r>
          </w:p>
        </w:tc>
        <w:tc>
          <w:tcPr>
            <w:tcW w:w="3940" w:type="dxa"/>
            <w:vAlign w:val="bottom"/>
          </w:tcPr>
          <w:p>
            <w:pPr>
              <w:jc w:val="right"/>
              <w:ind w:right="755"/>
              <w:spacing w:after="0"/>
              <w:rPr>
                <w:sz w:val="20"/>
                <w:szCs w:val="20"/>
                <w:color w:val="auto"/>
              </w:rPr>
            </w:pPr>
            <w:r>
              <w:rPr>
                <w:rFonts w:ascii="Arial" w:cs="Arial" w:eastAsia="Arial" w:hAnsi="Arial"/>
                <w:sz w:val="16"/>
                <w:szCs w:val="16"/>
                <w:color w:val="auto"/>
              </w:rPr>
              <w:t>19.4</w:t>
            </w:r>
          </w:p>
        </w:tc>
        <w:tc>
          <w:tcPr>
            <w:tcW w:w="1800" w:type="dxa"/>
            <w:vAlign w:val="bottom"/>
          </w:tcPr>
          <w:p>
            <w:pPr>
              <w:jc w:val="right"/>
              <w:ind w:right="375"/>
              <w:spacing w:after="0"/>
              <w:rPr>
                <w:sz w:val="20"/>
                <w:szCs w:val="20"/>
                <w:color w:val="auto"/>
              </w:rPr>
            </w:pPr>
            <w:r>
              <w:rPr>
                <w:rFonts w:ascii="Arial" w:cs="Arial" w:eastAsia="Arial" w:hAnsi="Arial"/>
                <w:sz w:val="16"/>
                <w:szCs w:val="16"/>
                <w:color w:val="auto"/>
              </w:rPr>
              <w:t>24.6</w:t>
            </w:r>
          </w:p>
        </w:tc>
        <w:tc>
          <w:tcPr>
            <w:tcW w:w="1940" w:type="dxa"/>
            <w:vAlign w:val="bottom"/>
          </w:tcPr>
          <w:p>
            <w:pPr>
              <w:jc w:val="right"/>
              <w:ind w:right="116"/>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7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720" w:type="dxa"/>
            <w:vAlign w:val="bottom"/>
            <w:shd w:val="clear" w:color="auto" w:fill="DDDDDD"/>
          </w:tcPr>
          <w:p>
            <w:pPr>
              <w:spacing w:after="0"/>
              <w:rPr>
                <w:sz w:val="20"/>
                <w:szCs w:val="20"/>
                <w:color w:val="auto"/>
              </w:rPr>
            </w:pPr>
            <w:r>
              <w:rPr>
                <w:rFonts w:ascii="Arial" w:cs="Arial" w:eastAsia="Arial" w:hAnsi="Arial"/>
                <w:sz w:val="16"/>
                <w:szCs w:val="16"/>
                <w:color w:val="auto"/>
              </w:rPr>
              <w:t>Operating margin</w:t>
            </w:r>
          </w:p>
        </w:tc>
        <w:tc>
          <w:tcPr>
            <w:tcW w:w="3940" w:type="dxa"/>
            <w:vAlign w:val="bottom"/>
            <w:shd w:val="clear" w:color="auto" w:fill="DDDDDD"/>
          </w:tcPr>
          <w:p>
            <w:pPr>
              <w:jc w:val="right"/>
              <w:ind w:right="755"/>
              <w:spacing w:after="0"/>
              <w:rPr>
                <w:sz w:val="20"/>
                <w:szCs w:val="20"/>
                <w:color w:val="auto"/>
              </w:rPr>
            </w:pPr>
            <w:r>
              <w:rPr>
                <w:rFonts w:ascii="Arial" w:cs="Arial" w:eastAsia="Arial" w:hAnsi="Arial"/>
                <w:sz w:val="16"/>
                <w:szCs w:val="16"/>
                <w:color w:val="auto"/>
              </w:rPr>
              <w:t>6.1%</w:t>
            </w:r>
          </w:p>
        </w:tc>
        <w:tc>
          <w:tcPr>
            <w:tcW w:w="1800" w:type="dxa"/>
            <w:vAlign w:val="bottom"/>
            <w:shd w:val="clear" w:color="auto" w:fill="DDDDDD"/>
          </w:tcPr>
          <w:p>
            <w:pPr>
              <w:jc w:val="right"/>
              <w:ind w:right="375"/>
              <w:spacing w:after="0"/>
              <w:rPr>
                <w:sz w:val="20"/>
                <w:szCs w:val="20"/>
                <w:color w:val="auto"/>
              </w:rPr>
            </w:pPr>
            <w:r>
              <w:rPr>
                <w:rFonts w:ascii="Arial" w:cs="Arial" w:eastAsia="Arial" w:hAnsi="Arial"/>
                <w:sz w:val="16"/>
                <w:szCs w:val="16"/>
                <w:color w:val="auto"/>
              </w:rPr>
              <w:t>8.2%</w:t>
            </w:r>
          </w:p>
        </w:tc>
        <w:tc>
          <w:tcPr>
            <w:tcW w:w="1940" w:type="dxa"/>
            <w:vAlign w:val="bottom"/>
            <w:shd w:val="clear" w:color="auto" w:fill="DDDDDD"/>
          </w:tcPr>
          <w:p>
            <w:pPr>
              <w:jc w:val="right"/>
              <w:ind w:right="116"/>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revenues accounted for 16.3% of the Company’s revenues in fiscal 2003, 15.7% in fiscal 2002 and 15.1% in fiscal 2001. Segment revenues increased $17.3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5.7%, to $319.0 million in fiscal 2003 from $301.7 million in fiscal 2002. This revenue growth was primarily due to the favorable impact of foreign currency exchange rates of $16.8 million. In fiscal 2002,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revenues increased $5.0 million, or 1.7%, from $296.7 million in fiscal 2001, primarily due to increased revenues of $5.0 million from Australia, $4.4 million from Canada and $2.6 million from the Asia Pacific Region, partially offset by the adverse impact of foreign currency exchange rates of approximately $7.5 million.</w:t>
      </w:r>
    </w:p>
    <w:p>
      <w:pPr>
        <w:spacing w:after="0" w:line="173"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operating profit decreased by $5.2 million to $19.4 million, or 6.1% of revenues, in fiscal 2003 from $24.6 million, or 8.2% of revenues, in fiscal 2002,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due to the portion of the Special severance charge related to this segment of $3.8 million. In fiscal 2002,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operating profit experienced a modest decrease of $0.2 million from fiscal 2001.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320"/>
        <w:spacing w:after="0" w:line="288" w:lineRule="auto"/>
        <w:rPr>
          <w:sz w:val="20"/>
          <w:szCs w:val="20"/>
          <w:color w:val="auto"/>
        </w:rPr>
      </w:pPr>
      <w:r>
        <w:rPr>
          <w:rFonts w:ascii="Arial" w:cs="Arial" w:eastAsia="Arial" w:hAnsi="Arial"/>
          <w:sz w:val="15"/>
          <w:szCs w:val="15"/>
          <w:color w:val="auto"/>
        </w:rPr>
        <w:t>The Company’s school-based book clubs, school-based book fairs and most of its magazines operate on a school-year basis. Therefore, the Company’s business is highly seasonal. As a consequence, the Company’s revenues in the first and third quarters of the fiscal year generally are lower than its revenues in the other two fiscal quarters. The Company experiences a substantial loss from operations in the first quarter. Typically, school-based book club and book fair revenues are greatest in the second quarter of the fiscal year, while revenues from the sale of instructional materials are the highest in the first quarter.</w:t>
      </w:r>
    </w:p>
    <w:p>
      <w:pPr>
        <w:spacing w:after="0" w:line="15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the June through October time period, the Company experiences negative cash flow due to the seasonality of its business. As a result of the Company’s business cycle, seasonal borrowings have historically increased during June, July and August, have generally peaked in September or October, and have been at their lowest point in May.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cash and cash equivalents were $58.6 million at May 31, 2003, compared to $10.7 million at May 31, 2002 and $13.8 million at May 31, 2001.</w:t>
      </w:r>
    </w:p>
    <w:p>
      <w:pPr>
        <w:spacing w:after="0" w:line="210"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Cash flow provided by operations was $179.2 million in fiscal 2003, resulting from net income adjusted for non-cash items of $209.6 million, offset by net working capital and other increases of $30.4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 xml:space="preserve">Cash outflow for investing activities was $214.0 million for fiscal 2003. Additions to property, plant and equipment totaled $83.9 million in fiscal 2003, an increase of $5.5 million from fiscal 2002, largely as a result of the acquisition of the Maumelle Facility. Equity investment and related loan totaled $23.3 million primarily due to the Company’s 15% equity investment in The Book People in June 2002 of £12.0 million (equivalent to $17.9 million as of the date of the transaction), and a related credit facility of £3.0 million, which was fully drawn at May 31, 2003 (equivalent to $4.9 million). Acquisition-related payments of $10.2 million consist primarily of a $9.7 million payment for the purchase of worldwide rights to the </w:t>
      </w:r>
      <w:r>
        <w:rPr>
          <w:rFonts w:ascii="Arial" w:cs="Arial" w:eastAsia="Arial" w:hAnsi="Arial"/>
          <w:sz w:val="15"/>
          <w:szCs w:val="15"/>
          <w:i w:val="1"/>
          <w:iCs w:val="1"/>
          <w:color w:val="auto"/>
        </w:rPr>
        <w:t>Goosebumps™</w:t>
      </w:r>
      <w:r>
        <w:rPr>
          <w:rFonts w:ascii="Arial" w:cs="Arial" w:eastAsia="Arial" w:hAnsi="Arial"/>
          <w:sz w:val="15"/>
          <w:szCs w:val="15"/>
          <w:color w:val="auto"/>
        </w:rPr>
        <w:t xml:space="preserve"> property. Fiscal 2003 prepublication expenditures of $55.7 million, payments for royalty advances of $30.3 million and production expenditures of $15.5 million were generally consistent with prior year levels.</w:t>
      </w:r>
    </w:p>
    <w:p>
      <w:pPr>
        <w:sectPr>
          <w:pgSz w:w="11900" w:h="16838" w:orient="portrait"/>
          <w:cols w:equalWidth="0" w:num="1">
            <w:col w:w="11420"/>
          </w:cols>
          <w:pgMar w:left="240" w:top="120" w:right="239" w:bottom="0" w:gutter="0" w:footer="0" w:header="0"/>
        </w:sectPr>
      </w:pPr>
    </w:p>
    <w:bookmarkStart w:id="14" w:name="page15"/>
    <w:bookmarkEnd w:id="14"/>
    <w:p>
      <w:pPr>
        <w:ind w:right="40"/>
        <w:spacing w:after="0" w:line="285" w:lineRule="auto"/>
        <w:rPr>
          <w:sz w:val="20"/>
          <w:szCs w:val="20"/>
          <w:color w:val="auto"/>
        </w:rPr>
      </w:pPr>
      <w:r>
        <w:rPr>
          <w:rFonts w:ascii="Arial" w:cs="Arial" w:eastAsia="Arial" w:hAnsi="Arial"/>
          <w:sz w:val="15"/>
          <w:szCs w:val="15"/>
          <w:color w:val="auto"/>
        </w:rPr>
        <w:t>As more fully described in “Financing” below, on April 4, 2003, Scholastic Corporation issued $175.0 million of 5% Notes due 2013 (the “5% Notes”). Net proceeds of $171.3 million were used to retire all outstanding indebtedness of $36.0 million under the Grolier Facility, which was then cancelled, and to reduce $135 million of indebtedness outstanding under the Loan Agreement and the Revolver, as such terms are defined in “Financing” below. Scholastic Corporation expects to repay all $125.0 million of its outstanding 7% Notes due 2003 at maturity in December 2003, principally using borrowings available under the Loan Agreement and the Revolver made possible by the issuance of the 5% Notes. Consequently, the Company has increased cash and increased debt levels at May 31, 2003.</w:t>
      </w:r>
    </w:p>
    <w:p>
      <w:pPr>
        <w:spacing w:after="0" w:line="157" w:lineRule="exact"/>
        <w:rPr>
          <w:sz w:val="20"/>
          <w:szCs w:val="20"/>
          <w:color w:val="auto"/>
        </w:rPr>
      </w:pPr>
    </w:p>
    <w:p>
      <w:pPr>
        <w:jc w:val="both"/>
        <w:ind w:right="140"/>
        <w:spacing w:after="0" w:line="270" w:lineRule="auto"/>
        <w:rPr>
          <w:sz w:val="20"/>
          <w:szCs w:val="20"/>
          <w:color w:val="auto"/>
        </w:rPr>
      </w:pPr>
      <w:r>
        <w:rPr>
          <w:rFonts w:ascii="Arial" w:cs="Arial" w:eastAsia="Arial" w:hAnsi="Arial"/>
          <w:sz w:val="16"/>
          <w:szCs w:val="16"/>
          <w:color w:val="auto"/>
        </w:rPr>
        <w:t>The Company believes its existing cash position, combined with funds generated from operations and available under the Loan Agreement and the Revolver will be sufficient to finance its ongoing working capital requirements for the next fiscal year. The Company anticipates refinancing its debt obligations prior to their respective maturity dates, to the extent not paid through cash flow.</w:t>
      </w:r>
    </w:p>
    <w:p>
      <w:pPr>
        <w:spacing w:after="0" w:line="167"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The following table summarizes, as of May 31, 2003, the Company’s contractual cash obligations by future period (see Notes 3 and 4 of Notes to Consolidated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7"/>
              </w:rPr>
              <w:t>Payments Due by Period</w:t>
            </w: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320" w:type="dxa"/>
            <w:vAlign w:val="bottom"/>
            <w:tcBorders>
              <w:bottom w:val="single" w:sz="8" w:color="808080"/>
            </w:tcBorders>
          </w:tcPr>
          <w:p>
            <w:pPr>
              <w:spacing w:after="0"/>
              <w:rPr>
                <w:sz w:val="7"/>
                <w:szCs w:val="7"/>
                <w:color w:val="auto"/>
              </w:rPr>
            </w:pPr>
          </w:p>
        </w:tc>
        <w:tc>
          <w:tcPr>
            <w:tcW w:w="2200" w:type="dxa"/>
            <w:vAlign w:val="bottom"/>
            <w:tcBorders>
              <w:bottom w:val="single" w:sz="8" w:color="808080"/>
            </w:tcBorders>
            <w:gridSpan w:val="2"/>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0" w:type="dxa"/>
            <w:vAlign w:val="bottom"/>
            <w:gridSpan w:val="2"/>
          </w:tcPr>
          <w:p>
            <w:pPr>
              <w:jc w:val="right"/>
              <w:ind w:right="217"/>
              <w:spacing w:after="0"/>
              <w:rPr>
                <w:sz w:val="20"/>
                <w:szCs w:val="20"/>
                <w:color w:val="auto"/>
              </w:rPr>
            </w:pPr>
            <w:r>
              <w:rPr>
                <w:rFonts w:ascii="Arial" w:cs="Arial" w:eastAsia="Arial" w:hAnsi="Arial"/>
                <w:sz w:val="20"/>
                <w:szCs w:val="20"/>
                <w:b w:val="1"/>
                <w:bCs w:val="1"/>
                <w:color w:val="auto"/>
              </w:rPr>
              <w:t>Less than</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jc w:val="right"/>
              <w:ind w:right="415"/>
              <w:spacing w:after="0"/>
              <w:rPr>
                <w:sz w:val="20"/>
                <w:szCs w:val="20"/>
                <w:color w:val="auto"/>
              </w:rPr>
            </w:pPr>
            <w:r>
              <w:rPr>
                <w:rFonts w:ascii="Arial" w:cs="Arial" w:eastAsia="Arial" w:hAnsi="Arial"/>
                <w:sz w:val="20"/>
                <w:szCs w:val="20"/>
                <w:b w:val="1"/>
                <w:bCs w:val="1"/>
                <w:color w:val="auto"/>
              </w:rPr>
              <w:t>After</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340" w:type="dxa"/>
            <w:vAlign w:val="bottom"/>
            <w:gridSpan w:val="2"/>
          </w:tcPr>
          <w:p>
            <w:pPr>
              <w:spacing w:after="0"/>
              <w:rPr>
                <w:sz w:val="20"/>
                <w:szCs w:val="20"/>
                <w:color w:val="auto"/>
              </w:rPr>
            </w:pPr>
            <w:r>
              <w:rPr>
                <w:rFonts w:ascii="Arial" w:cs="Arial" w:eastAsia="Arial" w:hAnsi="Arial"/>
                <w:sz w:val="20"/>
                <w:szCs w:val="20"/>
                <w:b w:val="1"/>
                <w:bCs w:val="1"/>
                <w:color w:val="auto"/>
              </w:rPr>
              <w:t>Contractual Obligations</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860" w:type="dxa"/>
            <w:vAlign w:val="bottom"/>
          </w:tcPr>
          <w:p>
            <w:pPr>
              <w:jc w:val="right"/>
              <w:ind w:right="337"/>
              <w:spacing w:after="0"/>
              <w:rPr>
                <w:sz w:val="20"/>
                <w:szCs w:val="20"/>
                <w:color w:val="auto"/>
              </w:rPr>
            </w:pPr>
            <w:r>
              <w:rPr>
                <w:rFonts w:ascii="Arial" w:cs="Arial" w:eastAsia="Arial" w:hAnsi="Arial"/>
                <w:sz w:val="20"/>
                <w:szCs w:val="20"/>
                <w:b w:val="1"/>
                <w:bCs w:val="1"/>
                <w:color w:val="auto"/>
                <w:w w:val="96"/>
              </w:rPr>
              <w:t>Year</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1–3 Years</w:t>
            </w:r>
          </w:p>
        </w:tc>
        <w:tc>
          <w:tcPr>
            <w:tcW w:w="2240" w:type="dxa"/>
            <w:vAlign w:val="bottom"/>
            <w:gridSpan w:val="2"/>
          </w:tcPr>
          <w:p>
            <w:pPr>
              <w:jc w:val="right"/>
              <w:ind w:right="620"/>
              <w:spacing w:after="0"/>
              <w:rPr>
                <w:sz w:val="20"/>
                <w:szCs w:val="20"/>
                <w:color w:val="auto"/>
              </w:rPr>
            </w:pPr>
            <w:r>
              <w:rPr>
                <w:rFonts w:ascii="Arial" w:cs="Arial" w:eastAsia="Arial" w:hAnsi="Arial"/>
                <w:sz w:val="20"/>
                <w:szCs w:val="20"/>
                <w:b w:val="1"/>
                <w:bCs w:val="1"/>
                <w:color w:val="auto"/>
              </w:rPr>
              <w:t>4–5 Years</w:t>
            </w:r>
          </w:p>
        </w:tc>
        <w:tc>
          <w:tcPr>
            <w:tcW w:w="1140" w:type="dxa"/>
            <w:vAlign w:val="bottom"/>
          </w:tcPr>
          <w:p>
            <w:pPr>
              <w:jc w:val="right"/>
              <w:ind w:right="335"/>
              <w:spacing w:after="0"/>
              <w:rPr>
                <w:sz w:val="20"/>
                <w:szCs w:val="20"/>
                <w:color w:val="auto"/>
              </w:rPr>
            </w:pPr>
            <w:r>
              <w:rPr>
                <w:rFonts w:ascii="Arial" w:cs="Arial" w:eastAsia="Arial" w:hAnsi="Arial"/>
                <w:sz w:val="20"/>
                <w:szCs w:val="20"/>
                <w:b w:val="1"/>
                <w:bCs w:val="1"/>
                <w:color w:val="auto"/>
                <w:w w:val="98"/>
              </w:rPr>
              <w:t>5 Years</w:t>
            </w:r>
          </w:p>
        </w:tc>
        <w:tc>
          <w:tcPr>
            <w:tcW w:w="1320" w:type="dxa"/>
            <w:vAlign w:val="bottom"/>
          </w:tcPr>
          <w:p>
            <w:pPr>
              <w:jc w:val="right"/>
              <w:ind w:right="377"/>
              <w:spacing w:after="0"/>
              <w:rPr>
                <w:sz w:val="20"/>
                <w:szCs w:val="20"/>
                <w:color w:val="auto"/>
              </w:rPr>
            </w:pPr>
            <w:r>
              <w:rPr>
                <w:rFonts w:ascii="Arial" w:cs="Arial" w:eastAsia="Arial" w:hAnsi="Arial"/>
                <w:sz w:val="20"/>
                <w:szCs w:val="20"/>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3340" w:type="dxa"/>
            <w:vAlign w:val="bottom"/>
            <w:tcBorders>
              <w:bottom w:val="single" w:sz="8" w:color="808080"/>
            </w:tcBorders>
            <w:gridSpan w:val="2"/>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320" w:type="dxa"/>
            <w:vAlign w:val="bottom"/>
            <w:shd w:val="clear" w:color="auto" w:fill="DDDDDD"/>
          </w:tcPr>
          <w:p>
            <w:pPr>
              <w:spacing w:after="0"/>
              <w:rPr>
                <w:sz w:val="20"/>
                <w:szCs w:val="20"/>
                <w:color w:val="auto"/>
              </w:rPr>
            </w:pPr>
            <w:r>
              <w:rPr>
                <w:rFonts w:ascii="Arial" w:cs="Arial" w:eastAsia="Arial" w:hAnsi="Arial"/>
                <w:sz w:val="16"/>
                <w:szCs w:val="16"/>
                <w:color w:val="auto"/>
              </w:rPr>
              <w:t>Long-term debt</w:t>
            </w:r>
          </w:p>
        </w:tc>
        <w:tc>
          <w:tcPr>
            <w:tcW w:w="1340" w:type="dxa"/>
            <w:vAlign w:val="bottom"/>
            <w:shd w:val="clear" w:color="auto" w:fill="DDDDDD"/>
          </w:tcPr>
          <w:p>
            <w:pPr>
              <w:jc w:val="right"/>
              <w:ind w:right="11"/>
              <w:spacing w:after="0"/>
              <w:rPr>
                <w:sz w:val="20"/>
                <w:szCs w:val="20"/>
                <w:color w:val="auto"/>
              </w:rPr>
            </w:pPr>
            <w:r>
              <w:rPr>
                <w:rFonts w:ascii="Arial" w:cs="Arial" w:eastAsia="Arial" w:hAnsi="Arial"/>
                <w:sz w:val="16"/>
                <w:szCs w:val="16"/>
                <w:color w:val="auto"/>
              </w:rPr>
              <w:t>$</w:t>
            </w:r>
          </w:p>
        </w:tc>
        <w:tc>
          <w:tcPr>
            <w:tcW w:w="860" w:type="dxa"/>
            <w:vAlign w:val="bottom"/>
            <w:shd w:val="clear" w:color="auto" w:fill="DDDDDD"/>
          </w:tcPr>
          <w:p>
            <w:pPr>
              <w:jc w:val="right"/>
              <w:ind w:right="397"/>
              <w:spacing w:after="0"/>
              <w:rPr>
                <w:sz w:val="20"/>
                <w:szCs w:val="20"/>
                <w:color w:val="auto"/>
              </w:rPr>
            </w:pPr>
            <w:r>
              <w:rPr>
                <w:rFonts w:ascii="Arial" w:cs="Arial" w:eastAsia="Arial" w:hAnsi="Arial"/>
                <w:sz w:val="16"/>
                <w:szCs w:val="16"/>
                <w:color w:val="auto"/>
              </w:rPr>
              <w:t>—</w:t>
            </w:r>
          </w:p>
        </w:tc>
        <w:tc>
          <w:tcPr>
            <w:tcW w:w="118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$ 300.2</w:t>
            </w:r>
          </w:p>
        </w:tc>
        <w:tc>
          <w:tcPr>
            <w:tcW w:w="1120" w:type="dxa"/>
            <w:vAlign w:val="bottom"/>
            <w:shd w:val="clear" w:color="auto" w:fill="DDDDDD"/>
          </w:tcPr>
          <w:p>
            <w:pPr>
              <w:jc w:val="center"/>
              <w:ind w:left="91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DDDDD"/>
          </w:tcPr>
          <w:p>
            <w:pPr>
              <w:jc w:val="right"/>
              <w:ind w:right="7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DDDDD"/>
          </w:tcPr>
          <w:p>
            <w:pPr>
              <w:jc w:val="right"/>
              <w:ind w:right="415"/>
              <w:spacing w:after="0"/>
              <w:rPr>
                <w:sz w:val="20"/>
                <w:szCs w:val="20"/>
                <w:color w:val="auto"/>
              </w:rPr>
            </w:pPr>
            <w:r>
              <w:rPr>
                <w:rFonts w:ascii="Arial" w:cs="Arial" w:eastAsia="Arial" w:hAnsi="Arial"/>
                <w:sz w:val="16"/>
                <w:szCs w:val="16"/>
                <w:color w:val="auto"/>
              </w:rPr>
              <w:t>$ 175.0</w:t>
            </w:r>
          </w:p>
        </w:tc>
        <w:tc>
          <w:tcPr>
            <w:tcW w:w="1320" w:type="dxa"/>
            <w:vAlign w:val="bottom"/>
            <w:shd w:val="clear" w:color="auto" w:fill="DDDDDD"/>
          </w:tcPr>
          <w:p>
            <w:pPr>
              <w:jc w:val="right"/>
              <w:ind w:right="357"/>
              <w:spacing w:after="0"/>
              <w:rPr>
                <w:sz w:val="20"/>
                <w:szCs w:val="20"/>
                <w:color w:val="auto"/>
              </w:rPr>
            </w:pPr>
            <w:r>
              <w:rPr>
                <w:rFonts w:ascii="Arial" w:cs="Arial" w:eastAsia="Arial" w:hAnsi="Arial"/>
                <w:sz w:val="16"/>
                <w:szCs w:val="16"/>
                <w:color w:val="auto"/>
              </w:rPr>
              <w:t>$ 475.2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Lines of credit and short-term debt</w:t>
            </w:r>
          </w:p>
        </w:tc>
        <w:tc>
          <w:tcPr>
            <w:tcW w:w="1340" w:type="dxa"/>
            <w:vAlign w:val="bottom"/>
          </w:tcPr>
          <w:p>
            <w:pPr>
              <w:spacing w:after="0"/>
              <w:rPr>
                <w:sz w:val="17"/>
                <w:szCs w:val="17"/>
                <w:color w:val="auto"/>
              </w:rPr>
            </w:pPr>
          </w:p>
        </w:tc>
        <w:tc>
          <w:tcPr>
            <w:tcW w:w="860" w:type="dxa"/>
            <w:vAlign w:val="bottom"/>
          </w:tcPr>
          <w:p>
            <w:pPr>
              <w:jc w:val="right"/>
              <w:ind w:right="397"/>
              <w:spacing w:after="0"/>
              <w:rPr>
                <w:sz w:val="20"/>
                <w:szCs w:val="20"/>
                <w:color w:val="auto"/>
              </w:rPr>
            </w:pPr>
            <w:r>
              <w:rPr>
                <w:rFonts w:ascii="Arial" w:cs="Arial" w:eastAsia="Arial" w:hAnsi="Arial"/>
                <w:sz w:val="16"/>
                <w:szCs w:val="16"/>
                <w:color w:val="auto"/>
                <w:w w:val="89"/>
              </w:rPr>
              <w:t>153.7</w:t>
            </w:r>
          </w:p>
        </w:tc>
        <w:tc>
          <w:tcPr>
            <w:tcW w:w="118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12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57"/>
              <w:spacing w:after="0"/>
              <w:rPr>
                <w:sz w:val="20"/>
                <w:szCs w:val="20"/>
                <w:color w:val="auto"/>
              </w:rPr>
            </w:pPr>
            <w:r>
              <w:rPr>
                <w:rFonts w:ascii="Arial" w:cs="Arial" w:eastAsia="Arial" w:hAnsi="Arial"/>
                <w:sz w:val="16"/>
                <w:szCs w:val="16"/>
                <w:color w:val="auto"/>
              </w:rPr>
              <w:t>153.7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shd w:val="clear" w:color="auto" w:fill="DDDDDD"/>
          </w:tcPr>
          <w:p>
            <w:pPr>
              <w:spacing w:after="0"/>
              <w:rPr>
                <w:sz w:val="20"/>
                <w:szCs w:val="20"/>
                <w:color w:val="auto"/>
              </w:rPr>
            </w:pPr>
            <w:r>
              <w:rPr>
                <w:rFonts w:ascii="Arial" w:cs="Arial" w:eastAsia="Arial" w:hAnsi="Arial"/>
                <w:sz w:val="16"/>
                <w:szCs w:val="16"/>
                <w:color w:val="auto"/>
              </w:rPr>
              <w:t>Operating leases</w:t>
            </w:r>
          </w:p>
        </w:tc>
        <w:tc>
          <w:tcPr>
            <w:tcW w:w="1340" w:type="dxa"/>
            <w:vAlign w:val="bottom"/>
            <w:shd w:val="clear" w:color="auto" w:fill="DDDDDD"/>
          </w:tcPr>
          <w:p>
            <w:pPr>
              <w:spacing w:after="0"/>
              <w:rPr>
                <w:sz w:val="20"/>
                <w:szCs w:val="20"/>
                <w:color w:val="auto"/>
              </w:rPr>
            </w:pPr>
          </w:p>
        </w:tc>
        <w:tc>
          <w:tcPr>
            <w:tcW w:w="860" w:type="dxa"/>
            <w:vAlign w:val="bottom"/>
            <w:shd w:val="clear" w:color="auto" w:fill="DDDDDD"/>
          </w:tcPr>
          <w:p>
            <w:pPr>
              <w:jc w:val="right"/>
              <w:ind w:right="397"/>
              <w:spacing w:after="0"/>
              <w:rPr>
                <w:sz w:val="20"/>
                <w:szCs w:val="20"/>
                <w:color w:val="auto"/>
              </w:rPr>
            </w:pPr>
            <w:r>
              <w:rPr>
                <w:rFonts w:ascii="Arial" w:cs="Arial" w:eastAsia="Arial" w:hAnsi="Arial"/>
                <w:sz w:val="16"/>
                <w:szCs w:val="16"/>
                <w:color w:val="auto"/>
              </w:rPr>
              <w:t>41.9</w:t>
            </w:r>
          </w:p>
        </w:tc>
        <w:tc>
          <w:tcPr>
            <w:tcW w:w="118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74.1</w:t>
            </w:r>
          </w:p>
        </w:tc>
        <w:tc>
          <w:tcPr>
            <w:tcW w:w="1120" w:type="dxa"/>
            <w:vAlign w:val="bottom"/>
            <w:shd w:val="clear" w:color="auto" w:fill="DDDDDD"/>
          </w:tcPr>
          <w:p>
            <w:pPr>
              <w:spacing w:after="0"/>
              <w:rPr>
                <w:sz w:val="20"/>
                <w:szCs w:val="20"/>
                <w:color w:val="auto"/>
              </w:rPr>
            </w:pPr>
          </w:p>
        </w:tc>
        <w:tc>
          <w:tcPr>
            <w:tcW w:w="1120" w:type="dxa"/>
            <w:vAlign w:val="bottom"/>
            <w:shd w:val="clear" w:color="auto" w:fill="DDDDDD"/>
          </w:tcPr>
          <w:p>
            <w:pPr>
              <w:jc w:val="right"/>
              <w:ind w:right="740"/>
              <w:spacing w:after="0"/>
              <w:rPr>
                <w:sz w:val="20"/>
                <w:szCs w:val="20"/>
                <w:color w:val="auto"/>
              </w:rPr>
            </w:pPr>
            <w:r>
              <w:rPr>
                <w:rFonts w:ascii="Arial" w:cs="Arial" w:eastAsia="Arial" w:hAnsi="Arial"/>
                <w:sz w:val="16"/>
                <w:szCs w:val="16"/>
                <w:color w:val="auto"/>
                <w:w w:val="89"/>
              </w:rPr>
              <w:t>22.1</w:t>
            </w:r>
          </w:p>
        </w:tc>
        <w:tc>
          <w:tcPr>
            <w:tcW w:w="1140" w:type="dxa"/>
            <w:vAlign w:val="bottom"/>
            <w:shd w:val="clear" w:color="auto" w:fill="DDDDDD"/>
          </w:tcPr>
          <w:p>
            <w:pPr>
              <w:jc w:val="right"/>
              <w:ind w:right="415"/>
              <w:spacing w:after="0"/>
              <w:rPr>
                <w:sz w:val="20"/>
                <w:szCs w:val="20"/>
                <w:color w:val="auto"/>
              </w:rPr>
            </w:pPr>
            <w:r>
              <w:rPr>
                <w:rFonts w:ascii="Arial" w:cs="Arial" w:eastAsia="Arial" w:hAnsi="Arial"/>
                <w:sz w:val="16"/>
                <w:szCs w:val="16"/>
                <w:color w:val="auto"/>
              </w:rPr>
              <w:t>154.5</w:t>
            </w:r>
          </w:p>
        </w:tc>
        <w:tc>
          <w:tcPr>
            <w:tcW w:w="1320" w:type="dxa"/>
            <w:vAlign w:val="bottom"/>
            <w:shd w:val="clear" w:color="auto" w:fill="DDDDDD"/>
          </w:tcPr>
          <w:p>
            <w:pPr>
              <w:jc w:val="right"/>
              <w:ind w:right="357"/>
              <w:spacing w:after="0"/>
              <w:rPr>
                <w:sz w:val="20"/>
                <w:szCs w:val="20"/>
                <w:color w:val="auto"/>
              </w:rPr>
            </w:pPr>
            <w:r>
              <w:rPr>
                <w:rFonts w:ascii="Arial" w:cs="Arial" w:eastAsia="Arial" w:hAnsi="Arial"/>
                <w:sz w:val="16"/>
                <w:szCs w:val="16"/>
                <w:color w:val="auto"/>
              </w:rPr>
              <w:t>292.6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Royalty advances</w:t>
            </w:r>
          </w:p>
        </w:tc>
        <w:tc>
          <w:tcPr>
            <w:tcW w:w="1340" w:type="dxa"/>
            <w:vAlign w:val="bottom"/>
          </w:tcPr>
          <w:p>
            <w:pPr>
              <w:spacing w:after="0"/>
              <w:rPr>
                <w:sz w:val="17"/>
                <w:szCs w:val="17"/>
                <w:color w:val="auto"/>
              </w:rPr>
            </w:pPr>
          </w:p>
        </w:tc>
        <w:tc>
          <w:tcPr>
            <w:tcW w:w="860" w:type="dxa"/>
            <w:vAlign w:val="bottom"/>
          </w:tcPr>
          <w:p>
            <w:pPr>
              <w:jc w:val="right"/>
              <w:ind w:right="397"/>
              <w:spacing w:after="0"/>
              <w:rPr>
                <w:sz w:val="20"/>
                <w:szCs w:val="20"/>
                <w:color w:val="auto"/>
              </w:rPr>
            </w:pPr>
            <w:r>
              <w:rPr>
                <w:rFonts w:ascii="Arial" w:cs="Arial" w:eastAsia="Arial" w:hAnsi="Arial"/>
                <w:sz w:val="16"/>
                <w:szCs w:val="16"/>
                <w:color w:val="auto"/>
              </w:rPr>
              <w:t>8.2</w:t>
            </w:r>
          </w:p>
        </w:tc>
        <w:tc>
          <w:tcPr>
            <w:tcW w:w="1180" w:type="dxa"/>
            <w:vAlign w:val="bottom"/>
          </w:tcPr>
          <w:p>
            <w:pPr>
              <w:jc w:val="right"/>
              <w:ind w:right="97"/>
              <w:spacing w:after="0"/>
              <w:rPr>
                <w:sz w:val="20"/>
                <w:szCs w:val="20"/>
                <w:color w:val="auto"/>
              </w:rPr>
            </w:pPr>
            <w:r>
              <w:rPr>
                <w:rFonts w:ascii="Arial" w:cs="Arial" w:eastAsia="Arial" w:hAnsi="Arial"/>
                <w:sz w:val="16"/>
                <w:szCs w:val="16"/>
                <w:color w:val="auto"/>
              </w:rPr>
              <w:t>2.4</w:t>
            </w:r>
          </w:p>
        </w:tc>
        <w:tc>
          <w:tcPr>
            <w:tcW w:w="1120" w:type="dxa"/>
            <w:vAlign w:val="bottom"/>
          </w:tcPr>
          <w:p>
            <w:pPr>
              <w:spacing w:after="0"/>
              <w:rPr>
                <w:sz w:val="17"/>
                <w:szCs w:val="17"/>
                <w:color w:val="auto"/>
              </w:rPr>
            </w:pPr>
          </w:p>
        </w:tc>
        <w:tc>
          <w:tcPr>
            <w:tcW w:w="112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57"/>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shd w:val="clear" w:color="auto" w:fill="DDDDDD"/>
          </w:tcPr>
          <w:p>
            <w:pPr>
              <w:spacing w:after="0"/>
              <w:rPr>
                <w:sz w:val="20"/>
                <w:szCs w:val="20"/>
                <w:color w:val="auto"/>
              </w:rPr>
            </w:pPr>
            <w:r>
              <w:rPr>
                <w:rFonts w:ascii="Arial" w:cs="Arial" w:eastAsia="Arial" w:hAnsi="Arial"/>
                <w:sz w:val="16"/>
                <w:szCs w:val="16"/>
                <w:color w:val="auto"/>
              </w:rPr>
              <w:t>Other obligations</w:t>
            </w:r>
          </w:p>
        </w:tc>
        <w:tc>
          <w:tcPr>
            <w:tcW w:w="1340" w:type="dxa"/>
            <w:vAlign w:val="bottom"/>
            <w:shd w:val="clear" w:color="auto" w:fill="DDDDDD"/>
          </w:tcPr>
          <w:p>
            <w:pPr>
              <w:spacing w:after="0"/>
              <w:rPr>
                <w:sz w:val="20"/>
                <w:szCs w:val="20"/>
                <w:color w:val="auto"/>
              </w:rPr>
            </w:pPr>
          </w:p>
        </w:tc>
        <w:tc>
          <w:tcPr>
            <w:tcW w:w="860" w:type="dxa"/>
            <w:vAlign w:val="bottom"/>
            <w:shd w:val="clear" w:color="auto" w:fill="DDDDDD"/>
          </w:tcPr>
          <w:p>
            <w:pPr>
              <w:jc w:val="right"/>
              <w:ind w:right="397"/>
              <w:spacing w:after="0"/>
              <w:rPr>
                <w:sz w:val="20"/>
                <w:szCs w:val="20"/>
                <w:color w:val="auto"/>
              </w:rPr>
            </w:pPr>
            <w:r>
              <w:rPr>
                <w:rFonts w:ascii="Arial" w:cs="Arial" w:eastAsia="Arial" w:hAnsi="Arial"/>
                <w:sz w:val="16"/>
                <w:szCs w:val="16"/>
                <w:color w:val="auto"/>
              </w:rPr>
              <w:t>5.1</w:t>
            </w:r>
          </w:p>
        </w:tc>
        <w:tc>
          <w:tcPr>
            <w:tcW w:w="118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w:t>
            </w:r>
          </w:p>
        </w:tc>
        <w:tc>
          <w:tcPr>
            <w:tcW w:w="1120" w:type="dxa"/>
            <w:vAlign w:val="bottom"/>
            <w:shd w:val="clear" w:color="auto" w:fill="DDDDDD"/>
          </w:tcPr>
          <w:p>
            <w:pPr>
              <w:spacing w:after="0"/>
              <w:rPr>
                <w:sz w:val="20"/>
                <w:szCs w:val="20"/>
                <w:color w:val="auto"/>
              </w:rPr>
            </w:pPr>
          </w:p>
        </w:tc>
        <w:tc>
          <w:tcPr>
            <w:tcW w:w="1120" w:type="dxa"/>
            <w:vAlign w:val="bottom"/>
            <w:shd w:val="clear" w:color="auto" w:fill="DDDDDD"/>
          </w:tcPr>
          <w:p>
            <w:pPr>
              <w:jc w:val="right"/>
              <w:ind w:right="7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DDDDD"/>
          </w:tcPr>
          <w:p>
            <w:pPr>
              <w:jc w:val="right"/>
              <w:ind w:right="415"/>
              <w:spacing w:after="0"/>
              <w:rPr>
                <w:sz w:val="20"/>
                <w:szCs w:val="20"/>
                <w:color w:val="auto"/>
              </w:rPr>
            </w:pPr>
            <w:r>
              <w:rPr>
                <w:rFonts w:ascii="Arial" w:cs="Arial" w:eastAsia="Arial" w:hAnsi="Arial"/>
                <w:sz w:val="16"/>
                <w:szCs w:val="16"/>
                <w:color w:val="auto"/>
              </w:rPr>
              <w:t>—</w:t>
            </w:r>
          </w:p>
        </w:tc>
        <w:tc>
          <w:tcPr>
            <w:tcW w:w="1320" w:type="dxa"/>
            <w:vAlign w:val="bottom"/>
            <w:shd w:val="clear" w:color="auto" w:fill="DDDDDD"/>
          </w:tcPr>
          <w:p>
            <w:pPr>
              <w:jc w:val="right"/>
              <w:ind w:right="357"/>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7"/>
              <w:spacing w:after="0"/>
              <w:rPr>
                <w:sz w:val="20"/>
                <w:szCs w:val="20"/>
                <w:color w:val="auto"/>
              </w:rPr>
            </w:pPr>
            <w:r>
              <w:rPr>
                <w:rFonts w:ascii="Arial" w:cs="Arial" w:eastAsia="Arial" w:hAnsi="Arial"/>
                <w:sz w:val="16"/>
                <w:szCs w:val="16"/>
                <w:b w:val="1"/>
                <w:bCs w:val="1"/>
                <w:color w:val="auto"/>
                <w:w w:val="89"/>
              </w:rPr>
              <w:t>208.9</w:t>
            </w:r>
          </w:p>
        </w:tc>
        <w:tc>
          <w:tcPr>
            <w:tcW w:w="1180" w:type="dxa"/>
            <w:vAlign w:val="bottom"/>
          </w:tcPr>
          <w:p>
            <w:pPr>
              <w:jc w:val="right"/>
              <w:ind w:right="97"/>
              <w:spacing w:after="0"/>
              <w:rPr>
                <w:sz w:val="20"/>
                <w:szCs w:val="20"/>
                <w:color w:val="auto"/>
              </w:rPr>
            </w:pPr>
            <w:r>
              <w:rPr>
                <w:rFonts w:ascii="Arial" w:cs="Arial" w:eastAsia="Arial" w:hAnsi="Arial"/>
                <w:sz w:val="16"/>
                <w:szCs w:val="16"/>
                <w:b w:val="1"/>
                <w:bCs w:val="1"/>
                <w:color w:val="auto"/>
              </w:rPr>
              <w:t>$ 376.7</w:t>
            </w:r>
          </w:p>
        </w:tc>
        <w:tc>
          <w:tcPr>
            <w:tcW w:w="1120" w:type="dxa"/>
            <w:vAlign w:val="bottom"/>
          </w:tcPr>
          <w:p>
            <w:pPr>
              <w:jc w:val="center"/>
              <w:ind w:left="91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740"/>
              <w:spacing w:after="0"/>
              <w:rPr>
                <w:sz w:val="20"/>
                <w:szCs w:val="20"/>
                <w:color w:val="auto"/>
              </w:rPr>
            </w:pPr>
            <w:r>
              <w:rPr>
                <w:rFonts w:ascii="Arial" w:cs="Arial" w:eastAsia="Arial" w:hAnsi="Arial"/>
                <w:sz w:val="16"/>
                <w:szCs w:val="16"/>
                <w:b w:val="1"/>
                <w:bCs w:val="1"/>
                <w:color w:val="auto"/>
                <w:w w:val="89"/>
              </w:rPr>
              <w:t>22.1</w:t>
            </w:r>
          </w:p>
        </w:tc>
        <w:tc>
          <w:tcPr>
            <w:tcW w:w="1140" w:type="dxa"/>
            <w:vAlign w:val="bottom"/>
          </w:tcPr>
          <w:p>
            <w:pPr>
              <w:jc w:val="right"/>
              <w:ind w:right="415"/>
              <w:spacing w:after="0"/>
              <w:rPr>
                <w:sz w:val="20"/>
                <w:szCs w:val="20"/>
                <w:color w:val="auto"/>
              </w:rPr>
            </w:pPr>
            <w:r>
              <w:rPr>
                <w:rFonts w:ascii="Arial" w:cs="Arial" w:eastAsia="Arial" w:hAnsi="Arial"/>
                <w:sz w:val="16"/>
                <w:szCs w:val="16"/>
                <w:b w:val="1"/>
                <w:bCs w:val="1"/>
                <w:color w:val="auto"/>
              </w:rPr>
              <w:t>$ 329.5</w:t>
            </w:r>
          </w:p>
        </w:tc>
        <w:tc>
          <w:tcPr>
            <w:tcW w:w="1320" w:type="dxa"/>
            <w:vAlign w:val="bottom"/>
          </w:tcPr>
          <w:p>
            <w:pPr>
              <w:jc w:val="right"/>
              <w:ind w:right="357"/>
              <w:spacing w:after="0"/>
              <w:rPr>
                <w:sz w:val="20"/>
                <w:szCs w:val="20"/>
                <w:color w:val="auto"/>
              </w:rPr>
            </w:pPr>
            <w:r>
              <w:rPr>
                <w:rFonts w:ascii="Arial" w:cs="Arial" w:eastAsia="Arial" w:hAnsi="Arial"/>
                <w:sz w:val="16"/>
                <w:szCs w:val="16"/>
                <w:b w:val="1"/>
                <w:bCs w:val="1"/>
                <w:color w:val="auto"/>
              </w:rPr>
              <w:t>$ 937.2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332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On April 4, 2003, Scholastic Corporation issued $175 million of 5% Notes, which are senior unsecured obligations that mature on April 15, 2013. Interest on the 5% Notes is payable on April 15 and October 15 of each year, beginning October 15, 2003.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 For a description of the use of proceeds from the sale of the 5% Notes, see “Liquidity and Capital Resources.”</w:t>
      </w:r>
    </w:p>
    <w:p>
      <w:pPr>
        <w:spacing w:after="0" w:line="139"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On June 22, 2000, Scholastic Inc. established a credit facility to finance $350.0 million of the $400.0 million Grolier purchase price (the “Grolier Facility”). A portion of the proceeds from the sale of the 5% Notes was used to repay all outstanding amounts under this facility, which was then cancelled effective April 10, 2003. At May 31, 2002, $50.0 million was outstanding under the Grolier Facility at a weighted average interest rate of 2.4%.</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On February 5, 2002, Scholastic Corporation entered into an interest rate swap agreement, designated as a fair value hedge as defined under SFAS No. 133, “Accounting for Derivative Instruments and Hedging Activities,” whereby the Company would receive a fixed interest rate payment based on a notional amount and pay a variable interest rate to the counterparty, which is reset semi-annually based on six-month LIBOR (as defined). This agreement was entered into in the notional amount of $100.0 million to exchange the fixed interest rate payments on a portion of Scholastic Corporation’s $300.0 million in principal amount of 5.75% Notes due 2007 for variable interest rate payments. On May 28, 2003, $50.0 million of the initial notional amount was settled, for which the Company received a payment of $5.4 million from the counterparty.</w:t>
      </w:r>
    </w:p>
    <w:p>
      <w:pPr>
        <w:spacing w:after="0" w:line="157"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Scholastic Corporation and Scholastic Inc. are joint and several borrowers under an amended and restated loan agreement with certain banks, effective August 11, 1999 and amended June 22, 2000 (the “Loan Agreement”). The Loan Agreement, which expires on August 11, 2004, provides for aggregate borrowings of up to $170.0 million (with a right in certain circumstances to increase borrowings to $200.0 million), including the issuance of up to $10.0 million in letters of credit. Interest under this facility is either at the prime rate or 0.325% to 0.90% over LIBOR (as defined). There is a facility fee ranging from 0.10% to 0.30% and a utilization fee ranging from 0.05% to 0.15% if borrowings exceed 33% of the total facility. The amounts charged vary based upon the Company’s credit rating. The interest rate, facility fee and utilization fee (when applicable) as of May 31, 2003 were 0.475% over LIBOR, 0.150% and 0.075%, respectively. The Loan Agreement contains certain financial covenants related to debt and interest coverage ratios (as defined) and limits dividends and other distributions. At May 31, 2003 and 2002, $0 million and $50.0 million, respectively, were outstanding under the Loan Agreement. The weighted average interest rate at May 31, 2002 was 2.7%.</w:t>
      </w:r>
    </w:p>
    <w:p>
      <w:pPr>
        <w:spacing w:after="0" w:line="162" w:lineRule="exact"/>
        <w:rPr>
          <w:sz w:val="20"/>
          <w:szCs w:val="20"/>
          <w:color w:val="auto"/>
        </w:rPr>
      </w:pPr>
    </w:p>
    <w:p>
      <w:pPr>
        <w:ind w:right="160"/>
        <w:spacing w:after="0" w:line="309" w:lineRule="auto"/>
        <w:rPr>
          <w:sz w:val="20"/>
          <w:szCs w:val="20"/>
          <w:color w:val="auto"/>
        </w:rPr>
      </w:pPr>
      <w:r>
        <w:rPr>
          <w:rFonts w:ascii="Arial" w:cs="Arial" w:eastAsia="Arial" w:hAnsi="Arial"/>
          <w:sz w:val="14"/>
          <w:szCs w:val="14"/>
          <w:color w:val="auto"/>
        </w:rPr>
        <w:t>Scholastic Corporation and Scholastic Inc. are joint and several borrowers under a Revolving Loan Agreement with a bank, effective November 10, 1999 and amended June 22, 2000 (the “Revolver”). The Revolver provides for unsecured revolving credit of up to $40.0 million and expires on August 11, 2004. Interest under this facility is either at the prime rate minus 1%, or 0.325% to 0.90% over LIBOR (as defined). There is a facility fee ranging from 0.10% to 0.30%. The amounts charged vary based upon the Company’s credit rating. The interest rate and facility fee as of May 31, 2003 were 0.475% over LIBOR and 0.150%, respectively. The Revolver has certain financial covenants related to debt and interest coverage ratios (as defined) and limits dividends and other distributions. At May 31, 2003 and 2002, there were no borrowings outstanding under the Revolver.</w:t>
      </w:r>
    </w:p>
    <w:p>
      <w:pPr>
        <w:spacing w:after="0" w:line="145" w:lineRule="exact"/>
        <w:rPr>
          <w:sz w:val="20"/>
          <w:szCs w:val="20"/>
          <w:color w:val="auto"/>
        </w:rPr>
      </w:pPr>
    </w:p>
    <w:p>
      <w:pPr>
        <w:ind w:right="140"/>
        <w:spacing w:after="0" w:line="325" w:lineRule="auto"/>
        <w:rPr>
          <w:sz w:val="20"/>
          <w:szCs w:val="20"/>
          <w:color w:val="auto"/>
        </w:rPr>
      </w:pPr>
      <w:r>
        <w:rPr>
          <w:rFonts w:ascii="Arial" w:cs="Arial" w:eastAsia="Arial" w:hAnsi="Arial"/>
          <w:sz w:val="14"/>
          <w:szCs w:val="14"/>
          <w:color w:val="auto"/>
        </w:rPr>
        <w:t>In addition, unsecured lines of credit available in local currencies to Scholastic Corporation’s international subsidiaries were equivalent to $57.8 million at May 31, 2003, as compared to $53.5 million at May 31, 2002. These lines are used primarily to fund local working capital needs. At May 31, 2003, borrowings equivalent to $28.5 million were outstanding under these lines of credit, as compared to $23.3 million at May 31, 2002, at weighted average interest rates of 6.9% and 5.4% in fiscal 2003 and 2002,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76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right="120"/>
        <w:spacing w:after="0" w:line="358" w:lineRule="auto"/>
        <w:rPr>
          <w:sz w:val="20"/>
          <w:szCs w:val="20"/>
          <w:color w:val="auto"/>
        </w:rPr>
      </w:pPr>
      <w:r>
        <w:rPr>
          <w:rFonts w:ascii="Arial" w:cs="Arial" w:eastAsia="Arial" w:hAnsi="Arial"/>
          <w:sz w:val="14"/>
          <w:szCs w:val="14"/>
          <w:color w:val="auto"/>
        </w:rPr>
        <w:t>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opportunities and prospects.</w:t>
      </w:r>
    </w:p>
    <w:p>
      <w:pPr>
        <w:spacing w:after="0" w:line="110" w:lineRule="exact"/>
        <w:rPr>
          <w:sz w:val="20"/>
          <w:szCs w:val="20"/>
          <w:color w:val="auto"/>
        </w:rPr>
      </w:pPr>
    </w:p>
    <w:p>
      <w:pPr>
        <w:jc w:val="both"/>
        <w:ind w:right="60"/>
        <w:spacing w:after="0" w:line="325" w:lineRule="auto"/>
        <w:rPr>
          <w:sz w:val="20"/>
          <w:szCs w:val="20"/>
          <w:color w:val="auto"/>
        </w:rPr>
      </w:pPr>
      <w:r>
        <w:rPr>
          <w:rFonts w:ascii="Arial" w:cs="Arial" w:eastAsia="Arial" w:hAnsi="Arial"/>
          <w:sz w:val="14"/>
          <w:szCs w:val="14"/>
          <w:color w:val="auto"/>
        </w:rPr>
        <w:t>During fiscal 2002, the Company completed the acquisitions of the stock or assets of the following companies: Troll Book Fairs LLC, a national school-based book fair operator; Tom Snyder Productions, Inc., a developer and publisher of interactive educational software and producer of television programming; Sandvik Publishing Ltd., d/b/a Baby’s First Book Club, a direct marketer of age-appropriate books and toys for young children; Klutz, a publisher and creator of “books plus” products for children; Teacher’s Friend</w:t>
      </w:r>
    </w:p>
    <w:p>
      <w:pPr>
        <w:sectPr>
          <w:pgSz w:w="11900" w:h="16838" w:orient="portrait"/>
          <w:cols w:equalWidth="0" w:num="1">
            <w:col w:w="11440"/>
          </w:cols>
          <w:pgMar w:left="240" w:top="131" w:right="219" w:bottom="0" w:gutter="0" w:footer="0" w:header="0"/>
        </w:sectPr>
      </w:pPr>
    </w:p>
    <w:bookmarkStart w:id="15" w:name="page16"/>
    <w:bookmarkEnd w:id="15"/>
    <w:p>
      <w:pPr>
        <w:ind w:left="2" w:right="300"/>
        <w:spacing w:after="0" w:line="283" w:lineRule="auto"/>
        <w:rPr>
          <w:sz w:val="20"/>
          <w:szCs w:val="20"/>
          <w:color w:val="auto"/>
        </w:rPr>
      </w:pPr>
      <w:r>
        <w:rPr>
          <w:rFonts w:ascii="Arial" w:cs="Arial" w:eastAsia="Arial" w:hAnsi="Arial"/>
          <w:sz w:val="16"/>
          <w:szCs w:val="16"/>
          <w:color w:val="auto"/>
        </w:rPr>
        <w:t>Publications, Inc., a producer and marketer of materials that teachers use to decorate their classrooms; and Nelson B. Heller &amp; Associates, a publisher of business-to-business newsletters. The aggregate purchase price for these acquisitions, net of cash received, was $66.7 million.</w:t>
      </w:r>
    </w:p>
    <w:p>
      <w:pPr>
        <w:spacing w:after="0" w:line="15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NEW ACCOUNTING PRONOUNCEMENTS</w:t>
      </w:r>
    </w:p>
    <w:p>
      <w:pPr>
        <w:spacing w:after="0" w:line="22" w:lineRule="exact"/>
        <w:rPr>
          <w:sz w:val="20"/>
          <w:szCs w:val="20"/>
          <w:color w:val="auto"/>
        </w:rPr>
      </w:pPr>
    </w:p>
    <w:p>
      <w:pPr>
        <w:ind w:left="2" w:right="120"/>
        <w:spacing w:after="0" w:line="259" w:lineRule="auto"/>
        <w:rPr>
          <w:sz w:val="20"/>
          <w:szCs w:val="20"/>
          <w:color w:val="auto"/>
        </w:rPr>
      </w:pPr>
      <w:r>
        <w:rPr>
          <w:rFonts w:ascii="Arial" w:cs="Arial" w:eastAsia="Arial" w:hAnsi="Arial"/>
          <w:sz w:val="16"/>
          <w:szCs w:val="16"/>
          <w:color w:val="auto"/>
        </w:rPr>
        <w:t>In June 2001, the Financial Accounting Standards Board (“FASB”) issued SFAS No. 143, “Accounting for Asset Retirement Obligations.” This statement addresses financial accounting and reporting for obligations associated with the retirement of tangible long-lived assets and the associated asset retirement costs. The Company is required to adopt this statement by the first quarter of fiscal 2004. The Company does not expect that the adoption of SFAS No. 143 will have a material impact on its financial position, results of operations or cash flows.</w:t>
      </w:r>
    </w:p>
    <w:p>
      <w:pPr>
        <w:spacing w:after="0" w:line="176" w:lineRule="exact"/>
        <w:rPr>
          <w:sz w:val="20"/>
          <w:szCs w:val="20"/>
          <w:color w:val="auto"/>
        </w:rPr>
      </w:pPr>
    </w:p>
    <w:p>
      <w:pPr>
        <w:ind w:left="2"/>
        <w:spacing w:after="0" w:line="288" w:lineRule="auto"/>
        <w:rPr>
          <w:sz w:val="20"/>
          <w:szCs w:val="20"/>
          <w:color w:val="auto"/>
        </w:rPr>
      </w:pPr>
      <w:r>
        <w:rPr>
          <w:rFonts w:ascii="Arial" w:cs="Arial" w:eastAsia="Arial" w:hAnsi="Arial"/>
          <w:sz w:val="15"/>
          <w:szCs w:val="15"/>
          <w:color w:val="auto"/>
        </w:rPr>
        <w:t>In January 2003, the FASB issued FASB Interpretation No. 46, “Consolidation of Variable Interest Entities” (“FIN 46”), which requires variable interest entities to be consolidated by the primary beneficiary of the entity if certain criteria are met. FIN 46 is effective immediately for all new variable interest entities created after January 31, 2003. For variable interest entities created or acquired before February 1, 2003, the provisions of FIN 46 become effective for the Company on September 1, 2003. The Company does not expect that the adoption of FIN 46 will have a material impact on its financial position, results of operations or cash flows.</w:t>
      </w:r>
    </w:p>
    <w:p>
      <w:pPr>
        <w:spacing w:after="0" w:line="156" w:lineRule="exact"/>
        <w:rPr>
          <w:sz w:val="20"/>
          <w:szCs w:val="20"/>
          <w:color w:val="auto"/>
        </w:rPr>
      </w:pPr>
    </w:p>
    <w:p>
      <w:pPr>
        <w:ind w:left="2" w:right="80"/>
        <w:spacing w:after="0" w:line="262"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including certain derivative instruments embedded in other contracts (collectively referred to as derivatives) and for hedging activities under SFAS No. 133, “Accounting for Derivative Instruments and Hedging Activities.” Except as noted below, the Company is required to adopt this statement by the first quarter of fiscal 2004. Certain provisions of this statement relating to SFAS No. 133 implementation issues that have been effective for prior fiscal quarters will continue to be applied in accordance with their respective effective dates. The Company does not expect that the adoption of SFAS No. 149 will have a material impact on its financial position, results of operations or cash flows.</w:t>
      </w:r>
    </w:p>
    <w:p>
      <w:pPr>
        <w:spacing w:after="0" w:line="173" w:lineRule="exact"/>
        <w:rPr>
          <w:sz w:val="20"/>
          <w:szCs w:val="20"/>
          <w:color w:val="auto"/>
        </w:rPr>
      </w:pPr>
    </w:p>
    <w:p>
      <w:pPr>
        <w:jc w:val="both"/>
        <w:ind w:left="2" w:right="240"/>
        <w:spacing w:after="0" w:line="265"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 150 establishes standards for classification and measurement of certain financial instruments with characteristics of both liabilities and equity. SFAS No. 150 is effective for the Company on September 1, 2003. The Company does not expect that the adoption of SFAS No. 150 will have a material impact on the Company’s financial position, results of operations or cash flows.</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FACTORS THAT MAY AFFECT FUTURE RESULTS AND FINANCIAL CONDITION</w:t>
      </w:r>
    </w:p>
    <w:p>
      <w:pPr>
        <w:spacing w:after="0" w:line="22" w:lineRule="exact"/>
        <w:rPr>
          <w:sz w:val="20"/>
          <w:szCs w:val="20"/>
          <w:color w:val="auto"/>
        </w:rPr>
      </w:pPr>
    </w:p>
    <w:p>
      <w:pPr>
        <w:ind w:left="2" w:right="40"/>
        <w:spacing w:after="0" w:line="280" w:lineRule="auto"/>
        <w:rPr>
          <w:sz w:val="20"/>
          <w:szCs w:val="20"/>
          <w:color w:val="auto"/>
        </w:rPr>
      </w:pPr>
      <w:r>
        <w:rPr>
          <w:rFonts w:ascii="Arial" w:cs="Arial" w:eastAsia="Arial" w:hAnsi="Arial"/>
          <w:sz w:val="15"/>
          <w:szCs w:val="15"/>
          <w:color w:val="auto"/>
        </w:rPr>
        <w:t>This Annual Report on Form 10-K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revenues, operating margins, working capital, liquidity, capital needs, interest costs and income, are subject to certain risks and uncertainties that could cause actual results to differ materially from those indicated in the forward-looking statements, due to factors including the following and other risks and factors identified from time to time in the Company’s filings with the SEC:</w:t>
      </w:r>
    </w:p>
    <w:p>
      <w:pPr>
        <w:spacing w:after="0" w:line="161" w:lineRule="exact"/>
        <w:rPr>
          <w:sz w:val="20"/>
          <w:szCs w:val="20"/>
          <w:color w:val="auto"/>
        </w:rPr>
      </w:pPr>
    </w:p>
    <w:p>
      <w:pPr>
        <w:ind w:left="302" w:hanging="302"/>
        <w:spacing w:after="0"/>
        <w:tabs>
          <w:tab w:leader="none" w:pos="30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Company’s ability to continue to produce successful educational, trade, entertainment and software products;</w:t>
      </w:r>
    </w:p>
    <w:p>
      <w:pPr>
        <w:spacing w:after="0" w:line="37" w:lineRule="exact"/>
        <w:rPr>
          <w:rFonts w:ascii="Arial" w:cs="Arial" w:eastAsia="Arial" w:hAnsi="Arial"/>
          <w:sz w:val="16"/>
          <w:szCs w:val="16"/>
          <w:b w:val="1"/>
          <w:bCs w:val="1"/>
          <w:color w:val="auto"/>
        </w:rPr>
      </w:pPr>
    </w:p>
    <w:p>
      <w:pPr>
        <w:ind w:left="302" w:hanging="302"/>
        <w:spacing w:after="0"/>
        <w:tabs>
          <w:tab w:leader="none" w:pos="30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ability of the Company’s school-based book clubs and fairs to continue to successfully meet market needs;</w:t>
      </w:r>
    </w:p>
    <w:p>
      <w:pPr>
        <w:spacing w:after="0" w:line="37" w:lineRule="exact"/>
        <w:rPr>
          <w:rFonts w:ascii="Arial" w:cs="Arial" w:eastAsia="Arial" w:hAnsi="Arial"/>
          <w:sz w:val="16"/>
          <w:szCs w:val="16"/>
          <w:b w:val="1"/>
          <w:bCs w:val="1"/>
          <w:color w:val="auto"/>
        </w:rPr>
      </w:pPr>
    </w:p>
    <w:p>
      <w:pPr>
        <w:ind w:left="302" w:hanging="302"/>
        <w:spacing w:after="0"/>
        <w:tabs>
          <w:tab w:leader="none" w:pos="30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Company’s ability to maintain relationships with its creative talent;</w:t>
      </w:r>
    </w:p>
    <w:p>
      <w:pPr>
        <w:spacing w:after="0" w:line="37" w:lineRule="exact"/>
        <w:rPr>
          <w:rFonts w:ascii="Arial" w:cs="Arial" w:eastAsia="Arial" w:hAnsi="Arial"/>
          <w:sz w:val="16"/>
          <w:szCs w:val="16"/>
          <w:b w:val="1"/>
          <w:bCs w:val="1"/>
          <w:color w:val="auto"/>
        </w:rPr>
      </w:pPr>
    </w:p>
    <w:p>
      <w:pPr>
        <w:ind w:left="302" w:hanging="302"/>
        <w:spacing w:after="0"/>
        <w:tabs>
          <w:tab w:leader="none" w:pos="30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Changes in purchasing patterns in and the strength of educational, trade, entertainment and software markets;</w:t>
      </w:r>
    </w:p>
    <w:p>
      <w:pPr>
        <w:spacing w:after="0" w:line="37" w:lineRule="exact"/>
        <w:rPr>
          <w:rFonts w:ascii="Arial" w:cs="Arial" w:eastAsia="Arial" w:hAnsi="Arial"/>
          <w:sz w:val="16"/>
          <w:szCs w:val="16"/>
          <w:b w:val="1"/>
          <w:bCs w:val="1"/>
          <w:color w:val="auto"/>
        </w:rPr>
      </w:pPr>
    </w:p>
    <w:p>
      <w:pPr>
        <w:ind w:left="302" w:hanging="302"/>
        <w:spacing w:after="0"/>
        <w:tabs>
          <w:tab w:leader="none" w:pos="30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Competition from other educational and trade publishers and media, entertainment and Internet companies;</w:t>
      </w:r>
    </w:p>
    <w:p>
      <w:pPr>
        <w:spacing w:after="0" w:line="234"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2" w:hanging="282"/>
        <w:spacing w:after="0"/>
        <w:tabs>
          <w:tab w:leader="none" w:pos="282"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Significant changes in the publishing industry, especially relating to the distribution and sale of books;</w:t>
      </w:r>
    </w:p>
    <w:p>
      <w:pPr>
        <w:spacing w:after="0" w:line="37" w:lineRule="exact"/>
        <w:rPr>
          <w:rFonts w:ascii="Arial" w:cs="Arial" w:eastAsia="Arial" w:hAnsi="Arial"/>
          <w:sz w:val="16"/>
          <w:szCs w:val="16"/>
          <w:b w:val="1"/>
          <w:bCs w:val="1"/>
          <w:color w:val="auto"/>
        </w:rPr>
      </w:pPr>
    </w:p>
    <w:p>
      <w:pPr>
        <w:ind w:left="282" w:hanging="282"/>
        <w:spacing w:after="0"/>
        <w:tabs>
          <w:tab w:leader="none" w:pos="282"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effect on the Company of volatility in the price of paper and periodic increases in postage rates;</w:t>
      </w:r>
    </w:p>
    <w:p>
      <w:pPr>
        <w:spacing w:after="0" w:line="37" w:lineRule="exact"/>
        <w:rPr>
          <w:rFonts w:ascii="Arial" w:cs="Arial" w:eastAsia="Arial" w:hAnsi="Arial"/>
          <w:sz w:val="16"/>
          <w:szCs w:val="16"/>
          <w:b w:val="1"/>
          <w:bCs w:val="1"/>
          <w:color w:val="auto"/>
        </w:rPr>
      </w:pPr>
    </w:p>
    <w:p>
      <w:pPr>
        <w:ind w:left="282" w:hanging="282"/>
        <w:spacing w:after="0"/>
        <w:tabs>
          <w:tab w:leader="none" w:pos="282"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Company’s ability to effectively use the Internet to support its existing businesses and to launch successful new Internet initiatives;</w:t>
      </w:r>
    </w:p>
    <w:p>
      <w:pPr>
        <w:spacing w:after="0" w:line="37" w:lineRule="exact"/>
        <w:rPr>
          <w:rFonts w:ascii="Arial" w:cs="Arial" w:eastAsia="Arial" w:hAnsi="Arial"/>
          <w:sz w:val="16"/>
          <w:szCs w:val="16"/>
          <w:b w:val="1"/>
          <w:bCs w:val="1"/>
          <w:color w:val="auto"/>
        </w:rPr>
      </w:pPr>
    </w:p>
    <w:p>
      <w:pPr>
        <w:ind w:left="282" w:hanging="282"/>
        <w:spacing w:after="0"/>
        <w:tabs>
          <w:tab w:leader="none" w:pos="282"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impact of governmental initiatives, including the expansion of “</w:t>
      </w:r>
      <w:r>
        <w:rPr>
          <w:rFonts w:ascii="Arial" w:cs="Arial" w:eastAsia="Arial" w:hAnsi="Arial"/>
          <w:sz w:val="16"/>
          <w:szCs w:val="16"/>
          <w:i w:val="1"/>
          <w:iCs w:val="1"/>
          <w:color w:val="auto"/>
        </w:rPr>
        <w:t>Do Not Call”</w:t>
      </w:r>
      <w:r>
        <w:rPr>
          <w:rFonts w:ascii="Arial" w:cs="Arial" w:eastAsia="Arial" w:hAnsi="Arial"/>
          <w:sz w:val="16"/>
          <w:szCs w:val="16"/>
          <w:color w:val="auto"/>
        </w:rPr>
        <w:t xml:space="preserve"> lists;</w:t>
      </w:r>
    </w:p>
    <w:p>
      <w:pPr>
        <w:spacing w:after="0" w:line="37" w:lineRule="exact"/>
        <w:rPr>
          <w:rFonts w:ascii="Arial" w:cs="Arial" w:eastAsia="Arial" w:hAnsi="Arial"/>
          <w:sz w:val="16"/>
          <w:szCs w:val="16"/>
          <w:b w:val="1"/>
          <w:bCs w:val="1"/>
          <w:color w:val="auto"/>
        </w:rPr>
      </w:pPr>
    </w:p>
    <w:p>
      <w:pPr>
        <w:ind w:left="282" w:hanging="282"/>
        <w:spacing w:after="0"/>
        <w:tabs>
          <w:tab w:leader="none" w:pos="282"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general risks attendant to the conduct of business in foreign countries;</w:t>
      </w:r>
    </w:p>
    <w:p>
      <w:pPr>
        <w:spacing w:after="0" w:line="37" w:lineRule="exact"/>
        <w:rPr>
          <w:rFonts w:ascii="Arial" w:cs="Arial" w:eastAsia="Arial" w:hAnsi="Arial"/>
          <w:sz w:val="16"/>
          <w:szCs w:val="16"/>
          <w:b w:val="1"/>
          <w:bCs w:val="1"/>
          <w:color w:val="auto"/>
        </w:rPr>
      </w:pPr>
    </w:p>
    <w:p>
      <w:pPr>
        <w:ind w:left="282" w:hanging="282"/>
        <w:spacing w:after="0"/>
        <w:tabs>
          <w:tab w:leader="none" w:pos="282"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general risks inherent in the market impact of rising interest rates with regard to its variable debt facilities.</w:t>
      </w:r>
    </w:p>
    <w:p>
      <w:pPr>
        <w:spacing w:after="0" w:line="234" w:lineRule="exact"/>
        <w:rPr>
          <w:sz w:val="20"/>
          <w:szCs w:val="20"/>
          <w:color w:val="auto"/>
        </w:rPr>
      </w:pPr>
    </w:p>
    <w:p>
      <w:pPr>
        <w:ind w:left="2" w:right="80"/>
        <w:spacing w:after="0" w:line="358" w:lineRule="auto"/>
        <w:rPr>
          <w:sz w:val="20"/>
          <w:szCs w:val="20"/>
          <w:color w:val="auto"/>
        </w:rPr>
      </w:pPr>
      <w:r>
        <w:rPr>
          <w:rFonts w:ascii="Arial" w:cs="Arial" w:eastAsia="Arial" w:hAnsi="Arial"/>
          <w:sz w:val="14"/>
          <w:szCs w:val="14"/>
          <w:color w:val="auto"/>
        </w:rPr>
        <w:t>The foregoing list of factors should not be construed as exhaustive or as any admission regarding the adequacy of disclosures made by the Company prior to the date hereof. The Company disclaims any intention or obligation to update or revise forward-looking statements, whether as a result of new information, future events or otherwise.</w:t>
      </w:r>
    </w:p>
    <w:p>
      <w:pPr>
        <w:spacing w:after="0" w:line="95"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Item 7a | Quantitative and Qualitative Disclosures about Market Risk</w:t>
      </w:r>
    </w:p>
    <w:p>
      <w:pPr>
        <w:spacing w:after="0" w:line="34" w:lineRule="exact"/>
        <w:rPr>
          <w:sz w:val="20"/>
          <w:szCs w:val="20"/>
          <w:color w:val="auto"/>
        </w:rPr>
      </w:pPr>
    </w:p>
    <w:p>
      <w:pPr>
        <w:ind w:left="2" w:right="20"/>
        <w:spacing w:after="0" w:line="259" w:lineRule="auto"/>
        <w:rPr>
          <w:sz w:val="20"/>
          <w:szCs w:val="20"/>
          <w:color w:val="auto"/>
        </w:rPr>
      </w:pPr>
      <w:r>
        <w:rPr>
          <w:rFonts w:ascii="Arial" w:cs="Arial" w:eastAsia="Arial" w:hAnsi="Arial"/>
          <w:sz w:val="16"/>
          <w:szCs w:val="16"/>
          <w:color w:val="auto"/>
        </w:rPr>
        <w:t>The Company has operations in various foreign countries. In the normal course of business, these operations are exposed to fluctuations in currency values. Management believes that the impact of currency fluctuations does not represent a significant risk in the context of the Company’s current international operations. In the normal course of business, the Company’s non-U.S. operations enter into short-term forward contracts (generally not exceeding $20.0 million) to match purchases not denominated in their respective local currencies.</w:t>
      </w:r>
    </w:p>
    <w:p>
      <w:pPr>
        <w:spacing w:after="0" w:line="177" w:lineRule="exact"/>
        <w:rPr>
          <w:sz w:val="20"/>
          <w:szCs w:val="20"/>
          <w:color w:val="auto"/>
        </w:rPr>
      </w:pPr>
    </w:p>
    <w:p>
      <w:pPr>
        <w:ind w:left="2" w:right="100"/>
        <w:spacing w:after="0" w:line="263"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by balancing the mix of variable- versus fixed-rate borrowings. Additionally, financial instruments, including swap agreements, are used to manage interest rate exposures. Approximately 12% of the Company’s debt at May 31, 2003 bore interest at a variable rate and was sensitive to changes in interest rates. As a result of seasonal borrowings at variable rates, this percentage is expected to peak at approximately 35% during fiscal 2004. The Company is subject to the risk that market interest rates will increase and thereby increase the interest charged under its variable-rate debt.</w:t>
      </w:r>
    </w:p>
    <w:p>
      <w:pPr>
        <w:spacing w:after="0" w:line="173" w:lineRule="exact"/>
        <w:rPr>
          <w:sz w:val="20"/>
          <w:szCs w:val="20"/>
          <w:color w:val="auto"/>
        </w:rPr>
      </w:pPr>
    </w:p>
    <w:p>
      <w:pPr>
        <w:ind w:left="2" w:right="160"/>
        <w:spacing w:after="0" w:line="283" w:lineRule="auto"/>
        <w:rPr>
          <w:sz w:val="20"/>
          <w:szCs w:val="20"/>
          <w:color w:val="auto"/>
        </w:rPr>
      </w:pPr>
      <w:r>
        <w:rPr>
          <w:rFonts w:ascii="Arial" w:cs="Arial" w:eastAsia="Arial" w:hAnsi="Arial"/>
          <w:sz w:val="16"/>
          <w:szCs w:val="16"/>
          <w:color w:val="auto"/>
        </w:rPr>
        <w:t>Additional information relating to the Company’s outstanding financial instruments is included in Item 7 — Management’s Discussion and Analysis of Financial Condition and Results of Operations.</w:t>
      </w:r>
    </w:p>
    <w:p>
      <w:pPr>
        <w:sectPr>
          <w:pgSz w:w="11900" w:h="16838" w:orient="portrait"/>
          <w:cols w:equalWidth="0" w:num="1">
            <w:col w:w="11422"/>
          </w:cols>
          <w:pgMar w:left="238" w:top="131" w:right="239" w:bottom="293" w:gutter="0" w:footer="0" w:header="0"/>
        </w:sectPr>
      </w:pPr>
    </w:p>
    <w:p>
      <w:pPr>
        <w:spacing w:after="0" w:line="15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63765"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36195"/>
                    </a:xfrm>
                    <a:prstGeom prst="rect">
                      <a:avLst/>
                    </a:prstGeom>
                    <a:noFill/>
                  </pic:spPr>
                </pic:pic>
              </a:graphicData>
            </a:graphic>
          </wp:anchor>
        </w:drawing>
      </w:r>
    </w:p>
    <w:p>
      <w:pPr>
        <w:sectPr>
          <w:pgSz w:w="11900" w:h="16838" w:orient="portrait"/>
          <w:cols w:equalWidth="0" w:num="1">
            <w:col w:w="11422"/>
          </w:cols>
          <w:pgMar w:left="238" w:top="131" w:right="239" w:bottom="293" w:gutter="0" w:footer="0" w:header="0"/>
          <w:type w:val="continuous"/>
        </w:sectPr>
      </w:pPr>
    </w:p>
    <w:bookmarkStart w:id="16" w:name="page17"/>
    <w:bookmarkEnd w:id="16"/>
    <w:p>
      <w:pPr>
        <w:ind w:right="5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1838960</wp:posOffset>
            </wp:positionH>
            <wp:positionV relativeFrom="page">
              <wp:posOffset>88900</wp:posOffset>
            </wp:positionV>
            <wp:extent cx="3891280" cy="328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3891280" cy="328295"/>
                    </a:xfrm>
                    <a:prstGeom prst="rect">
                      <a:avLst/>
                    </a:prstGeom>
                    <a:noFill/>
                  </pic:spPr>
                </pic:pic>
              </a:graphicData>
            </a:graphic>
          </wp:anchor>
        </w:drawing>
        <w:t>The following table sets forth information about the Company’s debt and other interest rate sensitive instruments as of May 31, 2003 (see Note 3 of Notes to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5"/>
          </w:tcPr>
          <w:p>
            <w:pPr>
              <w:ind w:left="240"/>
              <w:spacing w:after="0"/>
              <w:rPr>
                <w:sz w:val="20"/>
                <w:szCs w:val="20"/>
                <w:color w:val="auto"/>
              </w:rPr>
            </w:pPr>
            <w:r>
              <w:rPr>
                <w:rFonts w:ascii="Arial" w:cs="Arial" w:eastAsia="Arial" w:hAnsi="Arial"/>
                <w:sz w:val="16"/>
                <w:szCs w:val="16"/>
                <w:color w:val="auto"/>
                <w:w w:val="93"/>
              </w:rPr>
              <w:t>$ amounts in millions)</w:t>
            </w:r>
          </w:p>
        </w:tc>
        <w:tc>
          <w:tcPr>
            <w:tcW w:w="0" w:type="dxa"/>
            <w:vAlign w:val="bottom"/>
          </w:tcPr>
          <w:p>
            <w:pPr>
              <w:spacing w:after="0"/>
              <w:rPr>
                <w:sz w:val="1"/>
                <w:szCs w:val="1"/>
                <w:color w:val="auto"/>
              </w:rPr>
            </w:pPr>
          </w:p>
        </w:tc>
      </w:tr>
      <w:tr>
        <w:trPr>
          <w:trHeight w:val="100"/>
        </w:trPr>
        <w:tc>
          <w:tcPr>
            <w:tcW w:w="3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Fair</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center"/>
              <w:ind w:right="160"/>
              <w:spacing w:after="0" w:line="222" w:lineRule="exact"/>
              <w:rPr>
                <w:sz w:val="20"/>
                <w:szCs w:val="20"/>
                <w:color w:val="auto"/>
              </w:rPr>
            </w:pPr>
            <w:r>
              <w:rPr>
                <w:rFonts w:ascii="Arial" w:cs="Arial" w:eastAsia="Arial" w:hAnsi="Arial"/>
                <w:sz w:val="20"/>
                <w:szCs w:val="20"/>
                <w:b w:val="1"/>
                <w:bCs w:val="1"/>
                <w:color w:val="auto"/>
                <w:w w:val="86"/>
              </w:rPr>
              <w:t>Value</w:t>
            </w:r>
          </w:p>
        </w:tc>
        <w:tc>
          <w:tcPr>
            <w:tcW w:w="0" w:type="dxa"/>
            <w:vAlign w:val="bottom"/>
          </w:tcPr>
          <w:p>
            <w:pPr>
              <w:spacing w:after="0"/>
              <w:rPr>
                <w:sz w:val="1"/>
                <w:szCs w:val="1"/>
                <w:color w:val="auto"/>
              </w:rPr>
            </w:pPr>
          </w:p>
        </w:tc>
      </w:tr>
      <w:tr>
        <w:trPr>
          <w:trHeight w:val="221"/>
        </w:trPr>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80" w:type="dxa"/>
            <w:vAlign w:val="bottom"/>
            <w:gridSpan w:val="5"/>
          </w:tcPr>
          <w:p>
            <w:pPr>
              <w:ind w:left="280"/>
              <w:spacing w:after="0" w:line="222" w:lineRule="exact"/>
              <w:rPr>
                <w:sz w:val="20"/>
                <w:szCs w:val="20"/>
                <w:color w:val="auto"/>
              </w:rPr>
            </w:pPr>
            <w:r>
              <w:rPr>
                <w:rFonts w:ascii="Arial" w:cs="Arial" w:eastAsia="Arial" w:hAnsi="Arial"/>
                <w:sz w:val="20"/>
                <w:szCs w:val="20"/>
                <w:b w:val="1"/>
                <w:bCs w:val="1"/>
                <w:color w:val="auto"/>
              </w:rPr>
              <w:t>Fiscal Year Maturity</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left="210"/>
              <w:spacing w:after="0" w:line="222" w:lineRule="exact"/>
              <w:rPr>
                <w:sz w:val="20"/>
                <w:szCs w:val="20"/>
                <w:color w:val="auto"/>
              </w:rPr>
            </w:pPr>
            <w:r>
              <w:rPr>
                <w:rFonts w:ascii="Arial" w:cs="Arial" w:eastAsia="Arial" w:hAnsi="Arial"/>
                <w:sz w:val="20"/>
                <w:szCs w:val="20"/>
                <w:b w:val="1"/>
                <w:bCs w:val="1"/>
                <w:color w:val="auto"/>
                <w:w w:val="81"/>
              </w:rPr>
              <w:t>as of</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vMerge w:val="restart"/>
          </w:tcPr>
          <w:p>
            <w:pPr>
              <w:jc w:val="center"/>
              <w:ind w:right="140"/>
              <w:spacing w:after="0" w:line="222" w:lineRule="exact"/>
              <w:rPr>
                <w:sz w:val="20"/>
                <w:szCs w:val="20"/>
                <w:color w:val="auto"/>
              </w:rPr>
            </w:pPr>
            <w:r>
              <w:rPr>
                <w:rFonts w:ascii="Arial" w:cs="Arial" w:eastAsia="Arial" w:hAnsi="Arial"/>
                <w:sz w:val="20"/>
                <w:szCs w:val="20"/>
                <w:b w:val="1"/>
                <w:bCs w:val="1"/>
                <w:color w:val="auto"/>
                <w:w w:val="94"/>
              </w:rPr>
              <w:t>May 31,</w:t>
            </w:r>
          </w:p>
        </w:tc>
        <w:tc>
          <w:tcPr>
            <w:tcW w:w="0" w:type="dxa"/>
            <w:vAlign w:val="bottom"/>
          </w:tcPr>
          <w:p>
            <w:pPr>
              <w:spacing w:after="0"/>
              <w:rPr>
                <w:sz w:val="1"/>
                <w:szCs w:val="1"/>
                <w:color w:val="auto"/>
              </w:rPr>
            </w:pPr>
          </w:p>
        </w:tc>
      </w:tr>
      <w:tr>
        <w:trPr>
          <w:trHeight w:val="78"/>
        </w:trPr>
        <w:tc>
          <w:tcPr>
            <w:tcW w:w="3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316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20"/>
                <w:szCs w:val="20"/>
                <w:b w:val="1"/>
                <w:bCs w:val="1"/>
                <w:color w:val="auto"/>
              </w:rPr>
              <w:t>2004</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2005</w:t>
            </w:r>
          </w:p>
        </w:tc>
        <w:tc>
          <w:tcPr>
            <w:tcW w:w="3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20"/>
                <w:szCs w:val="20"/>
                <w:b w:val="1"/>
                <w:bCs w:val="1"/>
                <w:color w:val="auto"/>
              </w:rPr>
              <w:t>2006</w:t>
            </w:r>
          </w:p>
        </w:tc>
        <w:tc>
          <w:tcPr>
            <w:tcW w:w="400" w:type="dxa"/>
            <w:vAlign w:val="bottom"/>
          </w:tcPr>
          <w:p>
            <w:pPr>
              <w:spacing w:after="0"/>
              <w:rPr>
                <w:sz w:val="22"/>
                <w:szCs w:val="2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5"/>
              </w:rPr>
              <w:t>2007</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2008</w:t>
            </w:r>
          </w:p>
        </w:tc>
        <w:tc>
          <w:tcPr>
            <w:tcW w:w="400" w:type="dxa"/>
            <w:vAlign w:val="bottom"/>
          </w:tcPr>
          <w:p>
            <w:pPr>
              <w:spacing w:after="0"/>
              <w:rPr>
                <w:sz w:val="22"/>
                <w:szCs w:val="22"/>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20"/>
                <w:szCs w:val="20"/>
                <w:b w:val="1"/>
                <w:bCs w:val="1"/>
                <w:color w:val="auto"/>
              </w:rPr>
              <w:t>Thereafter</w:t>
            </w:r>
          </w:p>
        </w:tc>
        <w:tc>
          <w:tcPr>
            <w:tcW w:w="880" w:type="dxa"/>
            <w:vAlign w:val="bottom"/>
            <w:gridSpan w:val="3"/>
          </w:tcPr>
          <w:p>
            <w:pPr>
              <w:jc w:val="right"/>
              <w:ind w:right="360"/>
              <w:spacing w:after="0"/>
              <w:rPr>
                <w:sz w:val="20"/>
                <w:szCs w:val="20"/>
                <w:color w:val="auto"/>
              </w:rPr>
            </w:pPr>
            <w:r>
              <w:rPr>
                <w:rFonts w:ascii="Arial" w:cs="Arial" w:eastAsia="Arial" w:hAnsi="Arial"/>
                <w:sz w:val="20"/>
                <w:szCs w:val="20"/>
                <w:b w:val="1"/>
                <w:bCs w:val="1"/>
                <w:color w:val="auto"/>
              </w:rPr>
              <w:t>Total</w:t>
            </w:r>
          </w:p>
        </w:tc>
        <w:tc>
          <w:tcPr>
            <w:tcW w:w="720" w:type="dxa"/>
            <w:vAlign w:val="bottom"/>
          </w:tcPr>
          <w:p>
            <w:pPr>
              <w:jc w:val="center"/>
              <w:ind w:left="210"/>
              <w:spacing w:after="0"/>
              <w:rPr>
                <w:sz w:val="20"/>
                <w:szCs w:val="20"/>
                <w:color w:val="auto"/>
              </w:rPr>
            </w:pPr>
            <w:r>
              <w:rPr>
                <w:rFonts w:ascii="Arial" w:cs="Arial" w:eastAsia="Arial" w:hAnsi="Arial"/>
                <w:sz w:val="20"/>
                <w:szCs w:val="20"/>
                <w:b w:val="1"/>
                <w:bCs w:val="1"/>
                <w:color w:val="auto"/>
                <w:w w:val="85"/>
              </w:rPr>
              <w:t>2003</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31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160" w:type="dxa"/>
            <w:vAlign w:val="bottom"/>
          </w:tcPr>
          <w:p>
            <w:pPr>
              <w:spacing w:after="0"/>
              <w:rPr>
                <w:sz w:val="20"/>
                <w:szCs w:val="20"/>
                <w:color w:val="auto"/>
              </w:rPr>
            </w:pPr>
            <w:r>
              <w:rPr>
                <w:rFonts w:ascii="Arial" w:cs="Arial" w:eastAsia="Arial" w:hAnsi="Arial"/>
                <w:sz w:val="16"/>
                <w:szCs w:val="16"/>
                <w:b w:val="1"/>
                <w:bCs w:val="1"/>
                <w:color w:val="auto"/>
              </w:rPr>
              <w:t>Debt Obligations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DDDDDD"/>
          </w:tcPr>
          <w:p>
            <w:pPr>
              <w:spacing w:after="0"/>
              <w:rPr>
                <w:sz w:val="20"/>
                <w:szCs w:val="20"/>
                <w:color w:val="auto"/>
              </w:rPr>
            </w:pPr>
            <w:r>
              <w:rPr>
                <w:rFonts w:ascii="Arial" w:cs="Arial" w:eastAsia="Arial" w:hAnsi="Arial"/>
                <w:sz w:val="16"/>
                <w:szCs w:val="16"/>
                <w:color w:val="auto"/>
              </w:rPr>
              <w:t>Lines of credit</w:t>
            </w:r>
          </w:p>
        </w:tc>
        <w:tc>
          <w:tcPr>
            <w:tcW w:w="4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28.5</w:t>
            </w:r>
          </w:p>
        </w:tc>
        <w:tc>
          <w:tcPr>
            <w:tcW w:w="480" w:type="dxa"/>
            <w:vAlign w:val="bottom"/>
            <w:shd w:val="clear" w:color="auto" w:fill="DDDDDD"/>
          </w:tcPr>
          <w:p>
            <w:pPr>
              <w:jc w:val="right"/>
              <w:ind w:right="116"/>
              <w:spacing w:after="0"/>
              <w:rPr>
                <w:sz w:val="20"/>
                <w:szCs w:val="20"/>
                <w:color w:val="auto"/>
              </w:rPr>
            </w:pPr>
            <w:r>
              <w:rPr>
                <w:rFonts w:ascii="Arial" w:cs="Arial" w:eastAsia="Arial" w:hAnsi="Arial"/>
                <w:sz w:val="16"/>
                <w:szCs w:val="16"/>
                <w:color w:val="auto"/>
              </w:rPr>
              <w:t>$</w:t>
            </w:r>
          </w:p>
        </w:tc>
        <w:tc>
          <w:tcPr>
            <w:tcW w:w="300" w:type="dxa"/>
            <w:vAlign w:val="bottom"/>
            <w:shd w:val="clear" w:color="auto" w:fill="DDDDDD"/>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DDDDDD"/>
          </w:tcPr>
          <w:p>
            <w:pPr>
              <w:jc w:val="right"/>
              <w:ind w:right="116"/>
              <w:spacing w:after="0"/>
              <w:rPr>
                <w:sz w:val="20"/>
                <w:szCs w:val="20"/>
                <w:color w:val="auto"/>
              </w:rPr>
            </w:pPr>
            <w:r>
              <w:rPr>
                <w:rFonts w:ascii="Arial" w:cs="Arial" w:eastAsia="Arial" w:hAnsi="Arial"/>
                <w:sz w:val="16"/>
                <w:szCs w:val="16"/>
                <w:color w:val="auto"/>
              </w:rPr>
              <w:t>$</w:t>
            </w:r>
          </w:p>
        </w:tc>
        <w:tc>
          <w:tcPr>
            <w:tcW w:w="400" w:type="dxa"/>
            <w:vAlign w:val="bottom"/>
            <w:shd w:val="clear" w:color="auto" w:fill="DDDDDD"/>
          </w:tcPr>
          <w:p>
            <w:pPr>
              <w:spacing w:after="0"/>
              <w:rPr>
                <w:sz w:val="20"/>
                <w:szCs w:val="20"/>
                <w:color w:val="auto"/>
              </w:rPr>
            </w:pPr>
            <w:r>
              <w:rPr>
                <w:rFonts w:ascii="Arial" w:cs="Arial" w:eastAsia="Arial" w:hAnsi="Arial"/>
                <w:sz w:val="16"/>
                <w:szCs w:val="16"/>
                <w:color w:val="auto"/>
              </w:rPr>
              <w:t>—</w:t>
            </w:r>
          </w:p>
        </w:tc>
        <w:tc>
          <w:tcPr>
            <w:tcW w:w="3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DDDDD"/>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DDDDDD"/>
          </w:tcPr>
          <w:p>
            <w:pPr>
              <w:jc w:val="right"/>
              <w:ind w:right="156"/>
              <w:spacing w:after="0"/>
              <w:rPr>
                <w:sz w:val="20"/>
                <w:szCs w:val="20"/>
                <w:color w:val="auto"/>
              </w:rPr>
            </w:pPr>
            <w:r>
              <w:rPr>
                <w:rFonts w:ascii="Arial" w:cs="Arial" w:eastAsia="Arial" w:hAnsi="Arial"/>
                <w:sz w:val="16"/>
                <w:szCs w:val="16"/>
                <w:color w:val="auto"/>
              </w:rPr>
              <w:t>$</w:t>
            </w:r>
          </w:p>
        </w:tc>
        <w:tc>
          <w:tcPr>
            <w:tcW w:w="400" w:type="dxa"/>
            <w:vAlign w:val="bottom"/>
            <w:shd w:val="clear" w:color="auto" w:fill="DDDDDD"/>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DDDDDD"/>
          </w:tcPr>
          <w:p>
            <w:pPr>
              <w:jc w:val="right"/>
              <w:ind w:right="180"/>
              <w:spacing w:after="0"/>
              <w:rPr>
                <w:sz w:val="20"/>
                <w:szCs w:val="20"/>
                <w:color w:val="auto"/>
              </w:rPr>
            </w:pPr>
            <w:r>
              <w:rPr>
                <w:rFonts w:ascii="Arial" w:cs="Arial" w:eastAsia="Arial" w:hAnsi="Arial"/>
                <w:sz w:val="16"/>
                <w:szCs w:val="16"/>
                <w:color w:val="auto"/>
              </w:rPr>
              <w:t>28.5</w:t>
            </w:r>
          </w:p>
        </w:tc>
        <w:tc>
          <w:tcPr>
            <w:tcW w:w="7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20"/>
                <w:szCs w:val="20"/>
                <w:color w:val="auto"/>
              </w:rPr>
            </w:pPr>
            <w:r>
              <w:rPr>
                <w:rFonts w:ascii="Arial" w:cs="Arial" w:eastAsia="Arial" w:hAnsi="Arial"/>
                <w:sz w:val="16"/>
                <w:szCs w:val="16"/>
                <w:color w:val="auto"/>
              </w:rPr>
              <w:t>Average interest rate</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6.89%</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DDDDDD"/>
          </w:tcPr>
          <w:p>
            <w:pPr>
              <w:spacing w:after="0"/>
              <w:rPr>
                <w:sz w:val="20"/>
                <w:szCs w:val="20"/>
                <w:color w:val="auto"/>
              </w:rPr>
            </w:pPr>
            <w:r>
              <w:rPr>
                <w:rFonts w:ascii="Arial" w:cs="Arial" w:eastAsia="Arial" w:hAnsi="Arial"/>
                <w:sz w:val="16"/>
                <w:szCs w:val="16"/>
                <w:color w:val="auto"/>
              </w:rPr>
              <w:t>Long-term debt including</w:t>
            </w:r>
          </w:p>
        </w:tc>
        <w:tc>
          <w:tcPr>
            <w:tcW w:w="42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DDDDDD"/>
          </w:tcPr>
          <w:p>
            <w:pPr>
              <w:spacing w:after="0"/>
              <w:rPr>
                <w:sz w:val="20"/>
                <w:szCs w:val="20"/>
                <w:color w:val="auto"/>
              </w:rPr>
            </w:pPr>
            <w:r>
              <w:rPr>
                <w:rFonts w:ascii="Arial" w:cs="Arial" w:eastAsia="Arial" w:hAnsi="Arial"/>
                <w:sz w:val="16"/>
                <w:szCs w:val="16"/>
                <w:color w:val="auto"/>
              </w:rPr>
              <w:t>current portion:</w:t>
            </w:r>
          </w:p>
        </w:tc>
        <w:tc>
          <w:tcPr>
            <w:tcW w:w="42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400"/>
              <w:spacing w:after="0"/>
              <w:rPr>
                <w:sz w:val="20"/>
                <w:szCs w:val="20"/>
                <w:color w:val="auto"/>
              </w:rPr>
            </w:pPr>
            <w:r>
              <w:rPr>
                <w:rFonts w:ascii="Arial" w:cs="Arial" w:eastAsia="Arial" w:hAnsi="Arial"/>
                <w:sz w:val="16"/>
                <w:szCs w:val="16"/>
                <w:color w:val="auto"/>
              </w:rPr>
              <w:t>Fixed-rate debt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w w:val="84"/>
              </w:rPr>
              <w:t>125.0</w:t>
            </w:r>
          </w:p>
        </w:tc>
        <w:tc>
          <w:tcPr>
            <w:tcW w:w="48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0"/>
              <w:spacing w:after="0"/>
              <w:rPr>
                <w:sz w:val="20"/>
                <w:szCs w:val="20"/>
                <w:color w:val="auto"/>
              </w:rPr>
            </w:pPr>
            <w:r>
              <w:rPr>
                <w:rFonts w:ascii="Arial" w:cs="Arial" w:eastAsia="Arial" w:hAnsi="Arial"/>
                <w:sz w:val="16"/>
                <w:szCs w:val="16"/>
                <w:color w:val="auto"/>
                <w:w w:val="84"/>
              </w:rPr>
              <w:t>300.2</w:t>
            </w:r>
          </w:p>
        </w:tc>
        <w:tc>
          <w:tcPr>
            <w:tcW w:w="56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w w:val="84"/>
              </w:rPr>
              <w:t>175.0</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$ 600.2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633.8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Average interest rate</w:t>
            </w:r>
          </w:p>
        </w:tc>
        <w:tc>
          <w:tcPr>
            <w:tcW w:w="42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7.00%</w:t>
            </w:r>
          </w:p>
        </w:tc>
        <w:tc>
          <w:tcPr>
            <w:tcW w:w="48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620" w:type="dxa"/>
            <w:vAlign w:val="bottom"/>
            <w:shd w:val="clear" w:color="auto" w:fill="DDDDDD"/>
          </w:tcPr>
          <w:p>
            <w:pPr>
              <w:jc w:val="right"/>
              <w:ind w:right="40"/>
              <w:spacing w:after="0"/>
              <w:rPr>
                <w:sz w:val="20"/>
                <w:szCs w:val="20"/>
                <w:color w:val="auto"/>
              </w:rPr>
            </w:pPr>
            <w:r>
              <w:rPr>
                <w:rFonts w:ascii="Arial" w:cs="Arial" w:eastAsia="Arial" w:hAnsi="Arial"/>
                <w:sz w:val="16"/>
                <w:szCs w:val="16"/>
                <w:color w:val="auto"/>
              </w:rPr>
              <w:t>5.75%</w:t>
            </w:r>
          </w:p>
        </w:tc>
        <w:tc>
          <w:tcPr>
            <w:tcW w:w="56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5.00%</w:t>
            </w:r>
          </w:p>
        </w:tc>
        <w:tc>
          <w:tcPr>
            <w:tcW w:w="36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400"/>
              <w:spacing w:after="0"/>
              <w:rPr>
                <w:sz w:val="20"/>
                <w:szCs w:val="20"/>
                <w:color w:val="auto"/>
              </w:rPr>
            </w:pPr>
            <w:r>
              <w:rPr>
                <w:rFonts w:ascii="Arial" w:cs="Arial" w:eastAsia="Arial" w:hAnsi="Arial"/>
                <w:sz w:val="16"/>
                <w:szCs w:val="16"/>
                <w:color w:val="auto"/>
              </w:rPr>
              <w:t>Variable-rate debt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0.2</w:t>
            </w:r>
          </w:p>
        </w:tc>
        <w:tc>
          <w:tcPr>
            <w:tcW w:w="48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center"/>
              <w:ind w:left="13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Average interest rate</w:t>
            </w:r>
          </w:p>
        </w:tc>
        <w:tc>
          <w:tcPr>
            <w:tcW w:w="42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4.75%</w:t>
            </w:r>
          </w:p>
        </w:tc>
        <w:tc>
          <w:tcPr>
            <w:tcW w:w="48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5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3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3160" w:type="dxa"/>
            <w:vAlign w:val="bottom"/>
          </w:tcPr>
          <w:p>
            <w:pPr>
              <w:spacing w:after="0"/>
              <w:rPr>
                <w:sz w:val="20"/>
                <w:szCs w:val="20"/>
                <w:color w:val="auto"/>
              </w:rPr>
            </w:pPr>
            <w:r>
              <w:rPr>
                <w:rFonts w:ascii="Arial" w:cs="Arial" w:eastAsia="Arial" w:hAnsi="Arial"/>
                <w:sz w:val="16"/>
                <w:szCs w:val="16"/>
                <w:b w:val="1"/>
                <w:bCs w:val="1"/>
                <w:color w:val="auto"/>
              </w:rPr>
              <w:t>Interest rate derivative financial</w:t>
            </w: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6"/>
                <w:szCs w:val="16"/>
                <w:b w:val="1"/>
                <w:bCs w:val="1"/>
                <w:color w:val="auto"/>
              </w:rPr>
              <w:t>instruments related to debt</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DDDDDD"/>
          </w:tcPr>
          <w:p>
            <w:pPr>
              <w:spacing w:after="0"/>
              <w:rPr>
                <w:sz w:val="20"/>
                <w:szCs w:val="20"/>
                <w:color w:val="auto"/>
              </w:rPr>
            </w:pPr>
            <w:r>
              <w:rPr>
                <w:rFonts w:ascii="Arial" w:cs="Arial" w:eastAsia="Arial" w:hAnsi="Arial"/>
                <w:sz w:val="16"/>
                <w:szCs w:val="16"/>
                <w:color w:val="auto"/>
              </w:rPr>
              <w:t>Interest rate swaps:</w:t>
            </w:r>
          </w:p>
        </w:tc>
        <w:tc>
          <w:tcPr>
            <w:tcW w:w="42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20"/>
                <w:szCs w:val="20"/>
                <w:color w:val="auto"/>
              </w:rPr>
            </w:pPr>
            <w:r>
              <w:rPr>
                <w:rFonts w:ascii="Arial" w:cs="Arial" w:eastAsia="Arial" w:hAnsi="Arial"/>
                <w:sz w:val="16"/>
                <w:szCs w:val="16"/>
                <w:color w:val="auto"/>
              </w:rPr>
              <w:t>Notional amount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center"/>
              <w:ind w:left="13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80"/>
              <w:spacing w:after="0"/>
              <w:rPr>
                <w:sz w:val="20"/>
                <w:szCs w:val="20"/>
                <w:color w:val="auto"/>
              </w:rPr>
            </w:pPr>
            <w:r>
              <w:rPr>
                <w:rFonts w:ascii="Arial" w:cs="Arial" w:eastAsia="Arial" w:hAnsi="Arial"/>
                <w:sz w:val="16"/>
                <w:szCs w:val="16"/>
                <w:color w:val="auto"/>
              </w:rPr>
              <w:t>50.0</w:t>
            </w:r>
          </w:p>
        </w:tc>
        <w:tc>
          <w:tcPr>
            <w:tcW w:w="56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60" w:type="dxa"/>
            <w:vAlign w:val="bottom"/>
            <w:shd w:val="clear" w:color="auto" w:fill="DDDDDD"/>
          </w:tcPr>
          <w:p>
            <w:pPr>
              <w:spacing w:after="0"/>
              <w:rPr>
                <w:sz w:val="20"/>
                <w:szCs w:val="20"/>
                <w:color w:val="auto"/>
              </w:rPr>
            </w:pPr>
            <w:r>
              <w:rPr>
                <w:rFonts w:ascii="Arial" w:cs="Arial" w:eastAsia="Arial" w:hAnsi="Arial"/>
                <w:sz w:val="16"/>
                <w:szCs w:val="16"/>
                <w:color w:val="auto"/>
              </w:rPr>
              <w:t>Average variable pay rate</w:t>
            </w:r>
          </w:p>
        </w:tc>
        <w:tc>
          <w:tcPr>
            <w:tcW w:w="420" w:type="dxa"/>
            <w:vAlign w:val="bottom"/>
            <w:shd w:val="clear" w:color="auto" w:fill="DDDDDD"/>
          </w:tcPr>
          <w:p>
            <w:pPr>
              <w:spacing w:after="0"/>
              <w:rPr>
                <w:sz w:val="20"/>
                <w:szCs w:val="20"/>
                <w:color w:val="auto"/>
              </w:rPr>
            </w:pPr>
          </w:p>
        </w:tc>
        <w:tc>
          <w:tcPr>
            <w:tcW w:w="580" w:type="dxa"/>
            <w:vAlign w:val="bottom"/>
            <w:shd w:val="clear" w:color="auto" w:fill="DDDDDD"/>
          </w:tcPr>
          <w:p>
            <w:pPr>
              <w:spacing w:after="0"/>
              <w:rPr>
                <w:sz w:val="20"/>
                <w:szCs w:val="20"/>
                <w:color w:val="auto"/>
              </w:rPr>
            </w:pPr>
          </w:p>
        </w:tc>
        <w:tc>
          <w:tcPr>
            <w:tcW w:w="4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54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620" w:type="dxa"/>
            <w:vAlign w:val="bottom"/>
            <w:shd w:val="clear" w:color="auto" w:fill="DDDDDD"/>
          </w:tcPr>
          <w:p>
            <w:pPr>
              <w:jc w:val="right"/>
              <w:ind w:right="40"/>
              <w:spacing w:after="0"/>
              <w:rPr>
                <w:sz w:val="20"/>
                <w:szCs w:val="20"/>
                <w:color w:val="auto"/>
              </w:rPr>
            </w:pPr>
            <w:r>
              <w:rPr>
                <w:rFonts w:ascii="Arial" w:cs="Arial" w:eastAsia="Arial" w:hAnsi="Arial"/>
                <w:sz w:val="16"/>
                <w:szCs w:val="16"/>
                <w:color w:val="auto"/>
              </w:rPr>
              <w:t>2.17%</w:t>
            </w:r>
          </w:p>
        </w:tc>
        <w:tc>
          <w:tcPr>
            <w:tcW w:w="56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c>
          <w:tcPr>
            <w:tcW w:w="58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72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20"/>
                <w:szCs w:val="20"/>
                <w:color w:val="auto"/>
              </w:rPr>
            </w:pPr>
            <w:r>
              <w:rPr>
                <w:rFonts w:ascii="Arial" w:cs="Arial" w:eastAsia="Arial" w:hAnsi="Arial"/>
                <w:sz w:val="16"/>
                <w:szCs w:val="16"/>
                <w:color w:val="auto"/>
              </w:rPr>
              <w:t>Average fixed receivable rate</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5.75%</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1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09"/>
        </w:trPr>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160" w:type="dxa"/>
            <w:vAlign w:val="bottom"/>
            <w:tcBorders>
              <w:bottom w:val="single" w:sz="8" w:color="808080"/>
            </w:tcBorders>
          </w:tcPr>
          <w:p>
            <w:pPr>
              <w:spacing w:after="0"/>
              <w:rPr>
                <w:sz w:val="20"/>
                <w:szCs w:val="20"/>
                <w:color w:val="auto"/>
              </w:rPr>
            </w:pPr>
          </w:p>
        </w:tc>
        <w:tc>
          <w:tcPr>
            <w:tcW w:w="42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-636905</wp:posOffset>
            </wp:positionV>
            <wp:extent cx="12700"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-636905</wp:posOffset>
            </wp:positionV>
            <wp:extent cx="12700" cy="28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 Consolidated Financial Statements and Supplementary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Index to Consolidated Financial Statements and Financial Statement Schedule</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auto"/>
              </w:rPr>
              <w:t>Page(s)</w:t>
            </w: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Consolidated Statements of Income for the three years ended May 31, 2003, 2002 and 2001</w:t>
            </w:r>
          </w:p>
        </w:tc>
        <w:tc>
          <w:tcPr>
            <w:tcW w:w="2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Consolidated Balance Sheets at May 31, 2003 and 2002</w:t>
            </w:r>
          </w:p>
        </w:tc>
        <w:tc>
          <w:tcPr>
            <w:tcW w:w="2760" w:type="dxa"/>
            <w:vAlign w:val="bottom"/>
          </w:tcPr>
          <w:p>
            <w:pPr>
              <w:jc w:val="right"/>
              <w:spacing w:after="0"/>
              <w:rPr>
                <w:sz w:val="20"/>
                <w:szCs w:val="20"/>
                <w:color w:val="auto"/>
              </w:rPr>
            </w:pPr>
            <w:r>
              <w:rPr>
                <w:rFonts w:ascii="Arial" w:cs="Arial" w:eastAsia="Arial" w:hAnsi="Arial"/>
                <w:sz w:val="16"/>
                <w:szCs w:val="16"/>
                <w:color w:val="auto"/>
              </w:rPr>
              <w:t>29-30</w:t>
            </w:r>
          </w:p>
        </w:tc>
      </w:tr>
      <w:tr>
        <w:trPr>
          <w:trHeight w:val="386"/>
        </w:trPr>
        <w:tc>
          <w:tcPr>
            <w:tcW w:w="8580" w:type="dxa"/>
            <w:vAlign w:val="bottom"/>
          </w:tcPr>
          <w:p>
            <w:pPr>
              <w:spacing w:after="0"/>
              <w:rPr>
                <w:sz w:val="20"/>
                <w:szCs w:val="20"/>
                <w:color w:val="auto"/>
              </w:rPr>
            </w:pPr>
            <w:r>
              <w:rPr>
                <w:rFonts w:ascii="Arial" w:cs="Arial" w:eastAsia="Arial" w:hAnsi="Arial"/>
                <w:sz w:val="16"/>
                <w:szCs w:val="16"/>
                <w:color w:val="auto"/>
              </w:rPr>
              <w:t>Consolidated Statements of Changes in Stockholders’ Equity and Comprehensive Income</w:t>
            </w:r>
          </w:p>
        </w:tc>
        <w:tc>
          <w:tcPr>
            <w:tcW w:w="2760" w:type="dxa"/>
            <w:vAlign w:val="bottom"/>
          </w:tcPr>
          <w:p>
            <w:pPr>
              <w:spacing w:after="0"/>
              <w:rPr>
                <w:sz w:val="24"/>
                <w:szCs w:val="24"/>
                <w:color w:val="auto"/>
              </w:rPr>
            </w:pPr>
          </w:p>
        </w:tc>
      </w:tr>
      <w:tr>
        <w:trPr>
          <w:trHeight w:val="205"/>
        </w:trPr>
        <w:tc>
          <w:tcPr>
            <w:tcW w:w="8580" w:type="dxa"/>
            <w:vAlign w:val="bottom"/>
          </w:tcPr>
          <w:p>
            <w:pPr>
              <w:ind w:left="400"/>
              <w:spacing w:after="0"/>
              <w:rPr>
                <w:sz w:val="20"/>
                <w:szCs w:val="20"/>
                <w:color w:val="auto"/>
              </w:rPr>
            </w:pPr>
            <w:r>
              <w:rPr>
                <w:rFonts w:ascii="Arial" w:cs="Arial" w:eastAsia="Arial" w:hAnsi="Arial"/>
                <w:sz w:val="16"/>
                <w:szCs w:val="16"/>
                <w:color w:val="auto"/>
              </w:rPr>
              <w:t>for the three years ended May 31, 2003, 2002 and 2001</w:t>
            </w:r>
          </w:p>
        </w:tc>
        <w:tc>
          <w:tcPr>
            <w:tcW w:w="2760" w:type="dxa"/>
            <w:vAlign w:val="bottom"/>
          </w:tcPr>
          <w:p>
            <w:pPr>
              <w:jc w:val="right"/>
              <w:spacing w:after="0"/>
              <w:rPr>
                <w:sz w:val="20"/>
                <w:szCs w:val="20"/>
                <w:color w:val="auto"/>
              </w:rPr>
            </w:pPr>
            <w:r>
              <w:rPr>
                <w:rFonts w:ascii="Arial" w:cs="Arial" w:eastAsia="Arial" w:hAnsi="Arial"/>
                <w:sz w:val="16"/>
                <w:szCs w:val="16"/>
                <w:color w:val="auto"/>
              </w:rPr>
              <w:t>31-32</w:t>
            </w: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Consolidated Statements of Cash Flows for the three years ended May 31, 2003, 2002 and 2001</w:t>
            </w:r>
          </w:p>
        </w:tc>
        <w:tc>
          <w:tcPr>
            <w:tcW w:w="27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2760" w:type="dxa"/>
            <w:vAlign w:val="bottom"/>
          </w:tcPr>
          <w:p>
            <w:pPr>
              <w:jc w:val="right"/>
              <w:spacing w:after="0"/>
              <w:rPr>
                <w:sz w:val="20"/>
                <w:szCs w:val="20"/>
                <w:color w:val="auto"/>
              </w:rPr>
            </w:pPr>
            <w:r>
              <w:rPr>
                <w:rFonts w:ascii="Arial" w:cs="Arial" w:eastAsia="Arial" w:hAnsi="Arial"/>
                <w:sz w:val="16"/>
                <w:szCs w:val="16"/>
                <w:color w:val="auto"/>
              </w:rPr>
              <w:t>34-53</w:t>
            </w: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Report of Independent Auditors</w:t>
            </w:r>
          </w:p>
        </w:tc>
        <w:tc>
          <w:tcPr>
            <w:tcW w:w="27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Supplementary Financial Information — Summary of Quarterly Results of Operations (unaudited)</w:t>
            </w:r>
          </w:p>
        </w:tc>
        <w:tc>
          <w:tcPr>
            <w:tcW w:w="27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86"/>
        </w:trPr>
        <w:tc>
          <w:tcPr>
            <w:tcW w:w="8580" w:type="dxa"/>
            <w:vAlign w:val="bottom"/>
          </w:tcPr>
          <w:p>
            <w:pPr>
              <w:spacing w:after="0"/>
              <w:rPr>
                <w:sz w:val="20"/>
                <w:szCs w:val="20"/>
                <w:color w:val="auto"/>
              </w:rPr>
            </w:pPr>
            <w:r>
              <w:rPr>
                <w:rFonts w:ascii="Arial" w:cs="Arial" w:eastAsia="Arial" w:hAnsi="Arial"/>
                <w:sz w:val="16"/>
                <w:szCs w:val="16"/>
                <w:color w:val="auto"/>
              </w:rPr>
              <w:t>The following consolidated financial statement schedule for the three years ended</w:t>
            </w:r>
          </w:p>
        </w:tc>
        <w:tc>
          <w:tcPr>
            <w:tcW w:w="2760" w:type="dxa"/>
            <w:vAlign w:val="bottom"/>
          </w:tcPr>
          <w:p>
            <w:pPr>
              <w:spacing w:after="0"/>
              <w:rPr>
                <w:sz w:val="24"/>
                <w:szCs w:val="24"/>
                <w:color w:val="auto"/>
              </w:rPr>
            </w:pPr>
          </w:p>
        </w:tc>
      </w:tr>
      <w:tr>
        <w:trPr>
          <w:trHeight w:val="205"/>
        </w:trPr>
        <w:tc>
          <w:tcPr>
            <w:tcW w:w="8580" w:type="dxa"/>
            <w:vAlign w:val="bottom"/>
          </w:tcPr>
          <w:p>
            <w:pPr>
              <w:ind w:left="440"/>
              <w:spacing w:after="0"/>
              <w:rPr>
                <w:sz w:val="20"/>
                <w:szCs w:val="20"/>
                <w:color w:val="auto"/>
              </w:rPr>
            </w:pPr>
            <w:r>
              <w:rPr>
                <w:rFonts w:ascii="Arial" w:cs="Arial" w:eastAsia="Arial" w:hAnsi="Arial"/>
                <w:sz w:val="16"/>
                <w:szCs w:val="16"/>
                <w:color w:val="auto"/>
              </w:rPr>
              <w:t>May 31, 2003, 2002 and 2001 is included in Item 15(d):</w:t>
            </w:r>
          </w:p>
        </w:tc>
        <w:tc>
          <w:tcPr>
            <w:tcW w:w="2760" w:type="dxa"/>
            <w:vAlign w:val="bottom"/>
          </w:tcPr>
          <w:p>
            <w:pPr>
              <w:spacing w:after="0"/>
              <w:rPr>
                <w:sz w:val="17"/>
                <w:szCs w:val="17"/>
                <w:color w:val="auto"/>
              </w:rPr>
            </w:pP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Schedule II — Valuation and Qualifying Accounts and Reserves</w:t>
            </w:r>
          </w:p>
        </w:tc>
        <w:tc>
          <w:tcPr>
            <w:tcW w:w="2760" w:type="dxa"/>
            <w:vAlign w:val="bottom"/>
          </w:tcPr>
          <w:p>
            <w:pPr>
              <w:jc w:val="right"/>
              <w:spacing w:after="0"/>
              <w:rPr>
                <w:sz w:val="20"/>
                <w:szCs w:val="20"/>
                <w:color w:val="auto"/>
              </w:rPr>
            </w:pPr>
            <w:r>
              <w:rPr>
                <w:rFonts w:ascii="Arial" w:cs="Arial" w:eastAsia="Arial" w:hAnsi="Arial"/>
                <w:sz w:val="16"/>
                <w:szCs w:val="16"/>
                <w:color w:val="auto"/>
              </w:rPr>
              <w:t>63</w:t>
            </w:r>
          </w:p>
        </w:tc>
      </w:tr>
    </w:tbl>
    <w:p>
      <w:pPr>
        <w:spacing w:after="0" w:line="200" w:lineRule="exact"/>
        <w:rPr>
          <w:sz w:val="20"/>
          <w:szCs w:val="20"/>
          <w:color w:val="auto"/>
        </w:rPr>
      </w:pPr>
    </w:p>
    <w:p>
      <w:pPr>
        <w:spacing w:after="0" w:line="235"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Income</w:t>
      </w:r>
    </w:p>
    <w:p>
      <w:pPr>
        <w:sectPr>
          <w:pgSz w:w="11900" w:h="16838" w:orient="portrait"/>
          <w:cols w:equalWidth="0" w:num="1">
            <w:col w:w="11440"/>
          </w:cols>
          <w:pgMar w:left="240" w:top="844" w:right="219" w:bottom="0" w:gutter="0" w:footer="0" w:header="0"/>
        </w:sect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(Amounts in millions, except per share data)</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868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40"/>
          </w:cols>
          <w:pgMar w:left="240" w:top="844" w:right="219" w:bottom="0" w:gutter="0" w:footer="0" w:header="0"/>
          <w:type w:val="continuous"/>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Arial" w:cs="Arial" w:eastAsia="Arial" w:hAnsi="Arial"/>
                <w:sz w:val="20"/>
                <w:szCs w:val="20"/>
                <w:b w:val="1"/>
                <w:bCs w:val="1"/>
                <w:color w:val="auto"/>
              </w:rPr>
              <w:t>2003</w:t>
            </w:r>
          </w:p>
        </w:tc>
        <w:tc>
          <w:tcPr>
            <w:tcW w:w="360" w:type="dxa"/>
            <w:vAlign w:val="bottom"/>
          </w:tcPr>
          <w:p>
            <w:pPr>
              <w:spacing w:after="0"/>
              <w:rPr>
                <w:sz w:val="22"/>
                <w:szCs w:val="22"/>
                <w:color w:val="auto"/>
              </w:rPr>
            </w:pPr>
          </w:p>
        </w:tc>
        <w:tc>
          <w:tcPr>
            <w:tcW w:w="760" w:type="dxa"/>
            <w:vAlign w:val="bottom"/>
          </w:tcPr>
          <w:p>
            <w:pPr>
              <w:jc w:val="right"/>
              <w:ind w:right="179"/>
              <w:spacing w:after="0"/>
              <w:rPr>
                <w:sz w:val="20"/>
                <w:szCs w:val="20"/>
                <w:color w:val="auto"/>
              </w:rPr>
            </w:pPr>
            <w:r>
              <w:rPr>
                <w:rFonts w:ascii="Arial" w:cs="Arial" w:eastAsia="Arial" w:hAnsi="Arial"/>
                <w:sz w:val="20"/>
                <w:szCs w:val="20"/>
                <w:b w:val="1"/>
                <w:bCs w:val="1"/>
                <w:color w:val="auto"/>
              </w:rPr>
              <w:t>2002</w:t>
            </w: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20" w:type="dxa"/>
            <w:vAlign w:val="bottom"/>
            <w:tcBorders>
              <w:bottom w:val="single" w:sz="8" w:color="808080"/>
            </w:tcBorders>
          </w:tcPr>
          <w:p>
            <w:pPr>
              <w:spacing w:after="0"/>
              <w:rPr>
                <w:sz w:val="7"/>
                <w:szCs w:val="7"/>
                <w:color w:val="auto"/>
              </w:rPr>
            </w:pPr>
          </w:p>
        </w:tc>
        <w:tc>
          <w:tcPr>
            <w:tcW w:w="18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1,958.3</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1,917.0</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9"/>
              </w:rPr>
              <w:t>1,962.3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color w:val="auto"/>
              </w:rPr>
              <w:t>Operating costs and expenses:</w:t>
            </w:r>
          </w:p>
        </w:tc>
        <w:tc>
          <w:tcPr>
            <w:tcW w:w="184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20" w:type="dxa"/>
            <w:vAlign w:val="bottom"/>
          </w:tcPr>
          <w:p>
            <w:pPr>
              <w:ind w:left="380"/>
              <w:spacing w:after="0"/>
              <w:rPr>
                <w:sz w:val="20"/>
                <w:szCs w:val="20"/>
                <w:color w:val="auto"/>
              </w:rPr>
            </w:pPr>
            <w:r>
              <w:rPr>
                <w:rFonts w:ascii="Arial" w:cs="Arial" w:eastAsia="Arial" w:hAnsi="Arial"/>
                <w:sz w:val="16"/>
                <w:szCs w:val="16"/>
                <w:color w:val="auto"/>
              </w:rPr>
              <w:t>Cost of goods sold (exclusive of depreciation)</w:t>
            </w:r>
          </w:p>
        </w:tc>
        <w:tc>
          <w:tcPr>
            <w:tcW w:w="184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882.1</w:t>
            </w:r>
          </w:p>
        </w:tc>
        <w:tc>
          <w:tcPr>
            <w:tcW w:w="36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852.1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Cost of goods sold — Special Literacy Place and other charges (Note 14)</w:t>
            </w:r>
          </w:p>
        </w:tc>
        <w:tc>
          <w:tcPr>
            <w:tcW w:w="184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84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826.3</w:t>
            </w:r>
          </w:p>
        </w:tc>
        <w:tc>
          <w:tcPr>
            <w:tcW w:w="36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771.7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color w:val="auto"/>
              </w:rPr>
              <w:t>Bad debt expense</w:t>
            </w:r>
          </w:p>
        </w:tc>
        <w:tc>
          <w:tcPr>
            <w:tcW w:w="1840" w:type="dxa"/>
            <w:vAlign w:val="bottom"/>
            <w:shd w:val="clear" w:color="auto" w:fill="DDDDDD"/>
          </w:tcPr>
          <w:p>
            <w:pPr>
              <w:spacing w:after="0"/>
              <w:rPr>
                <w:sz w:val="20"/>
                <w:szCs w:val="20"/>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72.3</w:t>
            </w:r>
          </w:p>
        </w:tc>
        <w:tc>
          <w:tcPr>
            <w:tcW w:w="360" w:type="dxa"/>
            <w:vAlign w:val="bottom"/>
            <w:shd w:val="clear" w:color="auto" w:fill="DDDDDD"/>
          </w:tcPr>
          <w:p>
            <w:pPr>
              <w:spacing w:after="0"/>
              <w:rPr>
                <w:sz w:val="20"/>
                <w:szCs w:val="20"/>
                <w:color w:val="auto"/>
              </w:rPr>
            </w:pP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rPr>
              <w:t>68.7</w:t>
            </w:r>
          </w:p>
        </w:tc>
        <w:tc>
          <w:tcPr>
            <w:tcW w:w="300" w:type="dxa"/>
            <w:vAlign w:val="bottom"/>
            <w:shd w:val="clear" w:color="auto" w:fill="DDDDDD"/>
          </w:tcPr>
          <w:p>
            <w:pPr>
              <w:spacing w:after="0"/>
              <w:rPr>
                <w:sz w:val="20"/>
                <w:szCs w:val="20"/>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Other operating costs:</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Depreciation</w:t>
            </w:r>
          </w:p>
        </w:tc>
        <w:tc>
          <w:tcPr>
            <w:tcW w:w="184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45.6</w:t>
            </w:r>
          </w:p>
        </w:tc>
        <w:tc>
          <w:tcPr>
            <w:tcW w:w="36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rPr>
              <w:t>35.6</w:t>
            </w:r>
          </w:p>
        </w:tc>
        <w:tc>
          <w:tcPr>
            <w:tcW w:w="30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20" w:type="dxa"/>
            <w:vAlign w:val="bottom"/>
          </w:tcPr>
          <w:p>
            <w:pPr>
              <w:ind w:left="380"/>
              <w:spacing w:after="0"/>
              <w:rPr>
                <w:sz w:val="20"/>
                <w:szCs w:val="20"/>
                <w:color w:val="auto"/>
              </w:rPr>
            </w:pPr>
            <w:r>
              <w:rPr>
                <w:rFonts w:ascii="Arial" w:cs="Arial" w:eastAsia="Arial" w:hAnsi="Arial"/>
                <w:sz w:val="16"/>
                <w:szCs w:val="16"/>
                <w:color w:val="auto"/>
              </w:rPr>
              <w:t>Special severance charge</w:t>
            </w:r>
          </w:p>
        </w:tc>
        <w:tc>
          <w:tcPr>
            <w:tcW w:w="184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10.9</w:t>
            </w:r>
          </w:p>
        </w:tc>
        <w:tc>
          <w:tcPr>
            <w:tcW w:w="36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Goodwill and other intangibles amortization</w:t>
            </w:r>
          </w:p>
        </w:tc>
        <w:tc>
          <w:tcPr>
            <w:tcW w:w="184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0.5</w:t>
            </w:r>
          </w:p>
        </w:tc>
        <w:tc>
          <w:tcPr>
            <w:tcW w:w="36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rPr>
              <w:t>1.0</w:t>
            </w:r>
          </w:p>
        </w:tc>
        <w:tc>
          <w:tcPr>
            <w:tcW w:w="30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ind w:left="380"/>
              <w:spacing w:after="0"/>
              <w:rPr>
                <w:sz w:val="20"/>
                <w:szCs w:val="20"/>
                <w:color w:val="auto"/>
              </w:rPr>
            </w:pPr>
            <w:r>
              <w:rPr>
                <w:rFonts w:ascii="Arial" w:cs="Arial" w:eastAsia="Arial" w:hAnsi="Arial"/>
                <w:sz w:val="16"/>
                <w:szCs w:val="16"/>
                <w:color w:val="auto"/>
              </w:rPr>
              <w:t>Litigation and other charges</w:t>
            </w:r>
          </w:p>
        </w:tc>
        <w:tc>
          <w:tcPr>
            <w:tcW w:w="184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840" w:type="dxa"/>
            <w:vAlign w:val="bottom"/>
            <w:gridSpan w:val="2"/>
          </w:tcPr>
          <w:p>
            <w:pPr>
              <w:spacing w:after="0"/>
              <w:rPr>
                <w:sz w:val="10"/>
                <w:szCs w:val="10"/>
                <w:color w:val="auto"/>
              </w:rPr>
            </w:pPr>
          </w:p>
        </w:tc>
        <w:tc>
          <w:tcPr>
            <w:tcW w:w="1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820" w:type="dxa"/>
            <w:vAlign w:val="bottom"/>
            <w:tcBorders>
              <w:top w:val="single" w:sz="8" w:color="808080"/>
            </w:tcBorders>
          </w:tcPr>
          <w:p>
            <w:pPr>
              <w:spacing w:after="0"/>
              <w:rPr>
                <w:sz w:val="7"/>
                <w:szCs w:val="7"/>
                <w:color w:val="auto"/>
              </w:rPr>
            </w:pPr>
          </w:p>
        </w:tc>
        <w:tc>
          <w:tcPr>
            <w:tcW w:w="1840" w:type="dxa"/>
            <w:vAlign w:val="bottom"/>
            <w:tcBorders>
              <w:top w:val="single" w:sz="8" w:color="808080"/>
            </w:tcBorders>
          </w:tcPr>
          <w:p>
            <w:pPr>
              <w:spacing w:after="0"/>
              <w:rPr>
                <w:sz w:val="7"/>
                <w:szCs w:val="7"/>
                <w:color w:val="auto"/>
              </w:rPr>
            </w:pPr>
          </w:p>
        </w:tc>
        <w:tc>
          <w:tcPr>
            <w:tcW w:w="740" w:type="dxa"/>
            <w:vAlign w:val="bottom"/>
            <w:tcBorders>
              <w:top w:val="single" w:sz="8" w:color="808080"/>
            </w:tcBorders>
          </w:tcPr>
          <w:p>
            <w:pPr>
              <w:spacing w:after="0"/>
              <w:rPr>
                <w:sz w:val="7"/>
                <w:szCs w:val="7"/>
                <w:color w:val="auto"/>
              </w:rPr>
            </w:pPr>
          </w:p>
        </w:tc>
        <w:tc>
          <w:tcPr>
            <w:tcW w:w="360" w:type="dxa"/>
            <w:vAlign w:val="bottom"/>
            <w:tcBorders>
              <w:top w:val="single" w:sz="8" w:color="808080"/>
            </w:tcBorders>
          </w:tcPr>
          <w:p>
            <w:pPr>
              <w:spacing w:after="0"/>
              <w:rPr>
                <w:sz w:val="7"/>
                <w:szCs w:val="7"/>
                <w:color w:val="auto"/>
              </w:rPr>
            </w:pPr>
          </w:p>
        </w:tc>
        <w:tc>
          <w:tcPr>
            <w:tcW w:w="760" w:type="dxa"/>
            <w:vAlign w:val="bottom"/>
            <w:tcBorders>
              <w:top w:val="single" w:sz="8" w:color="808080"/>
            </w:tcBorders>
          </w:tcPr>
          <w:p>
            <w:pPr>
              <w:spacing w:after="0"/>
              <w:rPr>
                <w:sz w:val="7"/>
                <w:szCs w:val="7"/>
                <w:color w:val="auto"/>
              </w:rPr>
            </w:pPr>
          </w:p>
        </w:tc>
        <w:tc>
          <w:tcPr>
            <w:tcW w:w="30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color w:val="auto"/>
              </w:rPr>
              <w:t>Total operating costs and expenses</w:t>
            </w:r>
          </w:p>
        </w:tc>
        <w:tc>
          <w:tcPr>
            <w:tcW w:w="184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w w:val="89"/>
              </w:rPr>
              <w:t>1,839.6</w:t>
            </w:r>
          </w:p>
        </w:tc>
        <w:tc>
          <w:tcPr>
            <w:tcW w:w="36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w w:val="89"/>
              </w:rPr>
              <w:t>1,730.3</w:t>
            </w:r>
          </w:p>
        </w:tc>
        <w:tc>
          <w:tcPr>
            <w:tcW w:w="30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w w:val="89"/>
              </w:rPr>
              <w:t>1,863.6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Operating income</w:t>
            </w:r>
          </w:p>
        </w:tc>
        <w:tc>
          <w:tcPr>
            <w:tcW w:w="184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118.7</w:t>
            </w:r>
          </w:p>
        </w:tc>
        <w:tc>
          <w:tcPr>
            <w:tcW w:w="360" w:type="dxa"/>
            <w:vAlign w:val="bottom"/>
          </w:tcPr>
          <w:p>
            <w:pPr>
              <w:spacing w:after="0"/>
              <w:rPr>
                <w:sz w:val="24"/>
                <w:szCs w:val="24"/>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186.7</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color w:val="auto"/>
              </w:rPr>
              <w:t>Other income (expense)</w:t>
            </w:r>
          </w:p>
        </w:tc>
        <w:tc>
          <w:tcPr>
            <w:tcW w:w="184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2.9</w:t>
            </w:r>
          </w:p>
        </w:tc>
        <w:tc>
          <w:tcPr>
            <w:tcW w:w="36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39"/>
              <w:spacing w:after="0"/>
              <w:rPr>
                <w:sz w:val="20"/>
                <w:szCs w:val="20"/>
                <w:color w:val="auto"/>
              </w:rPr>
            </w:pPr>
            <w:r>
              <w:rPr>
                <w:rFonts w:ascii="Arial" w:cs="Arial" w:eastAsia="Arial" w:hAnsi="Arial"/>
                <w:sz w:val="16"/>
                <w:szCs w:val="16"/>
                <w:color w:val="auto"/>
              </w:rPr>
              <w:t>(2.0)</w:t>
            </w:r>
          </w:p>
        </w:tc>
        <w:tc>
          <w:tcPr>
            <w:tcW w:w="30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Interest expense</w:t>
            </w:r>
          </w:p>
        </w:tc>
        <w:tc>
          <w:tcPr>
            <w:tcW w:w="184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31.5</w:t>
            </w:r>
          </w:p>
        </w:tc>
        <w:tc>
          <w:tcPr>
            <w:tcW w:w="36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31.4</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840" w:type="dxa"/>
            <w:vAlign w:val="bottom"/>
            <w:tcBorders>
              <w:bottom w:val="single" w:sz="8" w:color="808080"/>
            </w:tcBorders>
            <w:gridSpan w:val="2"/>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color w:val="auto"/>
              </w:rPr>
              <w:t>Earnings before income taxes and Cumulative effect of accounting change</w:t>
            </w:r>
          </w:p>
        </w:tc>
        <w:tc>
          <w:tcPr>
            <w:tcW w:w="184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90.1</w:t>
            </w:r>
          </w:p>
        </w:tc>
        <w:tc>
          <w:tcPr>
            <w:tcW w:w="36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rPr>
              <w:t>153.3</w:t>
            </w:r>
          </w:p>
        </w:tc>
        <w:tc>
          <w:tcPr>
            <w:tcW w:w="30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84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31.5</w:t>
            </w:r>
          </w:p>
        </w:tc>
        <w:tc>
          <w:tcPr>
            <w:tcW w:w="36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54.6</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840" w:type="dxa"/>
            <w:vAlign w:val="bottom"/>
            <w:tcBorders>
              <w:bottom w:val="single" w:sz="8" w:color="808080"/>
            </w:tcBorders>
            <w:gridSpan w:val="2"/>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Earnings before Cumulative effect of accounting change</w:t>
            </w:r>
          </w:p>
        </w:tc>
        <w:tc>
          <w:tcPr>
            <w:tcW w:w="184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b w:val="1"/>
                <w:bCs w:val="1"/>
                <w:color w:val="auto"/>
              </w:rPr>
              <w:t>58.6</w:t>
            </w:r>
          </w:p>
        </w:tc>
        <w:tc>
          <w:tcPr>
            <w:tcW w:w="36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b w:val="1"/>
                <w:bCs w:val="1"/>
                <w:color w:val="auto"/>
              </w:rPr>
              <w:t>98.7</w:t>
            </w:r>
          </w:p>
        </w:tc>
        <w:tc>
          <w:tcPr>
            <w:tcW w:w="30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Cumulative effect of accounting change (net of income taxes of $2.9)</w:t>
            </w:r>
          </w:p>
        </w:tc>
        <w:tc>
          <w:tcPr>
            <w:tcW w:w="184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840" w:type="dxa"/>
            <w:vAlign w:val="bottom"/>
            <w:tcBorders>
              <w:bottom w:val="single" w:sz="8" w:color="808080"/>
            </w:tcBorders>
            <w:gridSpan w:val="2"/>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Net income</w:t>
            </w:r>
          </w:p>
        </w:tc>
        <w:tc>
          <w:tcPr>
            <w:tcW w:w="18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b w:val="1"/>
                <w:bCs w:val="1"/>
                <w:color w:val="auto"/>
              </w:rPr>
              <w:t>58.6</w:t>
            </w:r>
          </w:p>
        </w:tc>
        <w:tc>
          <w:tcPr>
            <w:tcW w:w="36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b w:val="1"/>
                <w:bCs w:val="1"/>
                <w:color w:val="auto"/>
              </w:rPr>
              <w:t>93.5</w:t>
            </w:r>
          </w:p>
        </w:tc>
        <w:tc>
          <w:tcPr>
            <w:tcW w:w="3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6840" w:type="dxa"/>
            <w:vAlign w:val="bottom"/>
            <w:tcBorders>
              <w:bottom w:val="single" w:sz="8" w:color="808080"/>
            </w:tcBorders>
            <w:gridSpan w:val="2"/>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Earnings per Share of Class A and Common Stock:</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color w:val="auto"/>
              </w:rPr>
              <w:t>Earnings before Cumulative effect of accounting change:</w:t>
            </w:r>
          </w:p>
        </w:tc>
        <w:tc>
          <w:tcPr>
            <w:tcW w:w="184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20" w:type="dxa"/>
            <w:vAlign w:val="bottom"/>
          </w:tcPr>
          <w:p>
            <w:pPr>
              <w:ind w:left="380"/>
              <w:spacing w:after="0"/>
              <w:rPr>
                <w:sz w:val="20"/>
                <w:szCs w:val="20"/>
                <w:color w:val="auto"/>
              </w:rPr>
            </w:pPr>
            <w:r>
              <w:rPr>
                <w:rFonts w:ascii="Arial" w:cs="Arial" w:eastAsia="Arial" w:hAnsi="Arial"/>
                <w:sz w:val="16"/>
                <w:szCs w:val="16"/>
                <w:color w:val="auto"/>
              </w:rPr>
              <w:t>Basic</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1.50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2.69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Diluted</w:t>
            </w:r>
          </w:p>
        </w:tc>
        <w:tc>
          <w:tcPr>
            <w:tcW w:w="18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1.46</w:t>
            </w:r>
          </w:p>
        </w:tc>
        <w:tc>
          <w:tcPr>
            <w:tcW w:w="3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rPr>
              <w:t>2.51</w:t>
            </w:r>
          </w:p>
        </w:tc>
        <w:tc>
          <w:tcPr>
            <w:tcW w:w="3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Cumulative effect of accounting change (net of income taxes):</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Basic</w:t>
            </w:r>
          </w:p>
        </w:tc>
        <w:tc>
          <w:tcPr>
            <w:tcW w:w="18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DDDDD"/>
          </w:tcPr>
          <w:p>
            <w:pPr>
              <w:jc w:val="right"/>
              <w:ind w:right="139"/>
              <w:spacing w:after="0"/>
              <w:rPr>
                <w:sz w:val="20"/>
                <w:szCs w:val="20"/>
                <w:color w:val="auto"/>
              </w:rPr>
            </w:pPr>
            <w:r>
              <w:rPr>
                <w:rFonts w:ascii="Arial" w:cs="Arial" w:eastAsia="Arial" w:hAnsi="Arial"/>
                <w:sz w:val="16"/>
                <w:szCs w:val="16"/>
                <w:color w:val="auto"/>
              </w:rPr>
              <w:t>(0.14)</w:t>
            </w:r>
          </w:p>
        </w:tc>
        <w:tc>
          <w:tcPr>
            <w:tcW w:w="3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ind w:left="380"/>
              <w:spacing w:after="0"/>
              <w:rPr>
                <w:sz w:val="20"/>
                <w:szCs w:val="20"/>
                <w:color w:val="auto"/>
              </w:rPr>
            </w:pPr>
            <w:r>
              <w:rPr>
                <w:rFonts w:ascii="Arial" w:cs="Arial" w:eastAsia="Arial" w:hAnsi="Arial"/>
                <w:sz w:val="16"/>
                <w:szCs w:val="16"/>
                <w:color w:val="auto"/>
              </w:rPr>
              <w:t>Diluted</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20" w:type="dxa"/>
            <w:vAlign w:val="bottom"/>
            <w:shd w:val="clear" w:color="auto" w:fill="DDDDDD"/>
          </w:tcPr>
          <w:p>
            <w:pPr>
              <w:spacing w:after="0"/>
              <w:rPr>
                <w:sz w:val="20"/>
                <w:szCs w:val="20"/>
                <w:color w:val="auto"/>
              </w:rPr>
            </w:pPr>
            <w:r>
              <w:rPr>
                <w:rFonts w:ascii="Arial" w:cs="Arial" w:eastAsia="Arial" w:hAnsi="Arial"/>
                <w:sz w:val="16"/>
                <w:szCs w:val="16"/>
                <w:color w:val="auto"/>
              </w:rPr>
              <w:t>Net income:</w:t>
            </w:r>
          </w:p>
        </w:tc>
        <w:tc>
          <w:tcPr>
            <w:tcW w:w="184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76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580" w:type="dxa"/>
            <w:vAlign w:val="bottom"/>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20" w:type="dxa"/>
            <w:vAlign w:val="bottom"/>
          </w:tcPr>
          <w:p>
            <w:pPr>
              <w:ind w:left="380"/>
              <w:spacing w:after="0"/>
              <w:rPr>
                <w:sz w:val="20"/>
                <w:szCs w:val="20"/>
                <w:color w:val="auto"/>
              </w:rPr>
            </w:pPr>
            <w:r>
              <w:rPr>
                <w:rFonts w:ascii="Arial" w:cs="Arial" w:eastAsia="Arial" w:hAnsi="Arial"/>
                <w:sz w:val="16"/>
                <w:szCs w:val="16"/>
                <w:color w:val="auto"/>
              </w:rPr>
              <w:t>Basic</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1.50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2.55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Diluted</w:t>
            </w:r>
          </w:p>
        </w:tc>
        <w:tc>
          <w:tcPr>
            <w:tcW w:w="18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rPr>
              <w:t>1.46</w:t>
            </w:r>
          </w:p>
        </w:tc>
        <w:tc>
          <w:tcPr>
            <w:tcW w:w="3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auto"/>
              </w:rPr>
              <w:t>2.38</w:t>
            </w:r>
          </w:p>
        </w:tc>
        <w:tc>
          <w:tcPr>
            <w:tcW w:w="3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68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-1520190</wp:posOffset>
            </wp:positionV>
            <wp:extent cx="12700"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-1520190</wp:posOffset>
            </wp:positionV>
            <wp:extent cx="12700" cy="28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206375</wp:posOffset>
            </wp:positionV>
            <wp:extent cx="72586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1660" w:type="dxa"/>
            <w:vAlign w:val="bottom"/>
          </w:tcPr>
          <w:p>
            <w:pPr>
              <w:spacing w:after="0"/>
              <w:rPr>
                <w:sz w:val="22"/>
                <w:szCs w:val="22"/>
                <w:color w:val="auto"/>
              </w:rPr>
            </w:pPr>
          </w:p>
        </w:tc>
        <w:tc>
          <w:tcPr>
            <w:tcW w:w="840" w:type="dxa"/>
            <w:vAlign w:val="bottom"/>
          </w:tcPr>
          <w:p>
            <w:pPr>
              <w:jc w:val="right"/>
              <w:ind w:right="219"/>
              <w:spacing w:after="0"/>
              <w:rPr>
                <w:sz w:val="20"/>
                <w:szCs w:val="20"/>
                <w:color w:val="auto"/>
              </w:rPr>
            </w:pPr>
            <w:r>
              <w:rPr>
                <w:rFonts w:ascii="Arial" w:cs="Arial" w:eastAsia="Arial" w:hAnsi="Arial"/>
                <w:sz w:val="20"/>
                <w:szCs w:val="20"/>
                <w:b w:val="1"/>
                <w:bCs w:val="1"/>
                <w:color w:val="auto"/>
              </w:rPr>
              <w:t>2003</w:t>
            </w:r>
          </w:p>
        </w:tc>
        <w:tc>
          <w:tcPr>
            <w:tcW w:w="480" w:type="dxa"/>
            <w:vAlign w:val="bottom"/>
          </w:tcPr>
          <w:p>
            <w:pPr>
              <w:spacing w:after="0"/>
              <w:rPr>
                <w:sz w:val="22"/>
                <w:szCs w:val="22"/>
                <w:color w:val="auto"/>
              </w:rPr>
            </w:pPr>
          </w:p>
        </w:tc>
        <w:tc>
          <w:tcPr>
            <w:tcW w:w="1120" w:type="dxa"/>
            <w:vAlign w:val="bottom"/>
          </w:tcPr>
          <w:p>
            <w:pPr>
              <w:jc w:val="right"/>
              <w:ind w:right="479"/>
              <w:spacing w:after="0"/>
              <w:rPr>
                <w:sz w:val="20"/>
                <w:szCs w:val="20"/>
                <w:color w:val="auto"/>
              </w:rPr>
            </w:pPr>
            <w:r>
              <w:rPr>
                <w:rFonts w:ascii="Arial" w:cs="Arial" w:eastAsia="Arial" w:hAnsi="Arial"/>
                <w:sz w:val="20"/>
                <w:szCs w:val="20"/>
                <w:b w:val="1"/>
                <w:bCs w:val="1"/>
                <w:color w:val="auto"/>
              </w:rPr>
              <w:t>2002</w:t>
            </w:r>
          </w:p>
        </w:tc>
      </w:tr>
      <w:tr>
        <w:trPr>
          <w:trHeight w:val="90"/>
        </w:trPr>
        <w:tc>
          <w:tcPr>
            <w:tcW w:w="732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r>
      <w:tr>
        <w:trPr>
          <w:trHeight w:val="287"/>
        </w:trPr>
        <w:tc>
          <w:tcPr>
            <w:tcW w:w="73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73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Cash and cash equivalents</w:t>
            </w:r>
          </w:p>
        </w:tc>
        <w:tc>
          <w:tcPr>
            <w:tcW w:w="1660" w:type="dxa"/>
            <w:vAlign w:val="bottom"/>
            <w:shd w:val="clear" w:color="auto" w:fill="DDDDDD"/>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color w:val="auto"/>
              </w:rPr>
              <w:t>58.6</w:t>
            </w:r>
          </w:p>
        </w:tc>
        <w:tc>
          <w:tcPr>
            <w:tcW w:w="4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color w:val="auto"/>
              </w:rPr>
              <w:t>10.7</w:t>
            </w:r>
          </w:p>
        </w:tc>
      </w:tr>
      <w:tr>
        <w:trPr>
          <w:trHeight w:val="188"/>
        </w:trPr>
        <w:tc>
          <w:tcPr>
            <w:tcW w:w="7320" w:type="dxa"/>
            <w:vAlign w:val="bottom"/>
          </w:tcPr>
          <w:p>
            <w:pPr>
              <w:ind w:left="380"/>
              <w:spacing w:after="0"/>
              <w:rPr>
                <w:sz w:val="20"/>
                <w:szCs w:val="20"/>
                <w:color w:val="auto"/>
              </w:rPr>
            </w:pPr>
            <w:r>
              <w:rPr>
                <w:rFonts w:ascii="Arial" w:cs="Arial" w:eastAsia="Arial" w:hAnsi="Arial"/>
                <w:sz w:val="16"/>
                <w:szCs w:val="16"/>
                <w:color w:val="auto"/>
              </w:rPr>
              <w:t>Accounts receivable (less allowances for doubtful accounts of $60.5 at May 31, 2003</w:t>
            </w: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5"/>
        </w:trPr>
        <w:tc>
          <w:tcPr>
            <w:tcW w:w="7320" w:type="dxa"/>
            <w:vAlign w:val="bottom"/>
          </w:tcPr>
          <w:p>
            <w:pPr>
              <w:ind w:left="800"/>
              <w:spacing w:after="0"/>
              <w:rPr>
                <w:sz w:val="20"/>
                <w:szCs w:val="20"/>
                <w:color w:val="auto"/>
              </w:rPr>
            </w:pPr>
            <w:r>
              <w:rPr>
                <w:rFonts w:ascii="Arial" w:cs="Arial" w:eastAsia="Arial" w:hAnsi="Arial"/>
                <w:sz w:val="16"/>
                <w:szCs w:val="16"/>
                <w:color w:val="auto"/>
              </w:rPr>
              <w:t>and $62.6 at May 31, 2002)</w:t>
            </w:r>
          </w:p>
        </w:tc>
        <w:tc>
          <w:tcPr>
            <w:tcW w:w="166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266.2</w:t>
            </w:r>
          </w:p>
        </w:tc>
        <w:tc>
          <w:tcPr>
            <w:tcW w:w="48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243.8</w:t>
            </w:r>
          </w:p>
        </w:tc>
      </w:tr>
      <w:tr>
        <w:trPr>
          <w:trHeight w:val="222"/>
        </w:trPr>
        <w:tc>
          <w:tcPr>
            <w:tcW w:w="73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Inventories</w:t>
            </w:r>
          </w:p>
        </w:tc>
        <w:tc>
          <w:tcPr>
            <w:tcW w:w="166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color w:val="auto"/>
              </w:rPr>
              <w:t>382.6</w:t>
            </w:r>
          </w:p>
        </w:tc>
        <w:tc>
          <w:tcPr>
            <w:tcW w:w="48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color w:val="auto"/>
              </w:rPr>
              <w:t>359.5</w:t>
            </w:r>
          </w:p>
        </w:tc>
      </w:tr>
      <w:tr>
        <w:trPr>
          <w:trHeight w:val="213"/>
        </w:trPr>
        <w:tc>
          <w:tcPr>
            <w:tcW w:w="7320" w:type="dxa"/>
            <w:vAlign w:val="bottom"/>
          </w:tcPr>
          <w:p>
            <w:pPr>
              <w:ind w:left="400"/>
              <w:spacing w:after="0"/>
              <w:rPr>
                <w:sz w:val="20"/>
                <w:szCs w:val="20"/>
                <w:color w:val="auto"/>
              </w:rPr>
            </w:pPr>
            <w:r>
              <w:rPr>
                <w:rFonts w:ascii="Arial" w:cs="Arial" w:eastAsia="Arial" w:hAnsi="Arial"/>
                <w:sz w:val="16"/>
                <w:szCs w:val="16"/>
                <w:color w:val="auto"/>
              </w:rPr>
              <w:t>Deferred promotion costs</w:t>
            </w:r>
          </w:p>
        </w:tc>
        <w:tc>
          <w:tcPr>
            <w:tcW w:w="166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52.8</w:t>
            </w:r>
          </w:p>
        </w:tc>
        <w:tc>
          <w:tcPr>
            <w:tcW w:w="48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44.6</w:t>
            </w:r>
          </w:p>
        </w:tc>
      </w:tr>
      <w:tr>
        <w:trPr>
          <w:trHeight w:val="230"/>
        </w:trPr>
        <w:tc>
          <w:tcPr>
            <w:tcW w:w="73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Deferred income taxes</w:t>
            </w:r>
          </w:p>
        </w:tc>
        <w:tc>
          <w:tcPr>
            <w:tcW w:w="166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color w:val="auto"/>
              </w:rPr>
              <w:t>74.6</w:t>
            </w:r>
          </w:p>
        </w:tc>
        <w:tc>
          <w:tcPr>
            <w:tcW w:w="48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color w:val="auto"/>
              </w:rPr>
              <w:t>81.3</w:t>
            </w:r>
          </w:p>
        </w:tc>
      </w:tr>
      <w:tr>
        <w:trPr>
          <w:trHeight w:val="205"/>
        </w:trPr>
        <w:tc>
          <w:tcPr>
            <w:tcW w:w="7320" w:type="dxa"/>
            <w:vAlign w:val="bottom"/>
          </w:tcPr>
          <w:p>
            <w:pPr>
              <w:ind w:left="400"/>
              <w:spacing w:after="0"/>
              <w:rPr>
                <w:sz w:val="20"/>
                <w:szCs w:val="20"/>
                <w:color w:val="auto"/>
              </w:rPr>
            </w:pPr>
            <w:r>
              <w:rPr>
                <w:rFonts w:ascii="Arial" w:cs="Arial" w:eastAsia="Arial" w:hAnsi="Arial"/>
                <w:sz w:val="16"/>
                <w:szCs w:val="16"/>
                <w:color w:val="auto"/>
              </w:rPr>
              <w:t>Prepaid and other current assets</w:t>
            </w:r>
          </w:p>
        </w:tc>
        <w:tc>
          <w:tcPr>
            <w:tcW w:w="166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47.3</w:t>
            </w:r>
          </w:p>
        </w:tc>
        <w:tc>
          <w:tcPr>
            <w:tcW w:w="48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58.6</w:t>
            </w:r>
          </w:p>
        </w:tc>
      </w:tr>
      <w:tr>
        <w:trPr>
          <w:trHeight w:val="115"/>
        </w:trPr>
        <w:tc>
          <w:tcPr>
            <w:tcW w:w="73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r>
        <w:trPr>
          <w:trHeight w:val="91"/>
        </w:trPr>
        <w:tc>
          <w:tcPr>
            <w:tcW w:w="7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1"/>
        </w:trPr>
        <w:tc>
          <w:tcPr>
            <w:tcW w:w="7320" w:type="dxa"/>
            <w:vAlign w:val="bottom"/>
            <w:shd w:val="clear" w:color="auto" w:fill="DDDDDD"/>
          </w:tcPr>
          <w:p>
            <w:pPr>
              <w:ind w:left="800"/>
              <w:spacing w:after="0"/>
              <w:rPr>
                <w:sz w:val="20"/>
                <w:szCs w:val="20"/>
                <w:color w:val="auto"/>
              </w:rPr>
            </w:pPr>
            <w:r>
              <w:rPr>
                <w:rFonts w:ascii="Arial" w:cs="Arial" w:eastAsia="Arial" w:hAnsi="Arial"/>
                <w:sz w:val="16"/>
                <w:szCs w:val="16"/>
                <w:b w:val="1"/>
                <w:bCs w:val="1"/>
                <w:color w:val="auto"/>
              </w:rPr>
              <w:t>Total current assets</w:t>
            </w:r>
          </w:p>
        </w:tc>
        <w:tc>
          <w:tcPr>
            <w:tcW w:w="166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b w:val="1"/>
                <w:bCs w:val="1"/>
                <w:color w:val="auto"/>
              </w:rPr>
              <w:t>882.1</w:t>
            </w:r>
          </w:p>
        </w:tc>
        <w:tc>
          <w:tcPr>
            <w:tcW w:w="48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b w:val="1"/>
                <w:bCs w:val="1"/>
                <w:color w:val="auto"/>
              </w:rPr>
              <w:t>798.5</w:t>
            </w:r>
          </w:p>
        </w:tc>
      </w:tr>
      <w:tr>
        <w:trPr>
          <w:trHeight w:val="98"/>
        </w:trPr>
        <w:tc>
          <w:tcPr>
            <w:tcW w:w="73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87"/>
        </w:trPr>
        <w:tc>
          <w:tcPr>
            <w:tcW w:w="7320" w:type="dxa"/>
            <w:vAlign w:val="bottom"/>
          </w:tcPr>
          <w:p>
            <w:pPr>
              <w:spacing w:after="0"/>
              <w:rPr>
                <w:sz w:val="20"/>
                <w:szCs w:val="20"/>
                <w:color w:val="auto"/>
              </w:rPr>
            </w:pPr>
            <w:r>
              <w:rPr>
                <w:rFonts w:ascii="Arial" w:cs="Arial" w:eastAsia="Arial" w:hAnsi="Arial"/>
                <w:sz w:val="16"/>
                <w:szCs w:val="16"/>
                <w:b w:val="1"/>
                <w:bCs w:val="1"/>
                <w:color w:val="auto"/>
              </w:rPr>
              <w:t>Property, Plant and Equipment:</w:t>
            </w: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73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Land</w:t>
            </w:r>
          </w:p>
        </w:tc>
        <w:tc>
          <w:tcPr>
            <w:tcW w:w="166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color w:val="auto"/>
              </w:rPr>
              <w:t>10.0</w:t>
            </w:r>
          </w:p>
        </w:tc>
        <w:tc>
          <w:tcPr>
            <w:tcW w:w="48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color w:val="auto"/>
              </w:rPr>
              <w:t>9.1</w:t>
            </w:r>
          </w:p>
        </w:tc>
      </w:tr>
      <w:tr>
        <w:trPr>
          <w:trHeight w:val="213"/>
        </w:trPr>
        <w:tc>
          <w:tcPr>
            <w:tcW w:w="7320" w:type="dxa"/>
            <w:vAlign w:val="bottom"/>
          </w:tcPr>
          <w:p>
            <w:pPr>
              <w:ind w:left="400"/>
              <w:spacing w:after="0"/>
              <w:rPr>
                <w:sz w:val="20"/>
                <w:szCs w:val="20"/>
                <w:color w:val="auto"/>
              </w:rPr>
            </w:pPr>
            <w:r>
              <w:rPr>
                <w:rFonts w:ascii="Arial" w:cs="Arial" w:eastAsia="Arial" w:hAnsi="Arial"/>
                <w:sz w:val="16"/>
                <w:szCs w:val="16"/>
                <w:color w:val="auto"/>
              </w:rPr>
              <w:t>Buildings</w:t>
            </w:r>
          </w:p>
        </w:tc>
        <w:tc>
          <w:tcPr>
            <w:tcW w:w="166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77.2</w:t>
            </w:r>
          </w:p>
        </w:tc>
        <w:tc>
          <w:tcPr>
            <w:tcW w:w="48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59.8</w:t>
            </w:r>
          </w:p>
        </w:tc>
      </w:tr>
      <w:tr>
        <w:trPr>
          <w:trHeight w:val="230"/>
        </w:trPr>
        <w:tc>
          <w:tcPr>
            <w:tcW w:w="73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Furniture, fixtures and equipment</w:t>
            </w:r>
          </w:p>
        </w:tc>
        <w:tc>
          <w:tcPr>
            <w:tcW w:w="166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color w:val="auto"/>
              </w:rPr>
              <w:t>285.5</w:t>
            </w:r>
          </w:p>
        </w:tc>
        <w:tc>
          <w:tcPr>
            <w:tcW w:w="48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color w:val="auto"/>
              </w:rPr>
              <w:t>220.2</w:t>
            </w:r>
          </w:p>
        </w:tc>
      </w:tr>
      <w:tr>
        <w:trPr>
          <w:trHeight w:val="205"/>
        </w:trPr>
        <w:tc>
          <w:tcPr>
            <w:tcW w:w="7320" w:type="dxa"/>
            <w:vAlign w:val="bottom"/>
          </w:tcPr>
          <w:p>
            <w:pPr>
              <w:ind w:left="400"/>
              <w:spacing w:after="0"/>
              <w:rPr>
                <w:sz w:val="20"/>
                <w:szCs w:val="20"/>
                <w:color w:val="auto"/>
              </w:rPr>
            </w:pPr>
            <w:r>
              <w:rPr>
                <w:rFonts w:ascii="Arial" w:cs="Arial" w:eastAsia="Arial" w:hAnsi="Arial"/>
                <w:sz w:val="16"/>
                <w:szCs w:val="16"/>
                <w:color w:val="auto"/>
              </w:rPr>
              <w:t>Leasehold improvements</w:t>
            </w:r>
          </w:p>
        </w:tc>
        <w:tc>
          <w:tcPr>
            <w:tcW w:w="166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158.0</w:t>
            </w:r>
          </w:p>
        </w:tc>
        <w:tc>
          <w:tcPr>
            <w:tcW w:w="48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153.1</w:t>
            </w:r>
          </w:p>
        </w:tc>
      </w:tr>
      <w:tr>
        <w:trPr>
          <w:trHeight w:val="115"/>
        </w:trPr>
        <w:tc>
          <w:tcPr>
            <w:tcW w:w="73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r>
        <w:trPr>
          <w:trHeight w:val="91"/>
        </w:trPr>
        <w:tc>
          <w:tcPr>
            <w:tcW w:w="7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1"/>
        </w:trPr>
        <w:tc>
          <w:tcPr>
            <w:tcW w:w="7320" w:type="dxa"/>
            <w:vAlign w:val="bottom"/>
            <w:shd w:val="clear" w:color="auto" w:fill="DDDDDD"/>
          </w:tcPr>
          <w:p>
            <w:pPr>
              <w:spacing w:after="0"/>
              <w:rPr>
                <w:sz w:val="19"/>
                <w:szCs w:val="19"/>
                <w:color w:val="auto"/>
              </w:rPr>
            </w:pPr>
          </w:p>
        </w:tc>
        <w:tc>
          <w:tcPr>
            <w:tcW w:w="166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color w:val="auto"/>
              </w:rPr>
              <w:t>530.7</w:t>
            </w:r>
          </w:p>
        </w:tc>
        <w:tc>
          <w:tcPr>
            <w:tcW w:w="48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color w:val="auto"/>
              </w:rPr>
              <w:t>442.2</w:t>
            </w:r>
          </w:p>
        </w:tc>
      </w:tr>
      <w:tr>
        <w:trPr>
          <w:trHeight w:val="205"/>
        </w:trPr>
        <w:tc>
          <w:tcPr>
            <w:tcW w:w="7320" w:type="dxa"/>
            <w:vAlign w:val="bottom"/>
          </w:tcPr>
          <w:p>
            <w:pPr>
              <w:ind w:left="400"/>
              <w:spacing w:after="0"/>
              <w:rPr>
                <w:sz w:val="20"/>
                <w:szCs w:val="20"/>
                <w:color w:val="auto"/>
              </w:rPr>
            </w:pPr>
            <w:r>
              <w:rPr>
                <w:rFonts w:ascii="Arial" w:cs="Arial" w:eastAsia="Arial" w:hAnsi="Arial"/>
                <w:sz w:val="16"/>
                <w:szCs w:val="16"/>
                <w:color w:val="auto"/>
              </w:rPr>
              <w:t>Less accumulated depreciation and amortization</w:t>
            </w:r>
          </w:p>
        </w:tc>
        <w:tc>
          <w:tcPr>
            <w:tcW w:w="1660" w:type="dxa"/>
            <w:vAlign w:val="bottom"/>
          </w:tcPr>
          <w:p>
            <w:pPr>
              <w:spacing w:after="0"/>
              <w:rPr>
                <w:sz w:val="17"/>
                <w:szCs w:val="17"/>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(189.0)</w:t>
            </w:r>
          </w:p>
        </w:tc>
        <w:tc>
          <w:tcPr>
            <w:tcW w:w="48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(140.8)</w:t>
            </w:r>
          </w:p>
        </w:tc>
      </w:tr>
      <w:tr>
        <w:trPr>
          <w:trHeight w:val="115"/>
        </w:trPr>
        <w:tc>
          <w:tcPr>
            <w:tcW w:w="73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r>
        <w:trPr>
          <w:trHeight w:val="91"/>
        </w:trPr>
        <w:tc>
          <w:tcPr>
            <w:tcW w:w="7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1"/>
        </w:trPr>
        <w:tc>
          <w:tcPr>
            <w:tcW w:w="7320" w:type="dxa"/>
            <w:vAlign w:val="bottom"/>
            <w:shd w:val="clear" w:color="auto" w:fill="DDDDDD"/>
          </w:tcPr>
          <w:p>
            <w:pPr>
              <w:ind w:left="800"/>
              <w:spacing w:after="0"/>
              <w:rPr>
                <w:sz w:val="20"/>
                <w:szCs w:val="20"/>
                <w:color w:val="auto"/>
              </w:rPr>
            </w:pPr>
            <w:r>
              <w:rPr>
                <w:rFonts w:ascii="Arial" w:cs="Arial" w:eastAsia="Arial" w:hAnsi="Arial"/>
                <w:sz w:val="16"/>
                <w:szCs w:val="16"/>
                <w:b w:val="1"/>
                <w:bCs w:val="1"/>
                <w:color w:val="auto"/>
              </w:rPr>
              <w:t>Net property, plant and equipment</w:t>
            </w:r>
          </w:p>
        </w:tc>
        <w:tc>
          <w:tcPr>
            <w:tcW w:w="166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9"/>
              <w:spacing w:after="0"/>
              <w:rPr>
                <w:sz w:val="20"/>
                <w:szCs w:val="20"/>
                <w:color w:val="auto"/>
              </w:rPr>
            </w:pPr>
            <w:r>
              <w:rPr>
                <w:rFonts w:ascii="Arial" w:cs="Arial" w:eastAsia="Arial" w:hAnsi="Arial"/>
                <w:sz w:val="16"/>
                <w:szCs w:val="16"/>
                <w:b w:val="1"/>
                <w:bCs w:val="1"/>
                <w:color w:val="auto"/>
              </w:rPr>
              <w:t>341.7</w:t>
            </w:r>
          </w:p>
        </w:tc>
        <w:tc>
          <w:tcPr>
            <w:tcW w:w="48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479"/>
              <w:spacing w:after="0"/>
              <w:rPr>
                <w:sz w:val="20"/>
                <w:szCs w:val="20"/>
                <w:color w:val="auto"/>
              </w:rPr>
            </w:pPr>
            <w:r>
              <w:rPr>
                <w:rFonts w:ascii="Arial" w:cs="Arial" w:eastAsia="Arial" w:hAnsi="Arial"/>
                <w:sz w:val="16"/>
                <w:szCs w:val="16"/>
                <w:b w:val="1"/>
                <w:bCs w:val="1"/>
                <w:color w:val="auto"/>
              </w:rPr>
              <w:t>301.4</w:t>
            </w:r>
          </w:p>
        </w:tc>
      </w:tr>
      <w:tr>
        <w:trPr>
          <w:trHeight w:val="98"/>
        </w:trPr>
        <w:tc>
          <w:tcPr>
            <w:tcW w:w="73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87"/>
        </w:trPr>
        <w:tc>
          <w:tcPr>
            <w:tcW w:w="7320" w:type="dxa"/>
            <w:vAlign w:val="bottom"/>
            <w:tcBorders>
              <w:bottom w:val="single" w:sz="8" w:color="DDDDDD"/>
            </w:tcBorders>
          </w:tcPr>
          <w:p>
            <w:pPr>
              <w:spacing w:after="0"/>
              <w:rPr>
                <w:sz w:val="20"/>
                <w:szCs w:val="20"/>
                <w:color w:val="auto"/>
              </w:rPr>
            </w:pPr>
            <w:r>
              <w:rPr>
                <w:rFonts w:ascii="Arial" w:cs="Arial" w:eastAsia="Arial" w:hAnsi="Arial"/>
                <w:sz w:val="16"/>
                <w:szCs w:val="16"/>
                <w:b w:val="1"/>
                <w:bCs w:val="1"/>
                <w:color w:val="auto"/>
              </w:rPr>
              <w:t>Other Assets and Deferred Charges:</w:t>
            </w:r>
          </w:p>
        </w:tc>
        <w:tc>
          <w:tcPr>
            <w:tcW w:w="166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tcPr>
          <w:p>
            <w:pPr>
              <w:spacing w:after="0"/>
              <w:rPr>
                <w:sz w:val="24"/>
                <w:szCs w:val="24"/>
                <w:color w:val="auto"/>
              </w:rPr>
            </w:pPr>
          </w:p>
        </w:tc>
        <w:tc>
          <w:tcPr>
            <w:tcW w:w="480" w:type="dxa"/>
            <w:vAlign w:val="bottom"/>
            <w:tcBorders>
              <w:bottom w:val="single" w:sz="8" w:color="DDDDDD"/>
            </w:tcBorders>
          </w:tcPr>
          <w:p>
            <w:pPr>
              <w:spacing w:after="0"/>
              <w:rPr>
                <w:sz w:val="24"/>
                <w:szCs w:val="24"/>
                <w:color w:val="auto"/>
              </w:rPr>
            </w:pPr>
          </w:p>
        </w:tc>
        <w:tc>
          <w:tcPr>
            <w:tcW w:w="1120" w:type="dxa"/>
            <w:vAlign w:val="bottom"/>
            <w:tcBorders>
              <w:bottom w:val="single" w:sz="8" w:color="DDDDDD"/>
            </w:tcBorders>
          </w:tcPr>
          <w:p>
            <w:pPr>
              <w:spacing w:after="0"/>
              <w:rPr>
                <w:sz w:val="24"/>
                <w:szCs w:val="24"/>
                <w:color w:val="auto"/>
              </w:rPr>
            </w:pPr>
          </w:p>
        </w:tc>
      </w:tr>
    </w:tbl>
    <w:p>
      <w:pPr>
        <w:sectPr>
          <w:pgSz w:w="11900" w:h="16900" w:orient="portrait"/>
          <w:cols w:equalWidth="0" w:num="1">
            <w:col w:w="11440"/>
          </w:cols>
          <w:pgMar w:left="240" w:top="114" w:right="219" w:bottom="0" w:gutter="0" w:footer="0" w:header="0"/>
        </w:sectPr>
      </w:pPr>
    </w:p>
    <w:bookmarkStart w:id="18" w:name="page19"/>
    <w:bookmarkEnd w:id="1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80" w:type="dxa"/>
            <w:vAlign w:val="bottom"/>
            <w:shd w:val="clear" w:color="auto" w:fill="DDDDDD"/>
          </w:tcPr>
          <w:p>
            <w:pPr>
              <w:ind w:left="400"/>
              <w:spacing w:after="0"/>
              <w:rPr>
                <w:sz w:val="20"/>
                <w:szCs w:val="20"/>
                <w:color w:val="auto"/>
              </w:rPr>
            </w:pPr>
            <w:r>
              <w:rPr>
                <w:rFonts w:ascii="Arial" w:cs="Arial" w:eastAsia="Arial" w:hAnsi="Arial"/>
                <w:sz w:val="16"/>
                <w:szCs w:val="16"/>
                <w:color w:val="auto"/>
              </w:rPr>
              <w:t>Prepublication costs</w:t>
            </w:r>
          </w:p>
        </w:tc>
        <w:tc>
          <w:tcPr>
            <w:tcW w:w="370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122.0</w:t>
            </w:r>
          </w:p>
        </w:tc>
        <w:tc>
          <w:tcPr>
            <w:tcW w:w="1540" w:type="dxa"/>
            <w:vAlign w:val="bottom"/>
            <w:shd w:val="clear" w:color="auto" w:fill="DDDDDD"/>
          </w:tcPr>
          <w:p>
            <w:pPr>
              <w:jc w:val="right"/>
              <w:ind w:right="480"/>
              <w:spacing w:after="0"/>
              <w:rPr>
                <w:sz w:val="20"/>
                <w:szCs w:val="20"/>
                <w:color w:val="auto"/>
              </w:rPr>
            </w:pPr>
            <w:r>
              <w:rPr>
                <w:rFonts w:ascii="Arial" w:cs="Arial" w:eastAsia="Arial" w:hAnsi="Arial"/>
                <w:sz w:val="16"/>
                <w:szCs w:val="16"/>
                <w:color w:val="auto"/>
              </w:rPr>
              <w:t>113.6</w:t>
            </w:r>
          </w:p>
        </w:tc>
        <w:tc>
          <w:tcPr>
            <w:tcW w:w="20" w:type="dxa"/>
            <w:vAlign w:val="bottom"/>
          </w:tcPr>
          <w:p>
            <w:pPr>
              <w:spacing w:after="0"/>
              <w:rPr>
                <w:sz w:val="19"/>
                <w:szCs w:val="19"/>
                <w:color w:val="auto"/>
              </w:rPr>
            </w:pPr>
          </w:p>
        </w:tc>
      </w:tr>
      <w:tr>
        <w:trPr>
          <w:trHeight w:val="213"/>
        </w:trPr>
        <w:tc>
          <w:tcPr>
            <w:tcW w:w="6180" w:type="dxa"/>
            <w:vAlign w:val="bottom"/>
          </w:tcPr>
          <w:p>
            <w:pPr>
              <w:ind w:left="400"/>
              <w:spacing w:after="0"/>
              <w:rPr>
                <w:sz w:val="20"/>
                <w:szCs w:val="20"/>
                <w:color w:val="auto"/>
              </w:rPr>
            </w:pPr>
            <w:r>
              <w:rPr>
                <w:rFonts w:ascii="Arial" w:cs="Arial" w:eastAsia="Arial" w:hAnsi="Arial"/>
                <w:sz w:val="16"/>
                <w:szCs w:val="16"/>
                <w:color w:val="auto"/>
              </w:rPr>
              <w:t>Royalty advances</w:t>
            </w:r>
          </w:p>
        </w:tc>
        <w:tc>
          <w:tcPr>
            <w:tcW w:w="3700" w:type="dxa"/>
            <w:vAlign w:val="bottom"/>
          </w:tcPr>
          <w:p>
            <w:pPr>
              <w:jc w:val="right"/>
              <w:ind w:right="280"/>
              <w:spacing w:after="0"/>
              <w:rPr>
                <w:sz w:val="20"/>
                <w:szCs w:val="20"/>
                <w:color w:val="auto"/>
              </w:rPr>
            </w:pPr>
            <w:r>
              <w:rPr>
                <w:rFonts w:ascii="Arial" w:cs="Arial" w:eastAsia="Arial" w:hAnsi="Arial"/>
                <w:sz w:val="16"/>
                <w:szCs w:val="16"/>
                <w:color w:val="auto"/>
              </w:rPr>
              <w:t>49.8</w:t>
            </w:r>
          </w:p>
        </w:tc>
        <w:tc>
          <w:tcPr>
            <w:tcW w:w="1540" w:type="dxa"/>
            <w:vAlign w:val="bottom"/>
          </w:tcPr>
          <w:p>
            <w:pPr>
              <w:jc w:val="right"/>
              <w:ind w:right="480"/>
              <w:spacing w:after="0"/>
              <w:rPr>
                <w:sz w:val="20"/>
                <w:szCs w:val="20"/>
                <w:color w:val="auto"/>
              </w:rPr>
            </w:pPr>
            <w:r>
              <w:rPr>
                <w:rFonts w:ascii="Arial" w:cs="Arial" w:eastAsia="Arial" w:hAnsi="Arial"/>
                <w:sz w:val="16"/>
                <w:szCs w:val="16"/>
                <w:color w:val="auto"/>
              </w:rPr>
              <w:t>50.7</w:t>
            </w:r>
          </w:p>
        </w:tc>
        <w:tc>
          <w:tcPr>
            <w:tcW w:w="20" w:type="dxa"/>
            <w:vAlign w:val="bottom"/>
          </w:tcPr>
          <w:p>
            <w:pPr>
              <w:spacing w:after="0"/>
              <w:rPr>
                <w:sz w:val="18"/>
                <w:szCs w:val="18"/>
                <w:color w:val="auto"/>
              </w:rPr>
            </w:pPr>
          </w:p>
        </w:tc>
      </w:tr>
      <w:tr>
        <w:trPr>
          <w:trHeight w:val="230"/>
        </w:trPr>
        <w:tc>
          <w:tcPr>
            <w:tcW w:w="6180" w:type="dxa"/>
            <w:vAlign w:val="bottom"/>
            <w:shd w:val="clear" w:color="auto" w:fill="DDDDDD"/>
          </w:tcPr>
          <w:p>
            <w:pPr>
              <w:ind w:left="400"/>
              <w:spacing w:after="0"/>
              <w:rPr>
                <w:sz w:val="20"/>
                <w:szCs w:val="20"/>
                <w:color w:val="auto"/>
              </w:rPr>
            </w:pPr>
            <w:r>
              <w:rPr>
                <w:rFonts w:ascii="Arial" w:cs="Arial" w:eastAsia="Arial" w:hAnsi="Arial"/>
                <w:sz w:val="16"/>
                <w:szCs w:val="16"/>
                <w:color w:val="auto"/>
              </w:rPr>
              <w:t>Production costs</w:t>
            </w:r>
          </w:p>
        </w:tc>
        <w:tc>
          <w:tcPr>
            <w:tcW w:w="370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11.0</w:t>
            </w:r>
          </w:p>
        </w:tc>
        <w:tc>
          <w:tcPr>
            <w:tcW w:w="1540" w:type="dxa"/>
            <w:vAlign w:val="bottom"/>
            <w:shd w:val="clear" w:color="auto" w:fill="DDDDDD"/>
          </w:tcPr>
          <w:p>
            <w:pPr>
              <w:jc w:val="right"/>
              <w:ind w:right="480"/>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9"/>
                <w:szCs w:val="19"/>
                <w:color w:val="auto"/>
              </w:rPr>
            </w:pPr>
          </w:p>
        </w:tc>
      </w:tr>
      <w:tr>
        <w:trPr>
          <w:trHeight w:val="213"/>
        </w:trPr>
        <w:tc>
          <w:tcPr>
            <w:tcW w:w="6180" w:type="dxa"/>
            <w:vAlign w:val="bottom"/>
          </w:tcPr>
          <w:p>
            <w:pPr>
              <w:ind w:left="400"/>
              <w:spacing w:after="0"/>
              <w:rPr>
                <w:sz w:val="20"/>
                <w:szCs w:val="20"/>
                <w:color w:val="auto"/>
              </w:rPr>
            </w:pPr>
            <w:r>
              <w:rPr>
                <w:rFonts w:ascii="Arial" w:cs="Arial" w:eastAsia="Arial" w:hAnsi="Arial"/>
                <w:sz w:val="16"/>
                <w:szCs w:val="16"/>
                <w:color w:val="auto"/>
              </w:rPr>
              <w:t>Goodwill</w:t>
            </w:r>
          </w:p>
        </w:tc>
        <w:tc>
          <w:tcPr>
            <w:tcW w:w="3700" w:type="dxa"/>
            <w:vAlign w:val="bottom"/>
          </w:tcPr>
          <w:p>
            <w:pPr>
              <w:jc w:val="right"/>
              <w:ind w:right="280"/>
              <w:spacing w:after="0"/>
              <w:rPr>
                <w:sz w:val="20"/>
                <w:szCs w:val="20"/>
                <w:color w:val="auto"/>
              </w:rPr>
            </w:pPr>
            <w:r>
              <w:rPr>
                <w:rFonts w:ascii="Arial" w:cs="Arial" w:eastAsia="Arial" w:hAnsi="Arial"/>
                <w:sz w:val="16"/>
                <w:szCs w:val="16"/>
                <w:color w:val="auto"/>
              </w:rPr>
              <w:t>246.0</w:t>
            </w:r>
          </w:p>
        </w:tc>
        <w:tc>
          <w:tcPr>
            <w:tcW w:w="1540" w:type="dxa"/>
            <w:vAlign w:val="bottom"/>
          </w:tcPr>
          <w:p>
            <w:pPr>
              <w:jc w:val="right"/>
              <w:ind w:right="480"/>
              <w:spacing w:after="0"/>
              <w:rPr>
                <w:sz w:val="20"/>
                <w:szCs w:val="20"/>
                <w:color w:val="auto"/>
              </w:rPr>
            </w:pPr>
            <w:r>
              <w:rPr>
                <w:rFonts w:ascii="Arial" w:cs="Arial" w:eastAsia="Arial" w:hAnsi="Arial"/>
                <w:sz w:val="16"/>
                <w:szCs w:val="16"/>
                <w:color w:val="auto"/>
              </w:rPr>
              <w:t>256.2</w:t>
            </w:r>
          </w:p>
        </w:tc>
        <w:tc>
          <w:tcPr>
            <w:tcW w:w="20" w:type="dxa"/>
            <w:vAlign w:val="bottom"/>
          </w:tcPr>
          <w:p>
            <w:pPr>
              <w:spacing w:after="0"/>
              <w:rPr>
                <w:sz w:val="18"/>
                <w:szCs w:val="18"/>
                <w:color w:val="auto"/>
              </w:rPr>
            </w:pPr>
          </w:p>
        </w:tc>
      </w:tr>
      <w:tr>
        <w:trPr>
          <w:trHeight w:val="230"/>
        </w:trPr>
        <w:tc>
          <w:tcPr>
            <w:tcW w:w="6180" w:type="dxa"/>
            <w:vAlign w:val="bottom"/>
            <w:shd w:val="clear" w:color="auto" w:fill="DDDDDD"/>
          </w:tcPr>
          <w:p>
            <w:pPr>
              <w:ind w:left="400"/>
              <w:spacing w:after="0"/>
              <w:rPr>
                <w:sz w:val="20"/>
                <w:szCs w:val="20"/>
                <w:color w:val="auto"/>
              </w:rPr>
            </w:pPr>
            <w:r>
              <w:rPr>
                <w:rFonts w:ascii="Arial" w:cs="Arial" w:eastAsia="Arial" w:hAnsi="Arial"/>
                <w:sz w:val="16"/>
                <w:szCs w:val="16"/>
                <w:color w:val="auto"/>
              </w:rPr>
              <w:t>Other intangibles</w:t>
            </w:r>
          </w:p>
        </w:tc>
        <w:tc>
          <w:tcPr>
            <w:tcW w:w="370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74.2</w:t>
            </w:r>
          </w:p>
        </w:tc>
        <w:tc>
          <w:tcPr>
            <w:tcW w:w="1540" w:type="dxa"/>
            <w:vAlign w:val="bottom"/>
            <w:shd w:val="clear" w:color="auto" w:fill="DDDDDD"/>
          </w:tcPr>
          <w:p>
            <w:pPr>
              <w:jc w:val="right"/>
              <w:ind w:right="480"/>
              <w:spacing w:after="0"/>
              <w:rPr>
                <w:sz w:val="20"/>
                <w:szCs w:val="20"/>
                <w:color w:val="auto"/>
              </w:rPr>
            </w:pPr>
            <w:r>
              <w:rPr>
                <w:rFonts w:ascii="Arial" w:cs="Arial" w:eastAsia="Arial" w:hAnsi="Arial"/>
                <w:sz w:val="16"/>
                <w:szCs w:val="16"/>
                <w:color w:val="auto"/>
              </w:rPr>
              <w:t>63.8</w:t>
            </w:r>
          </w:p>
        </w:tc>
        <w:tc>
          <w:tcPr>
            <w:tcW w:w="20" w:type="dxa"/>
            <w:vAlign w:val="bottom"/>
          </w:tcPr>
          <w:p>
            <w:pPr>
              <w:spacing w:after="0"/>
              <w:rPr>
                <w:sz w:val="19"/>
                <w:szCs w:val="19"/>
                <w:color w:val="auto"/>
              </w:rPr>
            </w:pPr>
          </w:p>
        </w:tc>
      </w:tr>
      <w:tr>
        <w:trPr>
          <w:trHeight w:val="213"/>
        </w:trPr>
        <w:tc>
          <w:tcPr>
            <w:tcW w:w="6180" w:type="dxa"/>
            <w:vAlign w:val="bottom"/>
          </w:tcPr>
          <w:p>
            <w:pPr>
              <w:ind w:left="400"/>
              <w:spacing w:after="0"/>
              <w:rPr>
                <w:sz w:val="20"/>
                <w:szCs w:val="20"/>
                <w:color w:val="auto"/>
              </w:rPr>
            </w:pPr>
            <w:r>
              <w:rPr>
                <w:rFonts w:ascii="Arial" w:cs="Arial" w:eastAsia="Arial" w:hAnsi="Arial"/>
                <w:sz w:val="16"/>
                <w:szCs w:val="16"/>
                <w:color w:val="auto"/>
              </w:rPr>
              <w:t>Noncurrent deferred taxes</w:t>
            </w:r>
          </w:p>
        </w:tc>
        <w:tc>
          <w:tcPr>
            <w:tcW w:w="3700" w:type="dxa"/>
            <w:vAlign w:val="bottom"/>
          </w:tcPr>
          <w:p>
            <w:pPr>
              <w:jc w:val="right"/>
              <w:ind w:right="280"/>
              <w:spacing w:after="0"/>
              <w:rPr>
                <w:sz w:val="20"/>
                <w:szCs w:val="20"/>
                <w:color w:val="auto"/>
              </w:rPr>
            </w:pPr>
            <w:r>
              <w:rPr>
                <w:rFonts w:ascii="Arial" w:cs="Arial" w:eastAsia="Arial" w:hAnsi="Arial"/>
                <w:sz w:val="16"/>
                <w:szCs w:val="16"/>
                <w:color w:val="auto"/>
              </w:rPr>
              <w:t>7.7</w:t>
            </w:r>
          </w:p>
        </w:tc>
        <w:tc>
          <w:tcPr>
            <w:tcW w:w="1540" w:type="dxa"/>
            <w:vAlign w:val="bottom"/>
          </w:tcPr>
          <w:p>
            <w:pPr>
              <w:jc w:val="right"/>
              <w:ind w:right="480"/>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r>
      <w:tr>
        <w:trPr>
          <w:trHeight w:val="213"/>
        </w:trPr>
        <w:tc>
          <w:tcPr>
            <w:tcW w:w="6180" w:type="dxa"/>
            <w:vAlign w:val="bottom"/>
            <w:shd w:val="clear" w:color="auto" w:fill="DDDDDD"/>
          </w:tcPr>
          <w:p>
            <w:pPr>
              <w:ind w:left="400"/>
              <w:spacing w:after="0"/>
              <w:rPr>
                <w:sz w:val="20"/>
                <w:szCs w:val="20"/>
                <w:color w:val="auto"/>
              </w:rPr>
            </w:pPr>
            <w:r>
              <w:rPr>
                <w:rFonts w:ascii="Arial" w:cs="Arial" w:eastAsia="Arial" w:hAnsi="Arial"/>
                <w:sz w:val="16"/>
                <w:szCs w:val="16"/>
                <w:color w:val="auto"/>
              </w:rPr>
              <w:t>Other</w:t>
            </w:r>
          </w:p>
        </w:tc>
        <w:tc>
          <w:tcPr>
            <w:tcW w:w="370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66.5</w:t>
            </w:r>
          </w:p>
        </w:tc>
        <w:tc>
          <w:tcPr>
            <w:tcW w:w="1540" w:type="dxa"/>
            <w:vAlign w:val="bottom"/>
            <w:shd w:val="clear" w:color="auto" w:fill="DDDDDD"/>
          </w:tcPr>
          <w:p>
            <w:pPr>
              <w:jc w:val="right"/>
              <w:ind w:right="480"/>
              <w:spacing w:after="0"/>
              <w:rPr>
                <w:sz w:val="20"/>
                <w:szCs w:val="20"/>
                <w:color w:val="auto"/>
              </w:rPr>
            </w:pPr>
            <w:r>
              <w:rPr>
                <w:rFonts w:ascii="Arial" w:cs="Arial" w:eastAsia="Arial" w:hAnsi="Arial"/>
                <w:sz w:val="16"/>
                <w:szCs w:val="16"/>
                <w:color w:val="auto"/>
              </w:rPr>
              <w:t>25.3</w:t>
            </w:r>
          </w:p>
        </w:tc>
        <w:tc>
          <w:tcPr>
            <w:tcW w:w="20" w:type="dxa"/>
            <w:vAlign w:val="bottom"/>
          </w:tcPr>
          <w:p>
            <w:pPr>
              <w:spacing w:after="0"/>
              <w:rPr>
                <w:sz w:val="18"/>
                <w:szCs w:val="18"/>
                <w:color w:val="auto"/>
              </w:rPr>
            </w:pPr>
          </w:p>
        </w:tc>
      </w:tr>
      <w:tr>
        <w:trPr>
          <w:trHeight w:val="115"/>
        </w:trPr>
        <w:tc>
          <w:tcPr>
            <w:tcW w:w="6180" w:type="dxa"/>
            <w:vAlign w:val="bottom"/>
            <w:tcBorders>
              <w:bottom w:val="single" w:sz="8" w:color="808080"/>
            </w:tcBorders>
            <w:shd w:val="clear" w:color="auto" w:fill="DDDDDD"/>
          </w:tcPr>
          <w:p>
            <w:pPr>
              <w:spacing w:after="0"/>
              <w:rPr>
                <w:sz w:val="10"/>
                <w:szCs w:val="10"/>
                <w:color w:val="auto"/>
              </w:rPr>
            </w:pPr>
          </w:p>
        </w:tc>
        <w:tc>
          <w:tcPr>
            <w:tcW w:w="3700" w:type="dxa"/>
            <w:vAlign w:val="bottom"/>
            <w:tcBorders>
              <w:bottom w:val="single" w:sz="8" w:color="808080"/>
            </w:tcBorders>
            <w:shd w:val="clear" w:color="auto" w:fill="DDDDDD"/>
          </w:tcPr>
          <w:p>
            <w:pPr>
              <w:spacing w:after="0"/>
              <w:rPr>
                <w:sz w:val="10"/>
                <w:szCs w:val="10"/>
                <w:color w:val="auto"/>
              </w:rPr>
            </w:pPr>
          </w:p>
        </w:tc>
        <w:tc>
          <w:tcPr>
            <w:tcW w:w="1540" w:type="dxa"/>
            <w:vAlign w:val="bottom"/>
            <w:tcBorders>
              <w:bottom w:val="single" w:sz="8" w:color="808080"/>
            </w:tcBorders>
            <w:shd w:val="clear" w:color="auto" w:fill="DDDDDD"/>
          </w:tcPr>
          <w:p>
            <w:pPr>
              <w:spacing w:after="0"/>
              <w:rPr>
                <w:sz w:val="10"/>
                <w:szCs w:val="10"/>
                <w:color w:val="auto"/>
              </w:rPr>
            </w:pPr>
          </w:p>
        </w:tc>
        <w:tc>
          <w:tcPr>
            <w:tcW w:w="20" w:type="dxa"/>
            <w:vAlign w:val="bottom"/>
          </w:tcPr>
          <w:p>
            <w:pPr>
              <w:spacing w:after="0"/>
              <w:rPr>
                <w:sz w:val="10"/>
                <w:szCs w:val="10"/>
                <w:color w:val="auto"/>
              </w:rPr>
            </w:pPr>
          </w:p>
        </w:tc>
      </w:tr>
      <w:tr>
        <w:trPr>
          <w:trHeight w:val="91"/>
        </w:trPr>
        <w:tc>
          <w:tcPr>
            <w:tcW w:w="6180" w:type="dxa"/>
            <w:vAlign w:val="bottom"/>
            <w:shd w:val="clear" w:color="auto" w:fill="DDDDDD"/>
          </w:tcPr>
          <w:p>
            <w:pPr>
              <w:spacing w:after="0"/>
              <w:rPr>
                <w:sz w:val="7"/>
                <w:szCs w:val="7"/>
                <w:color w:val="auto"/>
              </w:rPr>
            </w:pPr>
          </w:p>
        </w:tc>
        <w:tc>
          <w:tcPr>
            <w:tcW w:w="3700" w:type="dxa"/>
            <w:vAlign w:val="bottom"/>
            <w:shd w:val="clear" w:color="auto" w:fill="DDDDDD"/>
          </w:tcPr>
          <w:p>
            <w:pPr>
              <w:spacing w:after="0"/>
              <w:rPr>
                <w:sz w:val="7"/>
                <w:szCs w:val="7"/>
                <w:color w:val="auto"/>
              </w:rPr>
            </w:pPr>
          </w:p>
        </w:tc>
        <w:tc>
          <w:tcPr>
            <w:tcW w:w="1540" w:type="dxa"/>
            <w:vAlign w:val="bottom"/>
            <w:shd w:val="clear" w:color="auto" w:fill="DDDDDD"/>
          </w:tcPr>
          <w:p>
            <w:pPr>
              <w:spacing w:after="0"/>
              <w:rPr>
                <w:sz w:val="7"/>
                <w:szCs w:val="7"/>
                <w:color w:val="auto"/>
              </w:rPr>
            </w:pPr>
          </w:p>
        </w:tc>
        <w:tc>
          <w:tcPr>
            <w:tcW w:w="20" w:type="dxa"/>
            <w:vAlign w:val="bottom"/>
          </w:tcPr>
          <w:p>
            <w:pPr>
              <w:spacing w:after="0"/>
              <w:rPr>
                <w:sz w:val="7"/>
                <w:szCs w:val="7"/>
                <w:color w:val="auto"/>
              </w:rPr>
            </w:pPr>
          </w:p>
        </w:tc>
      </w:tr>
      <w:tr>
        <w:trPr>
          <w:trHeight w:val="209"/>
        </w:trPr>
        <w:tc>
          <w:tcPr>
            <w:tcW w:w="6180" w:type="dxa"/>
            <w:vAlign w:val="bottom"/>
          </w:tcPr>
          <w:p>
            <w:pPr>
              <w:ind w:left="800"/>
              <w:spacing w:after="0"/>
              <w:rPr>
                <w:sz w:val="20"/>
                <w:szCs w:val="20"/>
                <w:color w:val="auto"/>
              </w:rPr>
            </w:pPr>
            <w:r>
              <w:rPr>
                <w:rFonts w:ascii="Arial" w:cs="Arial" w:eastAsia="Arial" w:hAnsi="Arial"/>
                <w:sz w:val="16"/>
                <w:szCs w:val="16"/>
                <w:b w:val="1"/>
                <w:bCs w:val="1"/>
                <w:color w:val="auto"/>
              </w:rPr>
              <w:t>Total other assets and deferred charges</w:t>
            </w:r>
          </w:p>
        </w:tc>
        <w:tc>
          <w:tcPr>
            <w:tcW w:w="3700" w:type="dxa"/>
            <w:vAlign w:val="bottom"/>
          </w:tcPr>
          <w:p>
            <w:pPr>
              <w:jc w:val="right"/>
              <w:ind w:right="280"/>
              <w:spacing w:after="0"/>
              <w:rPr>
                <w:sz w:val="20"/>
                <w:szCs w:val="20"/>
                <w:color w:val="auto"/>
              </w:rPr>
            </w:pPr>
            <w:r>
              <w:rPr>
                <w:rFonts w:ascii="Arial" w:cs="Arial" w:eastAsia="Arial" w:hAnsi="Arial"/>
                <w:sz w:val="16"/>
                <w:szCs w:val="16"/>
                <w:b w:val="1"/>
                <w:bCs w:val="1"/>
                <w:color w:val="auto"/>
              </w:rPr>
              <w:t>577.2</w:t>
            </w:r>
          </w:p>
        </w:tc>
        <w:tc>
          <w:tcPr>
            <w:tcW w:w="1540" w:type="dxa"/>
            <w:vAlign w:val="bottom"/>
          </w:tcPr>
          <w:p>
            <w:pPr>
              <w:jc w:val="right"/>
              <w:ind w:right="480"/>
              <w:spacing w:after="0"/>
              <w:rPr>
                <w:sz w:val="20"/>
                <w:szCs w:val="20"/>
                <w:color w:val="auto"/>
              </w:rPr>
            </w:pPr>
            <w:r>
              <w:rPr>
                <w:rFonts w:ascii="Arial" w:cs="Arial" w:eastAsia="Arial" w:hAnsi="Arial"/>
                <w:sz w:val="16"/>
                <w:szCs w:val="16"/>
                <w:b w:val="1"/>
                <w:bCs w:val="1"/>
                <w:color w:val="auto"/>
              </w:rPr>
              <w:t>529.7</w:t>
            </w:r>
          </w:p>
        </w:tc>
        <w:tc>
          <w:tcPr>
            <w:tcW w:w="20" w:type="dxa"/>
            <w:vAlign w:val="bottom"/>
          </w:tcPr>
          <w:p>
            <w:pPr>
              <w:spacing w:after="0"/>
              <w:rPr>
                <w:sz w:val="18"/>
                <w:szCs w:val="18"/>
                <w:color w:val="auto"/>
              </w:rPr>
            </w:pPr>
          </w:p>
        </w:tc>
      </w:tr>
      <w:tr>
        <w:trPr>
          <w:trHeight w:val="111"/>
        </w:trPr>
        <w:tc>
          <w:tcPr>
            <w:tcW w:w="618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91"/>
        </w:trPr>
        <w:tc>
          <w:tcPr>
            <w:tcW w:w="618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21"/>
        </w:trPr>
        <w:tc>
          <w:tcPr>
            <w:tcW w:w="6180" w:type="dxa"/>
            <w:vAlign w:val="bottom"/>
            <w:shd w:val="clear" w:color="auto" w:fill="DDDDDD"/>
          </w:tcPr>
          <w:p>
            <w:pPr>
              <w:ind w:left="400"/>
              <w:spacing w:after="0"/>
              <w:rPr>
                <w:sz w:val="20"/>
                <w:szCs w:val="20"/>
                <w:color w:val="auto"/>
              </w:rPr>
            </w:pPr>
            <w:r>
              <w:rPr>
                <w:rFonts w:ascii="Arial" w:cs="Arial" w:eastAsia="Arial" w:hAnsi="Arial"/>
                <w:sz w:val="16"/>
                <w:szCs w:val="16"/>
                <w:b w:val="1"/>
                <w:bCs w:val="1"/>
                <w:color w:val="auto"/>
              </w:rPr>
              <w:t>Total assets</w:t>
            </w:r>
          </w:p>
        </w:tc>
        <w:tc>
          <w:tcPr>
            <w:tcW w:w="3700" w:type="dxa"/>
            <w:vAlign w:val="bottom"/>
            <w:shd w:val="clear" w:color="auto" w:fill="DDDDDD"/>
          </w:tcPr>
          <w:p>
            <w:pPr>
              <w:jc w:val="right"/>
              <w:ind w:right="280"/>
              <w:spacing w:after="0"/>
              <w:rPr>
                <w:sz w:val="20"/>
                <w:szCs w:val="20"/>
                <w:color w:val="auto"/>
              </w:rPr>
            </w:pPr>
            <w:r>
              <w:rPr>
                <w:rFonts w:ascii="Arial" w:cs="Arial" w:eastAsia="Arial" w:hAnsi="Arial"/>
                <w:sz w:val="16"/>
                <w:szCs w:val="16"/>
                <w:b w:val="1"/>
                <w:bCs w:val="1"/>
                <w:color w:val="auto"/>
              </w:rPr>
              <w:t>$ 1,801.0</w:t>
            </w:r>
          </w:p>
        </w:tc>
        <w:tc>
          <w:tcPr>
            <w:tcW w:w="1540" w:type="dxa"/>
            <w:vAlign w:val="bottom"/>
            <w:shd w:val="clear" w:color="auto" w:fill="DDDDDD"/>
          </w:tcPr>
          <w:p>
            <w:pPr>
              <w:jc w:val="right"/>
              <w:ind w:right="480"/>
              <w:spacing w:after="0"/>
              <w:rPr>
                <w:sz w:val="20"/>
                <w:szCs w:val="20"/>
                <w:color w:val="auto"/>
              </w:rPr>
            </w:pPr>
            <w:r>
              <w:rPr>
                <w:rFonts w:ascii="Arial" w:cs="Arial" w:eastAsia="Arial" w:hAnsi="Arial"/>
                <w:sz w:val="16"/>
                <w:szCs w:val="16"/>
                <w:b w:val="1"/>
                <w:bCs w:val="1"/>
                <w:color w:val="auto"/>
              </w:rPr>
              <w:t>$ 1,629.6</w:t>
            </w:r>
          </w:p>
        </w:tc>
        <w:tc>
          <w:tcPr>
            <w:tcW w:w="20" w:type="dxa"/>
            <w:vAlign w:val="bottom"/>
          </w:tcPr>
          <w:p>
            <w:pPr>
              <w:spacing w:after="0"/>
              <w:rPr>
                <w:sz w:val="19"/>
                <w:szCs w:val="19"/>
                <w:color w:val="auto"/>
              </w:rPr>
            </w:pPr>
          </w:p>
        </w:tc>
      </w:tr>
      <w:tr>
        <w:trPr>
          <w:trHeight w:val="119"/>
        </w:trPr>
        <w:tc>
          <w:tcPr>
            <w:tcW w:w="618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(Amounts in millions, except share data)</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868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19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20"/>
                <w:szCs w:val="20"/>
                <w:b w:val="1"/>
                <w:bCs w:val="1"/>
                <w:color w:val="auto"/>
              </w:rPr>
              <w:t>2003</w:t>
            </w:r>
          </w:p>
        </w:tc>
        <w:tc>
          <w:tcPr>
            <w:tcW w:w="3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20"/>
                <w:szCs w:val="20"/>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808080"/>
            </w:tcBorders>
          </w:tcPr>
          <w:p>
            <w:pPr>
              <w:spacing w:after="0"/>
              <w:rPr>
                <w:sz w:val="7"/>
                <w:szCs w:val="7"/>
                <w:color w:val="auto"/>
              </w:rPr>
            </w:pPr>
          </w:p>
        </w:tc>
        <w:tc>
          <w:tcPr>
            <w:tcW w:w="7560" w:type="dxa"/>
            <w:vAlign w:val="bottom"/>
            <w:tcBorders>
              <w:bottom w:val="single" w:sz="8" w:color="808080"/>
            </w:tcBorders>
          </w:tcPr>
          <w:p>
            <w:pPr>
              <w:spacing w:after="0"/>
              <w:rPr>
                <w:sz w:val="7"/>
                <w:szCs w:val="7"/>
                <w:color w:val="auto"/>
              </w:rPr>
            </w:pPr>
          </w:p>
        </w:tc>
        <w:tc>
          <w:tcPr>
            <w:tcW w:w="19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Lines of credit and short-term debt</w:t>
            </w:r>
          </w:p>
        </w:tc>
        <w:tc>
          <w:tcPr>
            <w:tcW w:w="19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153.7</w:t>
            </w:r>
          </w:p>
        </w:tc>
        <w:tc>
          <w:tcPr>
            <w:tcW w:w="3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9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139.4</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DDDDDD"/>
          </w:tcPr>
          <w:p>
            <w:pPr>
              <w:ind w:left="360"/>
              <w:spacing w:after="0"/>
              <w:rPr>
                <w:sz w:val="20"/>
                <w:szCs w:val="20"/>
                <w:color w:val="auto"/>
              </w:rPr>
            </w:pPr>
            <w:r>
              <w:rPr>
                <w:rFonts w:ascii="Arial" w:cs="Arial" w:eastAsia="Arial" w:hAnsi="Arial"/>
                <w:sz w:val="16"/>
                <w:szCs w:val="16"/>
                <w:color w:val="auto"/>
              </w:rPr>
              <w:t>Accrued royalties</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32.3</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9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18.8</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Other accrued expenses</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133.5</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119.2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5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560" w:type="dxa"/>
            <w:vAlign w:val="bottom"/>
          </w:tcPr>
          <w:p>
            <w:pPr>
              <w:ind w:left="780"/>
              <w:spacing w:after="0"/>
              <w:rPr>
                <w:sz w:val="20"/>
                <w:szCs w:val="20"/>
                <w:color w:val="auto"/>
              </w:rPr>
            </w:pPr>
            <w:r>
              <w:rPr>
                <w:rFonts w:ascii="Arial" w:cs="Arial" w:eastAsia="Arial" w:hAnsi="Arial"/>
                <w:sz w:val="16"/>
                <w:szCs w:val="16"/>
                <w:b w:val="1"/>
                <w:bCs w:val="1"/>
                <w:color w:val="auto"/>
              </w:rPr>
              <w:t>Total current liabilities</w:t>
            </w:r>
          </w:p>
        </w:tc>
        <w:tc>
          <w:tcPr>
            <w:tcW w:w="19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477.7</w:t>
            </w: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331.7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7580" w:type="dxa"/>
            <w:vAlign w:val="bottom"/>
            <w:gridSpan w:val="2"/>
          </w:tcPr>
          <w:p>
            <w:pPr>
              <w:spacing w:after="0"/>
              <w:rPr>
                <w:sz w:val="10"/>
                <w:szCs w:val="10"/>
                <w:color w:val="auto"/>
              </w:rPr>
            </w:pPr>
          </w:p>
        </w:tc>
        <w:tc>
          <w:tcPr>
            <w:tcW w:w="1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560" w:type="dxa"/>
            <w:vAlign w:val="bottom"/>
            <w:tcBorders>
              <w:top w:val="single" w:sz="8" w:color="808080"/>
            </w:tcBorders>
          </w:tcPr>
          <w:p>
            <w:pPr>
              <w:spacing w:after="0"/>
              <w:rPr>
                <w:sz w:val="7"/>
                <w:szCs w:val="7"/>
                <w:color w:val="auto"/>
              </w:rPr>
            </w:pPr>
          </w:p>
        </w:tc>
        <w:tc>
          <w:tcPr>
            <w:tcW w:w="1920" w:type="dxa"/>
            <w:vAlign w:val="bottom"/>
            <w:tcBorders>
              <w:top w:val="single" w:sz="8" w:color="808080"/>
            </w:tcBorders>
          </w:tcPr>
          <w:p>
            <w:pPr>
              <w:spacing w:after="0"/>
              <w:rPr>
                <w:sz w:val="7"/>
                <w:szCs w:val="7"/>
                <w:color w:val="auto"/>
              </w:rPr>
            </w:pPr>
          </w:p>
        </w:tc>
        <w:tc>
          <w:tcPr>
            <w:tcW w:w="920" w:type="dxa"/>
            <w:vAlign w:val="bottom"/>
            <w:tcBorders>
              <w:top w:val="single" w:sz="8" w:color="808080"/>
            </w:tcBorders>
          </w:tcPr>
          <w:p>
            <w:pPr>
              <w:spacing w:after="0"/>
              <w:rPr>
                <w:sz w:val="7"/>
                <w:szCs w:val="7"/>
                <w:color w:val="auto"/>
              </w:rPr>
            </w:pPr>
          </w:p>
        </w:tc>
        <w:tc>
          <w:tcPr>
            <w:tcW w:w="300" w:type="dxa"/>
            <w:vAlign w:val="bottom"/>
            <w:tcBorders>
              <w:top w:val="single" w:sz="8" w:color="808080"/>
            </w:tcBorders>
          </w:tcPr>
          <w:p>
            <w:pPr>
              <w:spacing w:after="0"/>
              <w:rPr>
                <w:sz w:val="7"/>
                <w:szCs w:val="7"/>
                <w:color w:val="auto"/>
              </w:rPr>
            </w:pPr>
          </w:p>
        </w:tc>
        <w:tc>
          <w:tcPr>
            <w:tcW w:w="7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5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Noncurrent Liabilities:</w:t>
            </w:r>
          </w:p>
        </w:tc>
        <w:tc>
          <w:tcPr>
            <w:tcW w:w="192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380"/>
              <w:spacing w:after="0"/>
              <w:rPr>
                <w:sz w:val="20"/>
                <w:szCs w:val="20"/>
                <w:color w:val="auto"/>
              </w:rPr>
            </w:pPr>
            <w:r>
              <w:rPr>
                <w:rFonts w:ascii="Arial" w:cs="Arial" w:eastAsia="Arial" w:hAnsi="Arial"/>
                <w:sz w:val="16"/>
                <w:szCs w:val="16"/>
                <w:color w:val="auto"/>
              </w:rPr>
              <w:t>Long-term debt</w:t>
            </w:r>
          </w:p>
        </w:tc>
        <w:tc>
          <w:tcPr>
            <w:tcW w:w="19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482.2</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Other noncurrent liabilities</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68.5</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5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560" w:type="dxa"/>
            <w:vAlign w:val="bottom"/>
          </w:tcPr>
          <w:p>
            <w:pPr>
              <w:ind w:left="780"/>
              <w:spacing w:after="0"/>
              <w:rPr>
                <w:sz w:val="20"/>
                <w:szCs w:val="20"/>
                <w:color w:val="auto"/>
              </w:rPr>
            </w:pPr>
            <w:r>
              <w:rPr>
                <w:rFonts w:ascii="Arial" w:cs="Arial" w:eastAsia="Arial" w:hAnsi="Arial"/>
                <w:sz w:val="16"/>
                <w:szCs w:val="16"/>
                <w:b w:val="1"/>
                <w:bCs w:val="1"/>
                <w:color w:val="auto"/>
              </w:rPr>
              <w:t>Total noncurrent liabilities</w:t>
            </w:r>
          </w:p>
        </w:tc>
        <w:tc>
          <w:tcPr>
            <w:tcW w:w="19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550.7</w:t>
            </w: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579.0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7580" w:type="dxa"/>
            <w:vAlign w:val="bottom"/>
            <w:gridSpan w:val="2"/>
          </w:tcPr>
          <w:p>
            <w:pPr>
              <w:spacing w:after="0"/>
              <w:rPr>
                <w:sz w:val="10"/>
                <w:szCs w:val="10"/>
                <w:color w:val="auto"/>
              </w:rPr>
            </w:pPr>
          </w:p>
        </w:tc>
        <w:tc>
          <w:tcPr>
            <w:tcW w:w="1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560" w:type="dxa"/>
            <w:vAlign w:val="bottom"/>
            <w:tcBorders>
              <w:top w:val="single" w:sz="8" w:color="808080"/>
            </w:tcBorders>
          </w:tcPr>
          <w:p>
            <w:pPr>
              <w:spacing w:after="0"/>
              <w:rPr>
                <w:sz w:val="7"/>
                <w:szCs w:val="7"/>
                <w:color w:val="auto"/>
              </w:rPr>
            </w:pPr>
          </w:p>
        </w:tc>
        <w:tc>
          <w:tcPr>
            <w:tcW w:w="1920" w:type="dxa"/>
            <w:vAlign w:val="bottom"/>
            <w:tcBorders>
              <w:top w:val="single" w:sz="8" w:color="808080"/>
            </w:tcBorders>
          </w:tcPr>
          <w:p>
            <w:pPr>
              <w:spacing w:after="0"/>
              <w:rPr>
                <w:sz w:val="7"/>
                <w:szCs w:val="7"/>
                <w:color w:val="auto"/>
              </w:rPr>
            </w:pPr>
          </w:p>
        </w:tc>
        <w:tc>
          <w:tcPr>
            <w:tcW w:w="920" w:type="dxa"/>
            <w:vAlign w:val="bottom"/>
            <w:tcBorders>
              <w:top w:val="single" w:sz="8" w:color="808080"/>
            </w:tcBorders>
          </w:tcPr>
          <w:p>
            <w:pPr>
              <w:spacing w:after="0"/>
              <w:rPr>
                <w:sz w:val="7"/>
                <w:szCs w:val="7"/>
                <w:color w:val="auto"/>
              </w:rPr>
            </w:pPr>
          </w:p>
        </w:tc>
        <w:tc>
          <w:tcPr>
            <w:tcW w:w="300" w:type="dxa"/>
            <w:vAlign w:val="bottom"/>
            <w:tcBorders>
              <w:top w:val="single" w:sz="8" w:color="808080"/>
            </w:tcBorders>
          </w:tcPr>
          <w:p>
            <w:pPr>
              <w:spacing w:after="0"/>
              <w:rPr>
                <w:sz w:val="7"/>
                <w:szCs w:val="7"/>
                <w:color w:val="auto"/>
              </w:rPr>
            </w:pPr>
          </w:p>
        </w:tc>
        <w:tc>
          <w:tcPr>
            <w:tcW w:w="7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75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Commitments and Contingencies</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239"/>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Preferred Stock, $1.00 par value</w:t>
            </w:r>
          </w:p>
        </w:tc>
        <w:tc>
          <w:tcPr>
            <w:tcW w:w="192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shd w:val="clear" w:color="auto" w:fill="DDDDDD"/>
          </w:tcPr>
          <w:p>
            <w:pPr>
              <w:ind w:left="760"/>
              <w:spacing w:after="0"/>
              <w:rPr>
                <w:sz w:val="20"/>
                <w:szCs w:val="20"/>
                <w:color w:val="auto"/>
              </w:rPr>
            </w:pPr>
            <w:r>
              <w:rPr>
                <w:rFonts w:ascii="Arial" w:cs="Arial" w:eastAsia="Arial" w:hAnsi="Arial"/>
                <w:sz w:val="16"/>
                <w:szCs w:val="16"/>
                <w:color w:val="auto"/>
              </w:rPr>
              <w:t>Authorized—2,000,000 shares; Issued—None</w:t>
            </w:r>
          </w:p>
        </w:tc>
        <w:tc>
          <w:tcPr>
            <w:tcW w:w="1920" w:type="dxa"/>
            <w:vAlign w:val="bottom"/>
            <w:shd w:val="clear" w:color="auto" w:fill="DDDDDD"/>
          </w:tcPr>
          <w:p>
            <w:pPr>
              <w:spacing w:after="0"/>
              <w:rPr>
                <w:sz w:val="17"/>
                <w:szCs w:val="17"/>
                <w:color w:val="auto"/>
              </w:rPr>
            </w:pP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DDDDDD"/>
          </w:tcPr>
          <w:p>
            <w:pPr>
              <w:spacing w:after="0"/>
              <w:rPr>
                <w:sz w:val="17"/>
                <w:szCs w:val="17"/>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ind w:left="380"/>
              <w:spacing w:after="0"/>
              <w:rPr>
                <w:sz w:val="20"/>
                <w:szCs w:val="20"/>
                <w:color w:val="auto"/>
              </w:rPr>
            </w:pPr>
            <w:r>
              <w:rPr>
                <w:rFonts w:ascii="Arial" w:cs="Arial" w:eastAsia="Arial" w:hAnsi="Arial"/>
                <w:sz w:val="16"/>
                <w:szCs w:val="16"/>
                <w:color w:val="auto"/>
              </w:rPr>
              <w:t>Class A Stock, $.01 par value</w:t>
            </w:r>
          </w:p>
        </w:tc>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60" w:type="dxa"/>
            <w:vAlign w:val="bottom"/>
          </w:tcPr>
          <w:p>
            <w:pPr>
              <w:ind w:left="760"/>
              <w:spacing w:after="0"/>
              <w:rPr>
                <w:sz w:val="20"/>
                <w:szCs w:val="20"/>
                <w:color w:val="auto"/>
              </w:rPr>
            </w:pPr>
            <w:r>
              <w:rPr>
                <w:rFonts w:ascii="Arial" w:cs="Arial" w:eastAsia="Arial" w:hAnsi="Arial"/>
                <w:sz w:val="16"/>
                <w:szCs w:val="16"/>
                <w:color w:val="auto"/>
              </w:rPr>
              <w:t>Authorized—2,500,000 shares; Issued and outstanding—1,656,200 shares</w:t>
            </w:r>
          </w:p>
        </w:tc>
        <w:tc>
          <w:tcPr>
            <w:tcW w:w="192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Common Stock, $.01 par value</w:t>
            </w:r>
          </w:p>
        </w:tc>
        <w:tc>
          <w:tcPr>
            <w:tcW w:w="192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shd w:val="clear" w:color="auto" w:fill="DDDDDD"/>
          </w:tcPr>
          <w:p>
            <w:pPr>
              <w:ind w:left="760"/>
              <w:spacing w:after="0"/>
              <w:rPr>
                <w:sz w:val="20"/>
                <w:szCs w:val="20"/>
                <w:color w:val="auto"/>
              </w:rPr>
            </w:pPr>
            <w:r>
              <w:rPr>
                <w:rFonts w:ascii="Arial" w:cs="Arial" w:eastAsia="Arial" w:hAnsi="Arial"/>
                <w:sz w:val="16"/>
                <w:szCs w:val="16"/>
                <w:color w:val="auto"/>
              </w:rPr>
              <w:t>Authorized—70,000,000 shares; Issued and outstanding—37,608,333 shares</w:t>
            </w:r>
          </w:p>
        </w:tc>
        <w:tc>
          <w:tcPr>
            <w:tcW w:w="192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shd w:val="clear" w:color="auto" w:fill="DDDDDD"/>
          </w:tcPr>
          <w:p>
            <w:pPr>
              <w:ind w:left="780"/>
              <w:spacing w:after="0"/>
              <w:rPr>
                <w:sz w:val="20"/>
                <w:szCs w:val="20"/>
                <w:color w:val="auto"/>
              </w:rPr>
            </w:pPr>
            <w:r>
              <w:rPr>
                <w:rFonts w:ascii="Arial" w:cs="Arial" w:eastAsia="Arial" w:hAnsi="Arial"/>
                <w:sz w:val="16"/>
                <w:szCs w:val="16"/>
                <w:color w:val="auto"/>
              </w:rPr>
              <w:t>(37,417,222 shares at May 31, 2002)</w:t>
            </w:r>
          </w:p>
        </w:tc>
        <w:tc>
          <w:tcPr>
            <w:tcW w:w="1920" w:type="dxa"/>
            <w:vAlign w:val="bottom"/>
            <w:shd w:val="clear" w:color="auto" w:fill="DDDDDD"/>
          </w:tcPr>
          <w:p>
            <w:pPr>
              <w:spacing w:after="0"/>
              <w:rPr>
                <w:sz w:val="17"/>
                <w:szCs w:val="17"/>
                <w:color w:val="auto"/>
              </w:rPr>
            </w:pP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0.4</w:t>
            </w:r>
          </w:p>
        </w:tc>
        <w:tc>
          <w:tcPr>
            <w:tcW w:w="300" w:type="dxa"/>
            <w:vAlign w:val="bottom"/>
            <w:shd w:val="clear" w:color="auto" w:fill="DDDDDD"/>
          </w:tcPr>
          <w:p>
            <w:pPr>
              <w:spacing w:after="0"/>
              <w:rPr>
                <w:sz w:val="17"/>
                <w:szCs w:val="17"/>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9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379.9</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Deferred compensation</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39"/>
              <w:spacing w:after="0"/>
              <w:rPr>
                <w:sz w:val="20"/>
                <w:szCs w:val="20"/>
                <w:color w:val="auto"/>
              </w:rPr>
            </w:pPr>
            <w:r>
              <w:rPr>
                <w:rFonts w:ascii="Arial" w:cs="Arial" w:eastAsia="Arial" w:hAnsi="Arial"/>
                <w:sz w:val="16"/>
                <w:szCs w:val="16"/>
                <w:color w:val="auto"/>
              </w:rPr>
              <w:t>(1.1)</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39"/>
              <w:spacing w:after="0"/>
              <w:rPr>
                <w:sz w:val="20"/>
                <w:szCs w:val="20"/>
                <w:color w:val="auto"/>
              </w:rPr>
            </w:pPr>
            <w:r>
              <w:rPr>
                <w:rFonts w:ascii="Arial" w:cs="Arial" w:eastAsia="Arial" w:hAnsi="Arial"/>
                <w:sz w:val="16"/>
                <w:szCs w:val="16"/>
                <w:color w:val="auto"/>
              </w:rPr>
              <w:t>(9.8)</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380"/>
              <w:spacing w:after="0"/>
              <w:rPr>
                <w:sz w:val="20"/>
                <w:szCs w:val="20"/>
                <w:color w:val="auto"/>
              </w:rPr>
            </w:pPr>
            <w:r>
              <w:rPr>
                <w:rFonts w:ascii="Arial" w:cs="Arial" w:eastAsia="Arial" w:hAnsi="Arial"/>
                <w:sz w:val="16"/>
                <w:szCs w:val="16"/>
                <w:color w:val="auto"/>
              </w:rPr>
              <w:t>Minimum pension liability adjustment</w:t>
            </w:r>
          </w:p>
        </w:tc>
        <w:tc>
          <w:tcPr>
            <w:tcW w:w="19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Retained earnings</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431.2</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372.6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5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560" w:type="dxa"/>
            <w:vAlign w:val="bottom"/>
          </w:tcPr>
          <w:p>
            <w:pPr>
              <w:ind w:left="780"/>
              <w:spacing w:after="0"/>
              <w:rPr>
                <w:sz w:val="20"/>
                <w:szCs w:val="20"/>
                <w:color w:val="auto"/>
              </w:rPr>
            </w:pPr>
            <w:r>
              <w:rPr>
                <w:rFonts w:ascii="Arial" w:cs="Arial" w:eastAsia="Arial" w:hAnsi="Arial"/>
                <w:sz w:val="16"/>
                <w:szCs w:val="16"/>
                <w:b w:val="1"/>
                <w:bCs w:val="1"/>
                <w:color w:val="auto"/>
              </w:rPr>
              <w:t>Total stockholders’ equity</w:t>
            </w:r>
          </w:p>
        </w:tc>
        <w:tc>
          <w:tcPr>
            <w:tcW w:w="19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772.6</w:t>
            </w: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718.9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7580" w:type="dxa"/>
            <w:vAlign w:val="bottom"/>
            <w:gridSpan w:val="2"/>
          </w:tcPr>
          <w:p>
            <w:pPr>
              <w:spacing w:after="0"/>
              <w:rPr>
                <w:sz w:val="10"/>
                <w:szCs w:val="10"/>
                <w:color w:val="auto"/>
              </w:rPr>
            </w:pPr>
          </w:p>
        </w:tc>
        <w:tc>
          <w:tcPr>
            <w:tcW w:w="1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560" w:type="dxa"/>
            <w:vAlign w:val="bottom"/>
            <w:tcBorders>
              <w:top w:val="single" w:sz="8" w:color="808080"/>
            </w:tcBorders>
          </w:tcPr>
          <w:p>
            <w:pPr>
              <w:spacing w:after="0"/>
              <w:rPr>
                <w:sz w:val="7"/>
                <w:szCs w:val="7"/>
                <w:color w:val="auto"/>
              </w:rPr>
            </w:pPr>
          </w:p>
        </w:tc>
        <w:tc>
          <w:tcPr>
            <w:tcW w:w="1920" w:type="dxa"/>
            <w:vAlign w:val="bottom"/>
            <w:tcBorders>
              <w:top w:val="single" w:sz="8" w:color="808080"/>
            </w:tcBorders>
          </w:tcPr>
          <w:p>
            <w:pPr>
              <w:spacing w:after="0"/>
              <w:rPr>
                <w:sz w:val="7"/>
                <w:szCs w:val="7"/>
                <w:color w:val="auto"/>
              </w:rPr>
            </w:pPr>
          </w:p>
        </w:tc>
        <w:tc>
          <w:tcPr>
            <w:tcW w:w="920" w:type="dxa"/>
            <w:vAlign w:val="bottom"/>
            <w:tcBorders>
              <w:top w:val="single" w:sz="8" w:color="808080"/>
            </w:tcBorders>
          </w:tcPr>
          <w:p>
            <w:pPr>
              <w:spacing w:after="0"/>
              <w:rPr>
                <w:sz w:val="7"/>
                <w:szCs w:val="7"/>
                <w:color w:val="auto"/>
              </w:rPr>
            </w:pPr>
          </w:p>
        </w:tc>
        <w:tc>
          <w:tcPr>
            <w:tcW w:w="300" w:type="dxa"/>
            <w:vAlign w:val="bottom"/>
            <w:tcBorders>
              <w:top w:val="single" w:sz="8" w:color="808080"/>
            </w:tcBorders>
          </w:tcPr>
          <w:p>
            <w:pPr>
              <w:spacing w:after="0"/>
              <w:rPr>
                <w:sz w:val="7"/>
                <w:szCs w:val="7"/>
                <w:color w:val="auto"/>
              </w:rPr>
            </w:pPr>
          </w:p>
        </w:tc>
        <w:tc>
          <w:tcPr>
            <w:tcW w:w="7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75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92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99"/>
              <w:spacing w:after="0"/>
              <w:rPr>
                <w:sz w:val="20"/>
                <w:szCs w:val="20"/>
                <w:color w:val="auto"/>
              </w:rPr>
            </w:pPr>
            <w:r>
              <w:rPr>
                <w:rFonts w:ascii="Arial" w:cs="Arial" w:eastAsia="Arial" w:hAnsi="Arial"/>
                <w:sz w:val="16"/>
                <w:szCs w:val="16"/>
                <w:b w:val="1"/>
                <w:bCs w:val="1"/>
                <w:color w:val="auto"/>
                <w:w w:val="92"/>
              </w:rPr>
              <w:t>$ 1,801.0</w:t>
            </w:r>
          </w:p>
        </w:tc>
        <w:tc>
          <w:tcPr>
            <w:tcW w:w="30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6"/>
                <w:szCs w:val="16"/>
                <w:b w:val="1"/>
                <w:bCs w:val="1"/>
                <w:color w:val="auto"/>
                <w:w w:val="86"/>
              </w:rPr>
              <w:t>$ 1,629.6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7580" w:type="dxa"/>
            <w:vAlign w:val="bottom"/>
            <w:tcBorders>
              <w:bottom w:val="single" w:sz="8" w:color="808080"/>
            </w:tcBorders>
            <w:gridSpan w:val="2"/>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09"/>
        </w:trPr>
        <w:tc>
          <w:tcPr>
            <w:tcW w:w="7580" w:type="dxa"/>
            <w:vAlign w:val="bottom"/>
            <w:gridSpan w:val="2"/>
          </w:tcPr>
          <w:p>
            <w:pPr>
              <w:jc w:val="right"/>
              <w:ind w:right="1700"/>
              <w:spacing w:after="0"/>
              <w:rPr>
                <w:sz w:val="20"/>
                <w:szCs w:val="20"/>
                <w:color w:val="auto"/>
              </w:rPr>
            </w:pPr>
            <w:r>
              <w:rPr>
                <w:rFonts w:ascii="Arial" w:cs="Arial" w:eastAsia="Arial" w:hAnsi="Arial"/>
                <w:sz w:val="16"/>
                <w:szCs w:val="16"/>
                <w:color w:val="auto"/>
              </w:rPr>
              <w:t>30</w:t>
            </w: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808080"/>
            </w:tcBorders>
          </w:tcPr>
          <w:p>
            <w:pPr>
              <w:spacing w:after="0"/>
              <w:rPr>
                <w:sz w:val="20"/>
                <w:szCs w:val="20"/>
                <w:color w:val="auto"/>
              </w:rPr>
            </w:pPr>
          </w:p>
        </w:tc>
        <w:tc>
          <w:tcPr>
            <w:tcW w:w="7560" w:type="dxa"/>
            <w:vAlign w:val="bottom"/>
            <w:tcBorders>
              <w:bottom w:val="single" w:sz="8" w:color="808080"/>
            </w:tcBorders>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92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-636905</wp:posOffset>
            </wp:positionV>
            <wp:extent cx="12700" cy="28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-636905</wp:posOffset>
            </wp:positionV>
            <wp:extent cx="12700" cy="28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122555</wp:posOffset>
            </wp:positionV>
            <wp:extent cx="3891280" cy="3282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520"/>
        <w:spacing w:after="0"/>
        <w:rPr>
          <w:sz w:val="20"/>
          <w:szCs w:val="20"/>
          <w:color w:val="auto"/>
        </w:rPr>
      </w:pPr>
      <w:r>
        <w:rPr>
          <w:rFonts w:ascii="Arial" w:cs="Arial" w:eastAsia="Arial" w:hAnsi="Arial"/>
          <w:sz w:val="20"/>
          <w:szCs w:val="20"/>
          <w:b w:val="1"/>
          <w:bCs w:val="1"/>
          <w:color w:val="auto"/>
        </w:rPr>
        <w:t>Consolidated Statements of Changes in</w:t>
      </w:r>
    </w:p>
    <w:p>
      <w:pPr>
        <w:spacing w:after="0" w:line="249" w:lineRule="exact"/>
        <w:rPr>
          <w:sz w:val="20"/>
          <w:szCs w:val="20"/>
          <w:color w:val="auto"/>
        </w:rPr>
      </w:pPr>
    </w:p>
    <w:tbl>
      <w:tblPr>
        <w:tblLayout w:type="fixed"/>
        <w:tblInd w:w="5040" w:type="dxa"/>
        <w:tblCellMar>
          <w:top w:w="0" w:type="dxa"/>
          <w:left w:w="0" w:type="dxa"/>
          <w:bottom w:w="0" w:type="dxa"/>
          <w:right w:w="0" w:type="dxa"/>
        </w:tblCellMar>
      </w:tblPr>
      <w:tr>
        <w:trPr>
          <w:trHeight w:val="255"/>
        </w:trPr>
        <w:tc>
          <w:tcPr>
            <w:tcW w:w="2200" w:type="dxa"/>
            <w:vAlign w:val="bottom"/>
            <w:gridSpan w:val="2"/>
          </w:tcPr>
          <w:p>
            <w:pPr>
              <w:ind w:left="540"/>
              <w:spacing w:after="0"/>
              <w:rPr>
                <w:sz w:val="20"/>
                <w:szCs w:val="20"/>
                <w:color w:val="auto"/>
              </w:rPr>
            </w:pPr>
            <w:r>
              <w:rPr>
                <w:rFonts w:ascii="Arial" w:cs="Arial" w:eastAsia="Arial" w:hAnsi="Arial"/>
                <w:sz w:val="20"/>
                <w:szCs w:val="20"/>
                <w:b w:val="1"/>
                <w:bCs w:val="1"/>
                <w:color w:val="auto"/>
              </w:rPr>
              <w:t>Class A Stock</w:t>
            </w:r>
          </w:p>
        </w:tc>
        <w:tc>
          <w:tcPr>
            <w:tcW w:w="240" w:type="dxa"/>
            <w:vAlign w:val="bottom"/>
          </w:tcPr>
          <w:p>
            <w:pPr>
              <w:spacing w:after="0"/>
              <w:rPr>
                <w:sz w:val="22"/>
                <w:szCs w:val="22"/>
                <w:color w:val="auto"/>
              </w:rPr>
            </w:pPr>
          </w:p>
        </w:tc>
        <w:tc>
          <w:tcPr>
            <w:tcW w:w="2380" w:type="dxa"/>
            <w:vAlign w:val="bottom"/>
            <w:gridSpan w:val="2"/>
          </w:tcPr>
          <w:p>
            <w:pPr>
              <w:ind w:left="540"/>
              <w:spacing w:after="0"/>
              <w:rPr>
                <w:sz w:val="20"/>
                <w:szCs w:val="20"/>
                <w:color w:val="auto"/>
              </w:rPr>
            </w:pPr>
            <w:r>
              <w:rPr>
                <w:rFonts w:ascii="Arial" w:cs="Arial" w:eastAsia="Arial" w:hAnsi="Arial"/>
                <w:sz w:val="20"/>
                <w:szCs w:val="20"/>
                <w:b w:val="1"/>
                <w:bCs w:val="1"/>
                <w:color w:val="auto"/>
              </w:rPr>
              <w:t>Common Stock</w:t>
            </w:r>
          </w:p>
        </w:tc>
        <w:tc>
          <w:tcPr>
            <w:tcW w:w="1200" w:type="dxa"/>
            <w:vAlign w:val="bottom"/>
            <w:vMerge w:val="restart"/>
          </w:tcPr>
          <w:p>
            <w:pPr>
              <w:ind w:left="300"/>
              <w:spacing w:after="0"/>
              <w:rPr>
                <w:sz w:val="20"/>
                <w:szCs w:val="20"/>
                <w:color w:val="auto"/>
              </w:rPr>
            </w:pPr>
            <w:r>
              <w:rPr>
                <w:rFonts w:ascii="Arial" w:cs="Arial" w:eastAsia="Arial" w:hAnsi="Arial"/>
                <w:sz w:val="20"/>
                <w:szCs w:val="20"/>
                <w:b w:val="1"/>
                <w:bCs w:val="1"/>
                <w:color w:val="auto"/>
                <w:w w:val="89"/>
              </w:rPr>
              <w:t>Additional</w:t>
            </w:r>
          </w:p>
        </w:tc>
        <w:tc>
          <w:tcPr>
            <w:tcW w:w="0" w:type="dxa"/>
            <w:vAlign w:val="bottom"/>
          </w:tcPr>
          <w:p>
            <w:pPr>
              <w:spacing w:after="0"/>
              <w:rPr>
                <w:sz w:val="1"/>
                <w:szCs w:val="1"/>
                <w:color w:val="auto"/>
              </w:rPr>
            </w:pPr>
          </w:p>
        </w:tc>
      </w:tr>
      <w:tr>
        <w:trPr>
          <w:trHeight w:val="90"/>
        </w:trPr>
        <w:tc>
          <w:tcPr>
            <w:tcW w:w="10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ind w:left="500"/>
              <w:spacing w:after="0" w:line="222" w:lineRule="exact"/>
              <w:rPr>
                <w:sz w:val="20"/>
                <w:szCs w:val="20"/>
                <w:color w:val="auto"/>
              </w:rPr>
            </w:pPr>
            <w:r>
              <w:rPr>
                <w:rFonts w:ascii="Arial" w:cs="Arial" w:eastAsia="Arial" w:hAnsi="Arial"/>
                <w:sz w:val="20"/>
                <w:szCs w:val="20"/>
                <w:b w:val="1"/>
                <w:bCs w:val="1"/>
                <w:color w:val="auto"/>
              </w:rPr>
              <w:t>Paid-in</w:t>
            </w:r>
          </w:p>
        </w:tc>
        <w:tc>
          <w:tcPr>
            <w:tcW w:w="0" w:type="dxa"/>
            <w:vAlign w:val="bottom"/>
          </w:tcPr>
          <w:p>
            <w:pPr>
              <w:spacing w:after="0"/>
              <w:rPr>
                <w:sz w:val="1"/>
                <w:szCs w:val="1"/>
                <w:color w:val="auto"/>
              </w:rPr>
            </w:pPr>
          </w:p>
        </w:tc>
      </w:tr>
      <w:tr>
        <w:trPr>
          <w:trHeight w:val="255"/>
        </w:trPr>
        <w:tc>
          <w:tcPr>
            <w:tcW w:w="1040" w:type="dxa"/>
            <w:vAlign w:val="bottom"/>
          </w:tcPr>
          <w:p>
            <w:pPr>
              <w:ind w:left="120"/>
              <w:spacing w:after="0"/>
              <w:rPr>
                <w:sz w:val="20"/>
                <w:szCs w:val="20"/>
                <w:color w:val="auto"/>
              </w:rPr>
            </w:pPr>
            <w:r>
              <w:rPr>
                <w:rFonts w:ascii="Arial" w:cs="Arial" w:eastAsia="Arial" w:hAnsi="Arial"/>
                <w:sz w:val="20"/>
                <w:szCs w:val="20"/>
                <w:b w:val="1"/>
                <w:bCs w:val="1"/>
                <w:color w:val="auto"/>
              </w:rPr>
              <w:t>Shares</w:t>
            </w:r>
          </w:p>
        </w:tc>
        <w:tc>
          <w:tcPr>
            <w:tcW w:w="1160" w:type="dxa"/>
            <w:vAlign w:val="bottom"/>
          </w:tcPr>
          <w:p>
            <w:pPr>
              <w:ind w:left="360"/>
              <w:spacing w:after="0"/>
              <w:rPr>
                <w:sz w:val="20"/>
                <w:szCs w:val="20"/>
                <w:color w:val="auto"/>
              </w:rPr>
            </w:pPr>
            <w:r>
              <w:rPr>
                <w:rFonts w:ascii="Arial" w:cs="Arial" w:eastAsia="Arial" w:hAnsi="Arial"/>
                <w:sz w:val="20"/>
                <w:szCs w:val="20"/>
                <w:b w:val="1"/>
                <w:bCs w:val="1"/>
                <w:color w:val="auto"/>
              </w:rPr>
              <w:t>Amount</w:t>
            </w:r>
          </w:p>
        </w:tc>
        <w:tc>
          <w:tcPr>
            <w:tcW w:w="240" w:type="dxa"/>
            <w:vAlign w:val="bottom"/>
          </w:tcPr>
          <w:p>
            <w:pPr>
              <w:spacing w:after="0"/>
              <w:rPr>
                <w:sz w:val="22"/>
                <w:szCs w:val="22"/>
                <w:color w:val="auto"/>
              </w:rPr>
            </w:pPr>
          </w:p>
        </w:tc>
        <w:tc>
          <w:tcPr>
            <w:tcW w:w="1160" w:type="dxa"/>
            <w:vAlign w:val="bottom"/>
          </w:tcPr>
          <w:p>
            <w:pPr>
              <w:ind w:left="220"/>
              <w:spacing w:after="0"/>
              <w:rPr>
                <w:sz w:val="20"/>
                <w:szCs w:val="20"/>
                <w:color w:val="auto"/>
              </w:rPr>
            </w:pPr>
            <w:r>
              <w:rPr>
                <w:rFonts w:ascii="Arial" w:cs="Arial" w:eastAsia="Arial" w:hAnsi="Arial"/>
                <w:sz w:val="20"/>
                <w:szCs w:val="20"/>
                <w:b w:val="1"/>
                <w:bCs w:val="1"/>
                <w:color w:val="auto"/>
              </w:rPr>
              <w:t>Shares</w:t>
            </w:r>
          </w:p>
        </w:tc>
        <w:tc>
          <w:tcPr>
            <w:tcW w:w="1220" w:type="dxa"/>
            <w:vAlign w:val="bottom"/>
          </w:tcPr>
          <w:p>
            <w:pPr>
              <w:ind w:left="360"/>
              <w:spacing w:after="0"/>
              <w:rPr>
                <w:sz w:val="20"/>
                <w:szCs w:val="20"/>
                <w:color w:val="auto"/>
              </w:rPr>
            </w:pPr>
            <w:r>
              <w:rPr>
                <w:rFonts w:ascii="Arial" w:cs="Arial" w:eastAsia="Arial" w:hAnsi="Arial"/>
                <w:sz w:val="20"/>
                <w:szCs w:val="20"/>
                <w:b w:val="1"/>
                <w:bCs w:val="1"/>
                <w:color w:val="auto"/>
              </w:rPr>
              <w:t>Amount</w:t>
            </w:r>
          </w:p>
        </w:tc>
        <w:tc>
          <w:tcPr>
            <w:tcW w:w="1200" w:type="dxa"/>
            <w:vAlign w:val="bottom"/>
          </w:tcPr>
          <w:p>
            <w:pPr>
              <w:ind w:left="480"/>
              <w:spacing w:after="0"/>
              <w:rPr>
                <w:sz w:val="20"/>
                <w:szCs w:val="20"/>
                <w:color w:val="auto"/>
              </w:rPr>
            </w:pPr>
            <w:r>
              <w:rPr>
                <w:rFonts w:ascii="Arial" w:cs="Arial" w:eastAsia="Arial" w:hAnsi="Arial"/>
                <w:sz w:val="20"/>
                <w:szCs w:val="20"/>
                <w:b w:val="1"/>
                <w:bCs w:val="1"/>
                <w:color w:val="auto"/>
              </w:rPr>
              <w:t>Capital</w:t>
            </w:r>
          </w:p>
        </w:tc>
        <w:tc>
          <w:tcPr>
            <w:tcW w:w="0" w:type="dxa"/>
            <w:vAlign w:val="bottom"/>
          </w:tcPr>
          <w:p>
            <w:pPr>
              <w:spacing w:after="0"/>
              <w:rPr>
                <w:sz w:val="1"/>
                <w:szCs w:val="1"/>
                <w:color w:val="auto"/>
              </w:rPr>
            </w:pPr>
          </w:p>
        </w:tc>
      </w:tr>
    </w:tbl>
    <w:p>
      <w:pPr>
        <w:sectPr>
          <w:pgSz w:w="11900" w:h="16862" w:orient="portrait"/>
          <w:cols w:equalWidth="0" w:num="1">
            <w:col w:w="11440"/>
          </w:cols>
          <w:pgMar w:left="240" w:top="140" w:right="219" w:bottom="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868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434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Balance at May 31, 2000</w:t>
            </w:r>
          </w:p>
        </w:tc>
        <w:tc>
          <w:tcPr>
            <w:tcW w:w="2060" w:type="dxa"/>
            <w:vAlign w:val="bottom"/>
            <w:shd w:val="clear" w:color="auto" w:fill="DDDDDD"/>
          </w:tcPr>
          <w:p>
            <w:pPr>
              <w:jc w:val="right"/>
              <w:ind w:right="460"/>
              <w:spacing w:after="0"/>
              <w:rPr>
                <w:sz w:val="20"/>
                <w:szCs w:val="20"/>
                <w:color w:val="auto"/>
              </w:rPr>
            </w:pPr>
            <w:r>
              <w:rPr>
                <w:rFonts w:ascii="Arial" w:cs="Arial" w:eastAsia="Arial" w:hAnsi="Arial"/>
                <w:sz w:val="16"/>
                <w:szCs w:val="16"/>
                <w:b w:val="1"/>
                <w:bCs w:val="1"/>
                <w:color w:val="auto"/>
              </w:rPr>
              <w:t>828,100</w:t>
            </w:r>
          </w:p>
        </w:tc>
        <w:tc>
          <w:tcPr>
            <w:tcW w:w="1120" w:type="dxa"/>
            <w:vAlign w:val="bottom"/>
            <w:shd w:val="clear" w:color="auto" w:fill="DDDDDD"/>
          </w:tcPr>
          <w:p>
            <w:pPr>
              <w:jc w:val="right"/>
              <w:ind w:right="200"/>
              <w:spacing w:after="0"/>
              <w:rPr>
                <w:sz w:val="20"/>
                <w:szCs w:val="20"/>
                <w:color w:val="auto"/>
              </w:rPr>
            </w:pPr>
            <w:r>
              <w:rPr>
                <w:rFonts w:ascii="Arial" w:cs="Arial" w:eastAsia="Arial" w:hAnsi="Arial"/>
                <w:sz w:val="16"/>
                <w:szCs w:val="16"/>
                <w:b w:val="1"/>
                <w:bCs w:val="1"/>
                <w:color w:val="auto"/>
              </w:rPr>
              <w:t>$ 0.0</w:t>
            </w:r>
          </w:p>
        </w:tc>
        <w:tc>
          <w:tcPr>
            <w:tcW w:w="1500" w:type="dxa"/>
            <w:vAlign w:val="bottom"/>
            <w:shd w:val="clear" w:color="auto" w:fill="DDDDDD"/>
          </w:tcPr>
          <w:p>
            <w:pPr>
              <w:jc w:val="right"/>
              <w:ind w:right="440"/>
              <w:spacing w:after="0"/>
              <w:rPr>
                <w:sz w:val="20"/>
                <w:szCs w:val="20"/>
                <w:color w:val="auto"/>
              </w:rPr>
            </w:pPr>
            <w:r>
              <w:rPr>
                <w:rFonts w:ascii="Arial" w:cs="Arial" w:eastAsia="Arial" w:hAnsi="Arial"/>
                <w:sz w:val="16"/>
                <w:szCs w:val="16"/>
                <w:b w:val="1"/>
                <w:bCs w:val="1"/>
                <w:color w:val="auto"/>
              </w:rPr>
              <w:t>17,027,190</w:t>
            </w:r>
          </w:p>
        </w:tc>
        <w:tc>
          <w:tcPr>
            <w:tcW w:w="1280" w:type="dxa"/>
            <w:vAlign w:val="bottom"/>
            <w:shd w:val="clear" w:color="auto" w:fill="DDDDDD"/>
          </w:tcPr>
          <w:p>
            <w:pPr>
              <w:jc w:val="right"/>
              <w:ind w:right="360"/>
              <w:spacing w:after="0"/>
              <w:rPr>
                <w:sz w:val="20"/>
                <w:szCs w:val="20"/>
                <w:color w:val="auto"/>
              </w:rPr>
            </w:pPr>
            <w:r>
              <w:rPr>
                <w:rFonts w:ascii="Arial" w:cs="Arial" w:eastAsia="Arial" w:hAnsi="Arial"/>
                <w:sz w:val="16"/>
                <w:szCs w:val="16"/>
                <w:b w:val="1"/>
                <w:bCs w:val="1"/>
                <w:color w:val="auto"/>
              </w:rPr>
              <w:t>$ 0.2</w:t>
            </w:r>
          </w:p>
        </w:tc>
        <w:tc>
          <w:tcPr>
            <w:tcW w:w="1120" w:type="dxa"/>
            <w:vAlign w:val="bottom"/>
            <w:shd w:val="clear" w:color="auto" w:fill="DDDDDD"/>
          </w:tcPr>
          <w:p>
            <w:pPr>
              <w:jc w:val="right"/>
              <w:ind w:right="140"/>
              <w:spacing w:after="0"/>
              <w:rPr>
                <w:sz w:val="20"/>
                <w:szCs w:val="20"/>
                <w:color w:val="auto"/>
              </w:rPr>
            </w:pPr>
            <w:r>
              <w:rPr>
                <w:rFonts w:ascii="Arial" w:cs="Arial" w:eastAsia="Arial" w:hAnsi="Arial"/>
                <w:sz w:val="16"/>
                <w:szCs w:val="16"/>
                <w:b w:val="1"/>
                <w:bCs w:val="1"/>
                <w:color w:val="auto"/>
              </w:rPr>
              <w:t>$ 222.7</w:t>
            </w: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Comprehensive income:</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340" w:type="dxa"/>
            <w:vAlign w:val="bottom"/>
            <w:shd w:val="clear" w:color="auto" w:fill="DDDDDD"/>
          </w:tcPr>
          <w:p>
            <w:pPr>
              <w:ind w:left="400"/>
              <w:spacing w:after="0"/>
              <w:rPr>
                <w:sz w:val="20"/>
                <w:szCs w:val="20"/>
                <w:color w:val="auto"/>
              </w:rPr>
            </w:pPr>
            <w:r>
              <w:rPr>
                <w:rFonts w:ascii="Arial" w:cs="Arial" w:eastAsia="Arial" w:hAnsi="Arial"/>
                <w:sz w:val="16"/>
                <w:szCs w:val="16"/>
                <w:color w:val="auto"/>
              </w:rPr>
              <w:t>Net income</w:t>
            </w:r>
          </w:p>
        </w:tc>
        <w:tc>
          <w:tcPr>
            <w:tcW w:w="20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150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13"/>
        </w:trPr>
        <w:tc>
          <w:tcPr>
            <w:tcW w:w="4340" w:type="dxa"/>
            <w:vAlign w:val="bottom"/>
          </w:tcPr>
          <w:p>
            <w:pPr>
              <w:ind w:left="400"/>
              <w:spacing w:after="0"/>
              <w:rPr>
                <w:sz w:val="20"/>
                <w:szCs w:val="20"/>
                <w:color w:val="auto"/>
              </w:rPr>
            </w:pPr>
            <w:r>
              <w:rPr>
                <w:rFonts w:ascii="Arial" w:cs="Arial" w:eastAsia="Arial" w:hAnsi="Arial"/>
                <w:sz w:val="16"/>
                <w:szCs w:val="16"/>
                <w:color w:val="auto"/>
              </w:rPr>
              <w:t>Other comprehensive loss:</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340" w:type="dxa"/>
            <w:vAlign w:val="bottom"/>
            <w:shd w:val="clear" w:color="auto" w:fill="DDDDDD"/>
          </w:tcPr>
          <w:p>
            <w:pPr>
              <w:ind w:left="800"/>
              <w:spacing w:after="0"/>
              <w:rPr>
                <w:sz w:val="20"/>
                <w:szCs w:val="20"/>
                <w:color w:val="auto"/>
              </w:rPr>
            </w:pPr>
            <w:r>
              <w:rPr>
                <w:rFonts w:ascii="Arial" w:cs="Arial" w:eastAsia="Arial" w:hAnsi="Arial"/>
                <w:sz w:val="16"/>
                <w:szCs w:val="16"/>
                <w:color w:val="auto"/>
              </w:rPr>
              <w:t>Foreign currency translation adjustment</w:t>
            </w:r>
          </w:p>
        </w:tc>
        <w:tc>
          <w:tcPr>
            <w:tcW w:w="20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150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13"/>
        </w:trPr>
        <w:tc>
          <w:tcPr>
            <w:tcW w:w="4340" w:type="dxa"/>
            <w:vAlign w:val="bottom"/>
          </w:tcPr>
          <w:p>
            <w:pPr>
              <w:ind w:left="800"/>
              <w:spacing w:after="0"/>
              <w:rPr>
                <w:sz w:val="20"/>
                <w:szCs w:val="20"/>
                <w:color w:val="auto"/>
              </w:rPr>
            </w:pPr>
            <w:r>
              <w:rPr>
                <w:rFonts w:ascii="Arial" w:cs="Arial" w:eastAsia="Arial" w:hAnsi="Arial"/>
                <w:sz w:val="16"/>
                <w:szCs w:val="16"/>
                <w:color w:val="auto"/>
              </w:rPr>
              <w:t>Minimum pension liability adjustment</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340" w:type="dxa"/>
            <w:vAlign w:val="bottom"/>
            <w:shd w:val="clear" w:color="auto" w:fill="DDDDDD"/>
          </w:tcPr>
          <w:p>
            <w:pPr>
              <w:ind w:left="400"/>
              <w:spacing w:after="0"/>
              <w:rPr>
                <w:sz w:val="20"/>
                <w:szCs w:val="20"/>
                <w:color w:val="auto"/>
              </w:rPr>
            </w:pPr>
            <w:r>
              <w:rPr>
                <w:rFonts w:ascii="Arial" w:cs="Arial" w:eastAsia="Arial" w:hAnsi="Arial"/>
                <w:sz w:val="16"/>
                <w:szCs w:val="16"/>
                <w:color w:val="auto"/>
              </w:rPr>
              <w:t>Total other comprehensive loss</w:t>
            </w:r>
          </w:p>
        </w:tc>
        <w:tc>
          <w:tcPr>
            <w:tcW w:w="20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150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05"/>
        </w:trPr>
        <w:tc>
          <w:tcPr>
            <w:tcW w:w="434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8"/>
        </w:trPr>
        <w:tc>
          <w:tcPr>
            <w:tcW w:w="4340" w:type="dxa"/>
            <w:vAlign w:val="bottom"/>
            <w:shd w:val="clear" w:color="auto" w:fill="DDDDDD"/>
          </w:tcPr>
          <w:p>
            <w:pPr>
              <w:spacing w:after="0"/>
              <w:rPr>
                <w:sz w:val="20"/>
                <w:szCs w:val="20"/>
                <w:color w:val="auto"/>
              </w:rPr>
            </w:pPr>
            <w:r>
              <w:rPr>
                <w:rFonts w:ascii="Arial" w:cs="Arial" w:eastAsia="Arial" w:hAnsi="Arial"/>
                <w:sz w:val="16"/>
                <w:szCs w:val="16"/>
                <w:color w:val="auto"/>
              </w:rPr>
              <w:t>100% stock dividend</w:t>
            </w:r>
          </w:p>
        </w:tc>
        <w:tc>
          <w:tcPr>
            <w:tcW w:w="2060" w:type="dxa"/>
            <w:vAlign w:val="bottom"/>
            <w:shd w:val="clear" w:color="auto" w:fill="DDDDDD"/>
          </w:tcPr>
          <w:p>
            <w:pPr>
              <w:jc w:val="right"/>
              <w:ind w:right="460"/>
              <w:spacing w:after="0"/>
              <w:rPr>
                <w:sz w:val="20"/>
                <w:szCs w:val="20"/>
                <w:color w:val="auto"/>
              </w:rPr>
            </w:pPr>
            <w:r>
              <w:rPr>
                <w:rFonts w:ascii="Arial" w:cs="Arial" w:eastAsia="Arial" w:hAnsi="Arial"/>
                <w:sz w:val="16"/>
                <w:szCs w:val="16"/>
                <w:color w:val="auto"/>
              </w:rPr>
              <w:t>828,100</w:t>
            </w:r>
          </w:p>
        </w:tc>
        <w:tc>
          <w:tcPr>
            <w:tcW w:w="1120" w:type="dxa"/>
            <w:vAlign w:val="bottom"/>
            <w:shd w:val="clear" w:color="auto" w:fill="DDDDDD"/>
          </w:tcPr>
          <w:p>
            <w:pPr>
              <w:spacing w:after="0"/>
              <w:rPr>
                <w:sz w:val="20"/>
                <w:szCs w:val="20"/>
                <w:color w:val="auto"/>
              </w:rPr>
            </w:pPr>
          </w:p>
        </w:tc>
        <w:tc>
          <w:tcPr>
            <w:tcW w:w="1500" w:type="dxa"/>
            <w:vAlign w:val="bottom"/>
            <w:shd w:val="clear" w:color="auto" w:fill="DDDDDD"/>
          </w:tcPr>
          <w:p>
            <w:pPr>
              <w:jc w:val="right"/>
              <w:ind w:right="440"/>
              <w:spacing w:after="0"/>
              <w:rPr>
                <w:sz w:val="20"/>
                <w:szCs w:val="20"/>
                <w:color w:val="auto"/>
              </w:rPr>
            </w:pPr>
            <w:r>
              <w:rPr>
                <w:rFonts w:ascii="Arial" w:cs="Arial" w:eastAsia="Arial" w:hAnsi="Arial"/>
                <w:sz w:val="16"/>
                <w:szCs w:val="16"/>
                <w:color w:val="auto"/>
              </w:rPr>
              <w:t>16,604,857</w:t>
            </w:r>
          </w:p>
        </w:tc>
        <w:tc>
          <w:tcPr>
            <w:tcW w:w="128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0.1</w:t>
            </w:r>
          </w:p>
        </w:tc>
        <w:tc>
          <w:tcPr>
            <w:tcW w:w="112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(0.1)</w:t>
            </w:r>
          </w:p>
        </w:tc>
      </w:tr>
      <w:tr>
        <w:trPr>
          <w:trHeight w:val="205"/>
        </w:trPr>
        <w:tc>
          <w:tcPr>
            <w:tcW w:w="4340" w:type="dxa"/>
            <w:vAlign w:val="bottom"/>
          </w:tcPr>
          <w:p>
            <w:pPr>
              <w:spacing w:after="0"/>
              <w:rPr>
                <w:sz w:val="20"/>
                <w:szCs w:val="20"/>
                <w:color w:val="auto"/>
              </w:rPr>
            </w:pPr>
            <w:r>
              <w:rPr>
                <w:rFonts w:ascii="Arial" w:cs="Arial" w:eastAsia="Arial" w:hAnsi="Arial"/>
                <w:sz w:val="16"/>
                <w:szCs w:val="16"/>
                <w:color w:val="auto"/>
              </w:rPr>
              <w:t>Deferred compensation, net of amortization</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8"/>
        </w:trPr>
        <w:tc>
          <w:tcPr>
            <w:tcW w:w="4340" w:type="dxa"/>
            <w:vAlign w:val="bottom"/>
            <w:shd w:val="clear" w:color="auto" w:fill="DDDDDD"/>
          </w:tcPr>
          <w:p>
            <w:pPr>
              <w:spacing w:after="0"/>
              <w:rPr>
                <w:sz w:val="20"/>
                <w:szCs w:val="20"/>
                <w:color w:val="auto"/>
              </w:rPr>
            </w:pPr>
            <w:r>
              <w:rPr>
                <w:rFonts w:ascii="Arial" w:cs="Arial" w:eastAsia="Arial" w:hAnsi="Arial"/>
                <w:sz w:val="16"/>
                <w:szCs w:val="16"/>
                <w:color w:val="auto"/>
              </w:rPr>
              <w:t>Proceeds from issuance of common stock</w:t>
            </w:r>
          </w:p>
        </w:tc>
        <w:tc>
          <w:tcPr>
            <w:tcW w:w="206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150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r>
      <w:tr>
        <w:trPr>
          <w:trHeight w:val="205"/>
        </w:trPr>
        <w:tc>
          <w:tcPr>
            <w:tcW w:w="4340" w:type="dxa"/>
            <w:vAlign w:val="bottom"/>
          </w:tcPr>
          <w:p>
            <w:pPr>
              <w:ind w:left="400"/>
              <w:spacing w:after="0"/>
              <w:rPr>
                <w:sz w:val="20"/>
                <w:szCs w:val="20"/>
                <w:color w:val="auto"/>
              </w:rPr>
            </w:pPr>
            <w:r>
              <w:rPr>
                <w:rFonts w:ascii="Arial" w:cs="Arial" w:eastAsia="Arial" w:hAnsi="Arial"/>
                <w:sz w:val="16"/>
                <w:szCs w:val="16"/>
                <w:color w:val="auto"/>
              </w:rPr>
              <w:t>pursuant to employee stock plans</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4.2</w:t>
            </w:r>
          </w:p>
        </w:tc>
      </w:tr>
      <w:tr>
        <w:trPr>
          <w:trHeight w:val="238"/>
        </w:trPr>
        <w:tc>
          <w:tcPr>
            <w:tcW w:w="4340" w:type="dxa"/>
            <w:vAlign w:val="bottom"/>
            <w:shd w:val="clear" w:color="auto" w:fill="DDDDDD"/>
          </w:tcPr>
          <w:p>
            <w:pPr>
              <w:spacing w:after="0"/>
              <w:rPr>
                <w:sz w:val="20"/>
                <w:szCs w:val="20"/>
                <w:color w:val="auto"/>
              </w:rPr>
            </w:pPr>
            <w:r>
              <w:rPr>
                <w:rFonts w:ascii="Arial" w:cs="Arial" w:eastAsia="Arial" w:hAnsi="Arial"/>
                <w:sz w:val="16"/>
                <w:szCs w:val="16"/>
                <w:color w:val="auto"/>
              </w:rPr>
              <w:t>Tax benefit realized from stock option transactions</w:t>
            </w:r>
          </w:p>
        </w:tc>
        <w:tc>
          <w:tcPr>
            <w:tcW w:w="206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150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12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6.9</w:t>
            </w:r>
          </w:p>
        </w:tc>
      </w:tr>
      <w:tr>
        <w:trPr>
          <w:trHeight w:val="98"/>
        </w:trPr>
        <w:tc>
          <w:tcPr>
            <w:tcW w:w="434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bl>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Balance at May 31, 2001</w:t>
            </w:r>
          </w:p>
        </w:tc>
        <w:tc>
          <w:tcPr>
            <w:tcW w:w="2180" w:type="dxa"/>
            <w:vAlign w:val="bottom"/>
          </w:tcPr>
          <w:p>
            <w:pPr>
              <w:jc w:val="right"/>
              <w:ind w:right="520"/>
              <w:spacing w:after="0"/>
              <w:rPr>
                <w:sz w:val="20"/>
                <w:szCs w:val="20"/>
                <w:color w:val="auto"/>
              </w:rPr>
            </w:pPr>
            <w:r>
              <w:rPr>
                <w:rFonts w:ascii="Arial" w:cs="Arial" w:eastAsia="Arial" w:hAnsi="Arial"/>
                <w:sz w:val="16"/>
                <w:szCs w:val="16"/>
                <w:b w:val="1"/>
                <w:bCs w:val="1"/>
                <w:color w:val="auto"/>
              </w:rPr>
              <w:t>1,656,200</w:t>
            </w:r>
          </w:p>
        </w:tc>
        <w:tc>
          <w:tcPr>
            <w:tcW w:w="1060" w:type="dxa"/>
            <w:vAlign w:val="bottom"/>
          </w:tcPr>
          <w:p>
            <w:pPr>
              <w:jc w:val="right"/>
              <w:ind w:right="200"/>
              <w:spacing w:after="0"/>
              <w:rPr>
                <w:sz w:val="20"/>
                <w:szCs w:val="20"/>
                <w:color w:val="auto"/>
              </w:rPr>
            </w:pPr>
            <w:r>
              <w:rPr>
                <w:rFonts w:ascii="Arial" w:cs="Arial" w:eastAsia="Arial" w:hAnsi="Arial"/>
                <w:sz w:val="16"/>
                <w:szCs w:val="16"/>
                <w:b w:val="1"/>
                <w:bCs w:val="1"/>
                <w:color w:val="auto"/>
              </w:rPr>
              <w:t>0.0</w:t>
            </w:r>
          </w:p>
        </w:tc>
        <w:tc>
          <w:tcPr>
            <w:tcW w:w="1560" w:type="dxa"/>
            <w:vAlign w:val="bottom"/>
          </w:tcPr>
          <w:p>
            <w:pPr>
              <w:jc w:val="right"/>
              <w:ind w:right="500"/>
              <w:spacing w:after="0"/>
              <w:rPr>
                <w:sz w:val="20"/>
                <w:szCs w:val="20"/>
                <w:color w:val="auto"/>
              </w:rPr>
            </w:pPr>
            <w:r>
              <w:rPr>
                <w:rFonts w:ascii="Arial" w:cs="Arial" w:eastAsia="Arial" w:hAnsi="Arial"/>
                <w:sz w:val="16"/>
                <w:szCs w:val="16"/>
                <w:b w:val="1"/>
                <w:bCs w:val="1"/>
                <w:color w:val="auto"/>
              </w:rPr>
              <w:t>33,632,047</w:t>
            </w:r>
          </w:p>
        </w:tc>
        <w:tc>
          <w:tcPr>
            <w:tcW w:w="1280" w:type="dxa"/>
            <w:vAlign w:val="bottom"/>
          </w:tcPr>
          <w:p>
            <w:pPr>
              <w:jc w:val="right"/>
              <w:ind w:right="420"/>
              <w:spacing w:after="0"/>
              <w:rPr>
                <w:sz w:val="20"/>
                <w:szCs w:val="20"/>
                <w:color w:val="auto"/>
              </w:rPr>
            </w:pPr>
            <w:r>
              <w:rPr>
                <w:rFonts w:ascii="Arial" w:cs="Arial" w:eastAsia="Arial" w:hAnsi="Arial"/>
                <w:sz w:val="16"/>
                <w:szCs w:val="16"/>
                <w:b w:val="1"/>
                <w:bCs w:val="1"/>
                <w:color w:val="auto"/>
              </w:rPr>
              <w:t>0.3</w:t>
            </w: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233.7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Comprehensive income:</w:t>
            </w:r>
          </w:p>
        </w:tc>
        <w:tc>
          <w:tcPr>
            <w:tcW w:w="218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Other comprehensive loss:</w:t>
            </w:r>
          </w:p>
        </w:tc>
        <w:tc>
          <w:tcPr>
            <w:tcW w:w="218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780"/>
              <w:spacing w:after="0"/>
              <w:rPr>
                <w:sz w:val="20"/>
                <w:szCs w:val="20"/>
                <w:color w:val="auto"/>
              </w:rPr>
            </w:pPr>
            <w:r>
              <w:rPr>
                <w:rFonts w:ascii="Arial" w:cs="Arial" w:eastAsia="Arial" w:hAnsi="Arial"/>
                <w:sz w:val="16"/>
                <w:szCs w:val="16"/>
                <w:color w:val="auto"/>
              </w:rPr>
              <w:t>Foreign currency translation adjustment</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DDDDDD"/>
          </w:tcPr>
          <w:p>
            <w:pPr>
              <w:ind w:left="780"/>
              <w:spacing w:after="0"/>
              <w:rPr>
                <w:sz w:val="20"/>
                <w:szCs w:val="20"/>
                <w:color w:val="auto"/>
              </w:rPr>
            </w:pPr>
            <w:r>
              <w:rPr>
                <w:rFonts w:ascii="Arial" w:cs="Arial" w:eastAsia="Arial" w:hAnsi="Arial"/>
                <w:sz w:val="16"/>
                <w:szCs w:val="16"/>
                <w:color w:val="auto"/>
              </w:rPr>
              <w:t>Minimum pension liability adjustment</w:t>
            </w:r>
          </w:p>
        </w:tc>
        <w:tc>
          <w:tcPr>
            <w:tcW w:w="218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ind w:left="380"/>
              <w:spacing w:after="0"/>
              <w:rPr>
                <w:sz w:val="20"/>
                <w:szCs w:val="20"/>
                <w:color w:val="auto"/>
              </w:rPr>
            </w:pPr>
            <w:r>
              <w:rPr>
                <w:rFonts w:ascii="Arial" w:cs="Arial" w:eastAsia="Arial" w:hAnsi="Arial"/>
                <w:sz w:val="16"/>
                <w:szCs w:val="16"/>
                <w:color w:val="auto"/>
              </w:rPr>
              <w:t>Total other comprehensive loss</w:t>
            </w:r>
          </w:p>
        </w:tc>
        <w:tc>
          <w:tcPr>
            <w:tcW w:w="2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Total comprehensive income</w:t>
            </w:r>
          </w:p>
        </w:tc>
        <w:tc>
          <w:tcPr>
            <w:tcW w:w="218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156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Deferred compensation, net of amortization</w:t>
            </w:r>
          </w:p>
        </w:tc>
        <w:tc>
          <w:tcPr>
            <w:tcW w:w="2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Proceeds from issuance of common stock</w:t>
            </w:r>
          </w:p>
        </w:tc>
        <w:tc>
          <w:tcPr>
            <w:tcW w:w="218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156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ind w:left="380"/>
              <w:spacing w:after="0"/>
              <w:rPr>
                <w:sz w:val="20"/>
                <w:szCs w:val="20"/>
                <w:color w:val="auto"/>
              </w:rPr>
            </w:pPr>
            <w:r>
              <w:rPr>
                <w:rFonts w:ascii="Arial" w:cs="Arial" w:eastAsia="Arial" w:hAnsi="Arial"/>
                <w:sz w:val="16"/>
                <w:szCs w:val="16"/>
                <w:color w:val="auto"/>
              </w:rPr>
              <w:t>pursuant to employee stock plans</w:t>
            </w:r>
          </w:p>
        </w:tc>
        <w:tc>
          <w:tcPr>
            <w:tcW w:w="2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tcPr>
          <w:p>
            <w:pPr>
              <w:jc w:val="right"/>
              <w:ind w:right="500"/>
              <w:spacing w:after="0"/>
              <w:rPr>
                <w:sz w:val="20"/>
                <w:szCs w:val="20"/>
                <w:color w:val="auto"/>
              </w:rPr>
            </w:pPr>
            <w:r>
              <w:rPr>
                <w:rFonts w:ascii="Arial" w:cs="Arial" w:eastAsia="Arial" w:hAnsi="Arial"/>
                <w:sz w:val="16"/>
                <w:szCs w:val="16"/>
                <w:color w:val="auto"/>
              </w:rPr>
              <w:t>927,374</w:t>
            </w:r>
          </w:p>
        </w:tc>
        <w:tc>
          <w:tcPr>
            <w:tcW w:w="1280" w:type="dxa"/>
            <w:vAlign w:val="bottom"/>
          </w:tcPr>
          <w:p>
            <w:pPr>
              <w:jc w:val="right"/>
              <w:ind w:right="420"/>
              <w:spacing w:after="0"/>
              <w:rPr>
                <w:sz w:val="20"/>
                <w:szCs w:val="20"/>
                <w:color w:val="auto"/>
              </w:rPr>
            </w:pPr>
            <w:r>
              <w:rPr>
                <w:rFonts w:ascii="Arial" w:cs="Arial" w:eastAsia="Arial" w:hAnsi="Arial"/>
                <w:sz w:val="16"/>
                <w:szCs w:val="16"/>
                <w:color w:val="auto"/>
              </w:rPr>
              <w:t>0.1</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Tax benefit realized from stock option transactions</w:t>
            </w:r>
          </w:p>
        </w:tc>
        <w:tc>
          <w:tcPr>
            <w:tcW w:w="218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156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06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Conversion of Convertible Subordinated</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Debentures and related costs</w:t>
            </w:r>
          </w:p>
        </w:tc>
        <w:tc>
          <w:tcPr>
            <w:tcW w:w="218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1560" w:type="dxa"/>
            <w:vAlign w:val="bottom"/>
            <w:shd w:val="clear" w:color="auto" w:fill="DDDDDD"/>
          </w:tcPr>
          <w:p>
            <w:pPr>
              <w:jc w:val="right"/>
              <w:ind w:right="500"/>
              <w:spacing w:after="0"/>
              <w:rPr>
                <w:sz w:val="20"/>
                <w:szCs w:val="20"/>
                <w:color w:val="auto"/>
              </w:rPr>
            </w:pPr>
            <w:r>
              <w:rPr>
                <w:rFonts w:ascii="Arial" w:cs="Arial" w:eastAsia="Arial" w:hAnsi="Arial"/>
                <w:sz w:val="16"/>
                <w:szCs w:val="16"/>
                <w:color w:val="auto"/>
              </w:rPr>
              <w:t>2,857,801</w:t>
            </w:r>
          </w:p>
        </w:tc>
        <w:tc>
          <w:tcPr>
            <w:tcW w:w="1280" w:type="dxa"/>
            <w:vAlign w:val="bottom"/>
            <w:shd w:val="clear" w:color="auto" w:fill="DDDDDD"/>
          </w:tcPr>
          <w:p>
            <w:pPr>
              <w:jc w:val="right"/>
              <w:ind w:right="420"/>
              <w:spacing w:after="0"/>
              <w:rPr>
                <w:sz w:val="20"/>
                <w:szCs w:val="20"/>
                <w:color w:val="auto"/>
              </w:rPr>
            </w:pPr>
            <w:r>
              <w:rPr>
                <w:rFonts w:ascii="Arial" w:cs="Arial" w:eastAsia="Arial" w:hAnsi="Arial"/>
                <w:sz w:val="16"/>
                <w:szCs w:val="16"/>
                <w:color w:val="auto"/>
              </w:rPr>
              <w:t>0.0</w:t>
            </w:r>
          </w:p>
        </w:tc>
        <w:tc>
          <w:tcPr>
            <w:tcW w:w="106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Balance at May 31, 2002</w:t>
            </w:r>
          </w:p>
        </w:tc>
        <w:tc>
          <w:tcPr>
            <w:tcW w:w="2120" w:type="dxa"/>
            <w:vAlign w:val="bottom"/>
          </w:tcPr>
          <w:p>
            <w:pPr>
              <w:jc w:val="right"/>
              <w:ind w:right="460"/>
              <w:spacing w:after="0"/>
              <w:rPr>
                <w:sz w:val="20"/>
                <w:szCs w:val="20"/>
                <w:color w:val="auto"/>
              </w:rPr>
            </w:pPr>
            <w:r>
              <w:rPr>
                <w:rFonts w:ascii="Arial" w:cs="Arial" w:eastAsia="Arial" w:hAnsi="Arial"/>
                <w:sz w:val="16"/>
                <w:szCs w:val="16"/>
                <w:b w:val="1"/>
                <w:bCs w:val="1"/>
                <w:color w:val="auto"/>
              </w:rPr>
              <w:t>1,656,200</w:t>
            </w: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0.0</w:t>
            </w:r>
          </w:p>
        </w:tc>
        <w:tc>
          <w:tcPr>
            <w:tcW w:w="1500" w:type="dxa"/>
            <w:vAlign w:val="bottom"/>
          </w:tcPr>
          <w:p>
            <w:pPr>
              <w:jc w:val="right"/>
              <w:ind w:right="440"/>
              <w:spacing w:after="0"/>
              <w:rPr>
                <w:sz w:val="20"/>
                <w:szCs w:val="20"/>
                <w:color w:val="auto"/>
              </w:rPr>
            </w:pPr>
            <w:r>
              <w:rPr>
                <w:rFonts w:ascii="Arial" w:cs="Arial" w:eastAsia="Arial" w:hAnsi="Arial"/>
                <w:sz w:val="16"/>
                <w:szCs w:val="16"/>
                <w:b w:val="1"/>
                <w:bCs w:val="1"/>
                <w:color w:val="auto"/>
              </w:rPr>
              <w:t>37,417,222</w:t>
            </w:r>
          </w:p>
        </w:tc>
        <w:tc>
          <w:tcPr>
            <w:tcW w:w="1280" w:type="dxa"/>
            <w:vAlign w:val="bottom"/>
          </w:tcPr>
          <w:p>
            <w:pPr>
              <w:jc w:val="right"/>
              <w:ind w:right="360"/>
              <w:spacing w:after="0"/>
              <w:rPr>
                <w:sz w:val="20"/>
                <w:szCs w:val="20"/>
                <w:color w:val="auto"/>
              </w:rPr>
            </w:pPr>
            <w:r>
              <w:rPr>
                <w:rFonts w:ascii="Arial" w:cs="Arial" w:eastAsia="Arial" w:hAnsi="Arial"/>
                <w:sz w:val="16"/>
                <w:szCs w:val="16"/>
                <w:b w:val="1"/>
                <w:bCs w:val="1"/>
                <w:color w:val="auto"/>
              </w:rPr>
              <w:t>0.4</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auto"/>
              </w:rPr>
              <w:t>373.7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Comprehensive income:</w:t>
            </w:r>
          </w:p>
        </w:tc>
        <w:tc>
          <w:tcPr>
            <w:tcW w:w="21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150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Other comprehensive income (loss):</w:t>
            </w:r>
          </w:p>
        </w:tc>
        <w:tc>
          <w:tcPr>
            <w:tcW w:w="21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150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780"/>
              <w:spacing w:after="0"/>
              <w:rPr>
                <w:sz w:val="20"/>
                <w:szCs w:val="20"/>
                <w:color w:val="auto"/>
              </w:rPr>
            </w:pPr>
            <w:r>
              <w:rPr>
                <w:rFonts w:ascii="Arial" w:cs="Arial" w:eastAsia="Arial" w:hAnsi="Arial"/>
                <w:sz w:val="16"/>
                <w:szCs w:val="16"/>
                <w:color w:val="auto"/>
              </w:rPr>
              <w:t>Foreign currency translation adjustment</w:t>
            </w: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DDDDDD"/>
          </w:tcPr>
          <w:p>
            <w:pPr>
              <w:ind w:left="780"/>
              <w:spacing w:after="0"/>
              <w:rPr>
                <w:sz w:val="20"/>
                <w:szCs w:val="20"/>
                <w:color w:val="auto"/>
              </w:rPr>
            </w:pPr>
            <w:r>
              <w:rPr>
                <w:rFonts w:ascii="Arial" w:cs="Arial" w:eastAsia="Arial" w:hAnsi="Arial"/>
                <w:sz w:val="16"/>
                <w:szCs w:val="16"/>
                <w:color w:val="auto"/>
              </w:rPr>
              <w:t>Minimum pension liability adjustment</w:t>
            </w:r>
          </w:p>
        </w:tc>
        <w:tc>
          <w:tcPr>
            <w:tcW w:w="21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150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ind w:left="380"/>
              <w:spacing w:after="0"/>
              <w:rPr>
                <w:sz w:val="20"/>
                <w:szCs w:val="20"/>
                <w:color w:val="auto"/>
              </w:rPr>
            </w:pPr>
            <w:r>
              <w:rPr>
                <w:rFonts w:ascii="Arial" w:cs="Arial" w:eastAsia="Arial" w:hAnsi="Arial"/>
                <w:sz w:val="16"/>
                <w:szCs w:val="16"/>
                <w:color w:val="auto"/>
              </w:rPr>
              <w:t>Total other comprehensive loss</w:t>
            </w: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Total comprehensive income</w:t>
            </w:r>
          </w:p>
        </w:tc>
        <w:tc>
          <w:tcPr>
            <w:tcW w:w="212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150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Deferred compensation, net of amortization</w:t>
            </w: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Proceeds from issuance of common stock</w:t>
            </w:r>
          </w:p>
        </w:tc>
        <w:tc>
          <w:tcPr>
            <w:tcW w:w="212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150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ind w:left="380"/>
              <w:spacing w:after="0"/>
              <w:rPr>
                <w:sz w:val="20"/>
                <w:szCs w:val="20"/>
                <w:color w:val="auto"/>
              </w:rPr>
            </w:pPr>
            <w:r>
              <w:rPr>
                <w:rFonts w:ascii="Arial" w:cs="Arial" w:eastAsia="Arial" w:hAnsi="Arial"/>
                <w:sz w:val="16"/>
                <w:szCs w:val="16"/>
                <w:color w:val="auto"/>
              </w:rPr>
              <w:t>pursuant to employee stock plans</w:t>
            </w: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jc w:val="right"/>
              <w:ind w:right="440"/>
              <w:spacing w:after="0"/>
              <w:rPr>
                <w:sz w:val="20"/>
                <w:szCs w:val="20"/>
                <w:color w:val="auto"/>
              </w:rPr>
            </w:pPr>
            <w:r>
              <w:rPr>
                <w:rFonts w:ascii="Arial" w:cs="Arial" w:eastAsia="Arial" w:hAnsi="Arial"/>
                <w:sz w:val="16"/>
                <w:szCs w:val="16"/>
                <w:color w:val="auto"/>
              </w:rPr>
              <w:t>191,111</w:t>
            </w:r>
          </w:p>
        </w:tc>
        <w:tc>
          <w:tcPr>
            <w:tcW w:w="1280" w:type="dxa"/>
            <w:vAlign w:val="bottom"/>
          </w:tcPr>
          <w:p>
            <w:pPr>
              <w:jc w:val="right"/>
              <w:ind w:right="360"/>
              <w:spacing w:after="0"/>
              <w:rPr>
                <w:sz w:val="20"/>
                <w:szCs w:val="20"/>
                <w:color w:val="auto"/>
              </w:rPr>
            </w:pPr>
            <w:r>
              <w:rPr>
                <w:rFonts w:ascii="Arial" w:cs="Arial" w:eastAsia="Arial" w:hAnsi="Arial"/>
                <w:sz w:val="16"/>
                <w:szCs w:val="16"/>
                <w:color w:val="auto"/>
              </w:rPr>
              <w:t>0.0</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shd w:val="clear" w:color="auto" w:fill="DDDDDD"/>
          </w:tcPr>
          <w:p>
            <w:pPr>
              <w:spacing w:after="0"/>
              <w:rPr>
                <w:sz w:val="20"/>
                <w:szCs w:val="20"/>
                <w:color w:val="auto"/>
              </w:rPr>
            </w:pPr>
            <w:r>
              <w:rPr>
                <w:rFonts w:ascii="Arial" w:cs="Arial" w:eastAsia="Arial" w:hAnsi="Arial"/>
                <w:sz w:val="16"/>
                <w:szCs w:val="16"/>
                <w:color w:val="auto"/>
              </w:rPr>
              <w:t>Tax benefit realized from stock option transactions</w:t>
            </w:r>
          </w:p>
        </w:tc>
        <w:tc>
          <w:tcPr>
            <w:tcW w:w="212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150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12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Balance at May 31, 2003</w:t>
            </w:r>
          </w:p>
        </w:tc>
        <w:tc>
          <w:tcPr>
            <w:tcW w:w="2120" w:type="dxa"/>
            <w:vAlign w:val="bottom"/>
          </w:tcPr>
          <w:p>
            <w:pPr>
              <w:jc w:val="right"/>
              <w:ind w:right="460"/>
              <w:spacing w:after="0"/>
              <w:rPr>
                <w:sz w:val="20"/>
                <w:szCs w:val="20"/>
                <w:color w:val="auto"/>
              </w:rPr>
            </w:pPr>
            <w:r>
              <w:rPr>
                <w:rFonts w:ascii="Arial" w:cs="Arial" w:eastAsia="Arial" w:hAnsi="Arial"/>
                <w:sz w:val="16"/>
                <w:szCs w:val="16"/>
                <w:b w:val="1"/>
                <w:bCs w:val="1"/>
                <w:color w:val="auto"/>
              </w:rPr>
              <w:t>1,656,200</w:t>
            </w: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$ 0.0</w:t>
            </w:r>
          </w:p>
        </w:tc>
        <w:tc>
          <w:tcPr>
            <w:tcW w:w="1500" w:type="dxa"/>
            <w:vAlign w:val="bottom"/>
          </w:tcPr>
          <w:p>
            <w:pPr>
              <w:jc w:val="right"/>
              <w:ind w:right="440"/>
              <w:spacing w:after="0"/>
              <w:rPr>
                <w:sz w:val="20"/>
                <w:szCs w:val="20"/>
                <w:color w:val="auto"/>
              </w:rPr>
            </w:pPr>
            <w:r>
              <w:rPr>
                <w:rFonts w:ascii="Arial" w:cs="Arial" w:eastAsia="Arial" w:hAnsi="Arial"/>
                <w:sz w:val="16"/>
                <w:szCs w:val="16"/>
                <w:b w:val="1"/>
                <w:bCs w:val="1"/>
                <w:color w:val="auto"/>
              </w:rPr>
              <w:t>37,608,333</w:t>
            </w:r>
          </w:p>
        </w:tc>
        <w:tc>
          <w:tcPr>
            <w:tcW w:w="1280" w:type="dxa"/>
            <w:vAlign w:val="bottom"/>
          </w:tcPr>
          <w:p>
            <w:pPr>
              <w:jc w:val="right"/>
              <w:ind w:right="360"/>
              <w:spacing w:after="0"/>
              <w:rPr>
                <w:sz w:val="20"/>
                <w:szCs w:val="20"/>
                <w:color w:val="auto"/>
              </w:rPr>
            </w:pPr>
            <w:r>
              <w:rPr>
                <w:rFonts w:ascii="Arial" w:cs="Arial" w:eastAsia="Arial" w:hAnsi="Arial"/>
                <w:sz w:val="16"/>
                <w:szCs w:val="16"/>
                <w:b w:val="1"/>
                <w:bCs w:val="1"/>
                <w:color w:val="auto"/>
              </w:rPr>
              <w:t>$ 0.4</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auto"/>
              </w:rPr>
              <w:t>$ 379.9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4260" w:type="dxa"/>
            <w:vAlign w:val="bottom"/>
            <w:tcBorders>
              <w:bottom w:val="single" w:sz="8" w:color="808080"/>
            </w:tcBorders>
          </w:tcPr>
          <w:p>
            <w:pPr>
              <w:spacing w:after="0"/>
              <w:rPr>
                <w:sz w:val="12"/>
                <w:szCs w:val="12"/>
                <w:color w:val="auto"/>
              </w:rPr>
            </w:pPr>
          </w:p>
        </w:tc>
        <w:tc>
          <w:tcPr>
            <w:tcW w:w="2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Equity and Comprehensive Income</w:t>
      </w:r>
    </w:p>
    <w:p>
      <w:pPr>
        <w:spacing w:after="0" w:line="218" w:lineRule="exact"/>
        <w:rPr>
          <w:sz w:val="20"/>
          <w:szCs w:val="20"/>
          <w:color w:val="auto"/>
        </w:rPr>
      </w:pPr>
    </w:p>
    <w:p>
      <w:pPr>
        <w:ind w:left="8820"/>
        <w:spacing w:after="0"/>
        <w:rPr>
          <w:sz w:val="20"/>
          <w:szCs w:val="20"/>
          <w:color w:val="auto"/>
        </w:rPr>
      </w:pPr>
      <w:r>
        <w:rPr>
          <w:rFonts w:ascii="Arial" w:cs="Arial" w:eastAsia="Arial" w:hAnsi="Arial"/>
          <w:sz w:val="14"/>
          <w:szCs w:val="14"/>
          <w:color w:val="auto"/>
        </w:rPr>
        <w:t>(Amounts in millions, except share data)</w:t>
      </w:r>
    </w:p>
    <w:p>
      <w:pPr>
        <w:spacing w:after="0" w:line="44" w:lineRule="exact"/>
        <w:rPr>
          <w:sz w:val="20"/>
          <w:szCs w:val="20"/>
          <w:color w:val="auto"/>
        </w:rPr>
      </w:pPr>
    </w:p>
    <w:p>
      <w:pPr>
        <w:ind w:left="8680"/>
        <w:spacing w:after="0"/>
        <w:rPr>
          <w:sz w:val="20"/>
          <w:szCs w:val="20"/>
          <w:color w:val="auto"/>
        </w:rPr>
      </w:pPr>
      <w:r>
        <w:rPr>
          <w:rFonts w:ascii="Arial" w:cs="Arial" w:eastAsia="Arial" w:hAnsi="Arial"/>
          <w:sz w:val="14"/>
          <w:szCs w:val="14"/>
          <w:color w:val="auto"/>
        </w:rPr>
        <w:t>Years ended May 31, 2003, 2002 and 2001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7"/>
              </w:rPr>
              <w:t>Foreign</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w w:val="95"/>
              </w:rPr>
              <w:t>Minimum</w:t>
            </w:r>
          </w:p>
        </w:tc>
        <w:tc>
          <w:tcPr>
            <w:tcW w:w="1660" w:type="dxa"/>
            <w:vAlign w:val="bottom"/>
          </w:tcPr>
          <w:p>
            <w:pPr>
              <w:spacing w:after="0"/>
              <w:rPr>
                <w:sz w:val="19"/>
                <w:szCs w:val="19"/>
                <w:color w:val="auto"/>
              </w:rPr>
            </w:pPr>
          </w:p>
        </w:tc>
        <w:tc>
          <w:tcPr>
            <w:tcW w:w="2480" w:type="dxa"/>
            <w:vAlign w:val="bottom"/>
            <w:gridSpan w:val="2"/>
          </w:tcPr>
          <w:p>
            <w:pPr>
              <w:jc w:val="right"/>
              <w:ind w:right="531"/>
              <w:spacing w:after="0"/>
              <w:rPr>
                <w:sz w:val="20"/>
                <w:szCs w:val="20"/>
                <w:color w:val="auto"/>
              </w:rPr>
            </w:pPr>
            <w:r>
              <w:rPr>
                <w:rFonts w:ascii="Arial" w:cs="Arial" w:eastAsia="Arial" w:hAnsi="Arial"/>
                <w:sz w:val="20"/>
                <w:szCs w:val="20"/>
                <w:b w:val="1"/>
                <w:bCs w:val="1"/>
                <w:color w:val="auto"/>
              </w:rPr>
              <w:t>Treasury Stock</w:t>
            </w:r>
          </w:p>
        </w:tc>
        <w:tc>
          <w:tcPr>
            <w:tcW w:w="700" w:type="dxa"/>
            <w:vAlign w:val="bottom"/>
          </w:tcPr>
          <w:p>
            <w:pPr>
              <w:spacing w:after="0"/>
              <w:rPr>
                <w:sz w:val="19"/>
                <w:szCs w:val="19"/>
                <w:color w:val="auto"/>
              </w:rPr>
            </w:pPr>
          </w:p>
        </w:tc>
        <w:tc>
          <w:tcPr>
            <w:tcW w:w="1120" w:type="dxa"/>
            <w:vAlign w:val="bottom"/>
            <w:gridSpan w:val="2"/>
          </w:tcPr>
          <w:p>
            <w:pPr>
              <w:jc w:val="center"/>
              <w:ind w:right="640"/>
              <w:spacing w:after="0"/>
              <w:rPr>
                <w:sz w:val="20"/>
                <w:szCs w:val="20"/>
                <w:color w:val="auto"/>
              </w:rPr>
            </w:pPr>
            <w:r>
              <w:rPr>
                <w:rFonts w:ascii="Arial" w:cs="Arial" w:eastAsia="Arial" w:hAnsi="Arial"/>
                <w:sz w:val="20"/>
                <w:szCs w:val="20"/>
                <w:b w:val="1"/>
                <w:bCs w:val="1"/>
                <w:color w:val="auto"/>
                <w:w w:val="91"/>
              </w:rPr>
              <w:t>Total</w:t>
            </w:r>
          </w:p>
        </w:tc>
        <w:tc>
          <w:tcPr>
            <w:tcW w:w="0" w:type="dxa"/>
            <w:vAlign w:val="bottom"/>
          </w:tcPr>
          <w:p>
            <w:pPr>
              <w:spacing w:after="0"/>
              <w:rPr>
                <w:sz w:val="1"/>
                <w:szCs w:val="1"/>
                <w:color w:val="auto"/>
              </w:rPr>
            </w:pPr>
          </w:p>
        </w:tc>
      </w:tr>
      <w:tr>
        <w:trPr>
          <w:trHeight w:val="124"/>
        </w:trPr>
        <w:tc>
          <w:tcPr>
            <w:tcW w:w="1940" w:type="dxa"/>
            <w:vAlign w:val="bottom"/>
            <w:vMerge w:val="restart"/>
          </w:tcPr>
          <w:p>
            <w:pPr>
              <w:jc w:val="right"/>
              <w:ind w:right="551"/>
              <w:spacing w:after="0" w:line="222" w:lineRule="exact"/>
              <w:rPr>
                <w:sz w:val="20"/>
                <w:szCs w:val="20"/>
                <w:color w:val="auto"/>
              </w:rPr>
            </w:pPr>
            <w:r>
              <w:rPr>
                <w:rFonts w:ascii="Arial" w:cs="Arial" w:eastAsia="Arial" w:hAnsi="Arial"/>
                <w:sz w:val="20"/>
                <w:szCs w:val="20"/>
                <w:b w:val="1"/>
                <w:bCs w:val="1"/>
                <w:color w:val="auto"/>
              </w:rPr>
              <w:t>Deferred</w:t>
            </w:r>
          </w:p>
        </w:tc>
        <w:tc>
          <w:tcPr>
            <w:tcW w:w="1800" w:type="dxa"/>
            <w:vAlign w:val="bottom"/>
            <w:vMerge w:val="restart"/>
          </w:tcPr>
          <w:p>
            <w:pPr>
              <w:jc w:val="center"/>
              <w:spacing w:after="0" w:line="222" w:lineRule="exact"/>
              <w:rPr>
                <w:sz w:val="20"/>
                <w:szCs w:val="20"/>
                <w:color w:val="auto"/>
              </w:rPr>
            </w:pPr>
            <w:r>
              <w:rPr>
                <w:rFonts w:ascii="Arial" w:cs="Arial" w:eastAsia="Arial" w:hAnsi="Arial"/>
                <w:sz w:val="20"/>
                <w:szCs w:val="20"/>
                <w:b w:val="1"/>
                <w:bCs w:val="1"/>
                <w:color w:val="auto"/>
                <w:w w:val="91"/>
              </w:rPr>
              <w:t>Currency</w:t>
            </w:r>
          </w:p>
        </w:tc>
        <w:tc>
          <w:tcPr>
            <w:tcW w:w="1720" w:type="dxa"/>
            <w:vAlign w:val="bottom"/>
            <w:vMerge w:val="restart"/>
          </w:tcPr>
          <w:p>
            <w:pPr>
              <w:jc w:val="center"/>
              <w:spacing w:after="0" w:line="222" w:lineRule="exact"/>
              <w:rPr>
                <w:sz w:val="20"/>
                <w:szCs w:val="20"/>
                <w:color w:val="auto"/>
              </w:rPr>
            </w:pPr>
            <w:r>
              <w:rPr>
                <w:rFonts w:ascii="Arial" w:cs="Arial" w:eastAsia="Arial" w:hAnsi="Arial"/>
                <w:sz w:val="20"/>
                <w:szCs w:val="20"/>
                <w:b w:val="1"/>
                <w:bCs w:val="1"/>
                <w:color w:val="auto"/>
                <w:w w:val="84"/>
              </w:rPr>
              <w:t>Pension</w:t>
            </w:r>
          </w:p>
        </w:tc>
        <w:tc>
          <w:tcPr>
            <w:tcW w:w="1660" w:type="dxa"/>
            <w:vAlign w:val="bottom"/>
            <w:vMerge w:val="restart"/>
          </w:tcPr>
          <w:p>
            <w:pPr>
              <w:jc w:val="right"/>
              <w:ind w:right="391"/>
              <w:spacing w:after="0" w:line="222" w:lineRule="exact"/>
              <w:rPr>
                <w:sz w:val="20"/>
                <w:szCs w:val="20"/>
                <w:color w:val="auto"/>
              </w:rPr>
            </w:pPr>
            <w:r>
              <w:rPr>
                <w:rFonts w:ascii="Arial" w:cs="Arial" w:eastAsia="Arial" w:hAnsi="Arial"/>
                <w:sz w:val="20"/>
                <w:szCs w:val="20"/>
                <w:b w:val="1"/>
                <w:bCs w:val="1"/>
                <w:color w:val="auto"/>
              </w:rPr>
              <w:t>Retained</w:t>
            </w:r>
          </w:p>
        </w:tc>
        <w:tc>
          <w:tcPr>
            <w:tcW w:w="1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20" w:type="dxa"/>
            <w:vAlign w:val="bottom"/>
            <w:gridSpan w:val="3"/>
            <w:vMerge w:val="restart"/>
          </w:tcPr>
          <w:p>
            <w:pPr>
              <w:jc w:val="center"/>
              <w:spacing w:after="0" w:line="222" w:lineRule="exact"/>
              <w:rPr>
                <w:sz w:val="20"/>
                <w:szCs w:val="20"/>
                <w:color w:val="auto"/>
              </w:rPr>
            </w:pPr>
            <w:r>
              <w:rPr>
                <w:rFonts w:ascii="Arial" w:cs="Arial" w:eastAsia="Arial" w:hAnsi="Arial"/>
                <w:sz w:val="20"/>
                <w:szCs w:val="20"/>
                <w:b w:val="1"/>
                <w:bCs w:val="1"/>
                <w:color w:val="auto"/>
                <w:w w:val="87"/>
              </w:rPr>
              <w:t>Stockholders’</w:t>
            </w:r>
          </w:p>
        </w:tc>
        <w:tc>
          <w:tcPr>
            <w:tcW w:w="0" w:type="dxa"/>
            <w:vAlign w:val="bottom"/>
          </w:tcPr>
          <w:p>
            <w:pPr>
              <w:spacing w:after="0"/>
              <w:rPr>
                <w:sz w:val="1"/>
                <w:szCs w:val="1"/>
                <w:color w:val="auto"/>
              </w:rPr>
            </w:pPr>
          </w:p>
        </w:tc>
      </w:tr>
      <w:tr>
        <w:trPr>
          <w:trHeight w:val="78"/>
        </w:trPr>
        <w:tc>
          <w:tcPr>
            <w:tcW w:w="194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940" w:type="dxa"/>
            <w:vAlign w:val="bottom"/>
          </w:tcPr>
          <w:p>
            <w:pPr>
              <w:jc w:val="right"/>
              <w:ind w:right="331"/>
              <w:spacing w:after="0"/>
              <w:rPr>
                <w:sz w:val="20"/>
                <w:szCs w:val="20"/>
                <w:color w:val="auto"/>
              </w:rPr>
            </w:pPr>
            <w:r>
              <w:rPr>
                <w:rFonts w:ascii="Arial" w:cs="Arial" w:eastAsia="Arial" w:hAnsi="Arial"/>
                <w:sz w:val="20"/>
                <w:szCs w:val="20"/>
                <w:b w:val="1"/>
                <w:bCs w:val="1"/>
                <w:color w:val="auto"/>
              </w:rPr>
              <w:t>Compensation</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9"/>
              </w:rPr>
              <w:t>Translation</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w w:val="95"/>
              </w:rPr>
              <w:t>Liability</w:t>
            </w:r>
          </w:p>
        </w:tc>
        <w:tc>
          <w:tcPr>
            <w:tcW w:w="1660" w:type="dxa"/>
            <w:vAlign w:val="bottom"/>
          </w:tcPr>
          <w:p>
            <w:pPr>
              <w:jc w:val="right"/>
              <w:ind w:right="391"/>
              <w:spacing w:after="0"/>
              <w:rPr>
                <w:sz w:val="20"/>
                <w:szCs w:val="20"/>
                <w:color w:val="auto"/>
              </w:rPr>
            </w:pPr>
            <w:r>
              <w:rPr>
                <w:rFonts w:ascii="Arial" w:cs="Arial" w:eastAsia="Arial" w:hAnsi="Arial"/>
                <w:sz w:val="20"/>
                <w:szCs w:val="20"/>
                <w:b w:val="1"/>
                <w:bCs w:val="1"/>
                <w:color w:val="auto"/>
              </w:rPr>
              <w:t>Earnings</w:t>
            </w:r>
          </w:p>
        </w:tc>
        <w:tc>
          <w:tcPr>
            <w:tcW w:w="1180" w:type="dxa"/>
            <w:vAlign w:val="bottom"/>
          </w:tcPr>
          <w:p>
            <w:pPr>
              <w:jc w:val="right"/>
              <w:ind w:right="188"/>
              <w:spacing w:after="0"/>
              <w:rPr>
                <w:sz w:val="20"/>
                <w:szCs w:val="20"/>
                <w:color w:val="auto"/>
              </w:rPr>
            </w:pPr>
            <w:r>
              <w:rPr>
                <w:rFonts w:ascii="Arial" w:cs="Arial" w:eastAsia="Arial" w:hAnsi="Arial"/>
                <w:sz w:val="20"/>
                <w:szCs w:val="20"/>
                <w:b w:val="1"/>
                <w:bCs w:val="1"/>
                <w:color w:val="auto"/>
              </w:rPr>
              <w:t>Shares</w:t>
            </w:r>
          </w:p>
        </w:tc>
        <w:tc>
          <w:tcPr>
            <w:tcW w:w="1300" w:type="dxa"/>
            <w:vAlign w:val="bottom"/>
          </w:tcPr>
          <w:p>
            <w:pPr>
              <w:jc w:val="right"/>
              <w:ind w:right="171"/>
              <w:spacing w:after="0"/>
              <w:rPr>
                <w:sz w:val="20"/>
                <w:szCs w:val="20"/>
                <w:color w:val="auto"/>
              </w:rPr>
            </w:pPr>
            <w:r>
              <w:rPr>
                <w:rFonts w:ascii="Arial" w:cs="Arial" w:eastAsia="Arial" w:hAnsi="Arial"/>
                <w:sz w:val="20"/>
                <w:szCs w:val="20"/>
                <w:b w:val="1"/>
                <w:bCs w:val="1"/>
                <w:color w:val="auto"/>
              </w:rPr>
              <w:t>Amount</w:t>
            </w:r>
          </w:p>
        </w:tc>
        <w:tc>
          <w:tcPr>
            <w:tcW w:w="182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Equity</w:t>
            </w:r>
          </w:p>
        </w:tc>
        <w:tc>
          <w:tcPr>
            <w:tcW w:w="0" w:type="dxa"/>
            <w:vAlign w:val="bottom"/>
          </w:tcPr>
          <w:p>
            <w:pPr>
              <w:spacing w:after="0"/>
              <w:rPr>
                <w:sz w:val="1"/>
                <w:szCs w:val="1"/>
                <w:color w:val="auto"/>
              </w:rPr>
            </w:pPr>
          </w:p>
        </w:tc>
      </w:tr>
      <w:tr>
        <w:trPr>
          <w:trHeight w:val="90"/>
        </w:trPr>
        <w:tc>
          <w:tcPr>
            <w:tcW w:w="194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9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940" w:type="dxa"/>
            <w:vAlign w:val="bottom"/>
            <w:shd w:val="clear" w:color="auto" w:fill="DDDDDD"/>
          </w:tcPr>
          <w:p>
            <w:pPr>
              <w:jc w:val="right"/>
              <w:ind w:right="811"/>
              <w:spacing w:after="0"/>
              <w:rPr>
                <w:sz w:val="20"/>
                <w:szCs w:val="20"/>
                <w:color w:val="auto"/>
              </w:rPr>
            </w:pPr>
            <w:r>
              <w:rPr>
                <w:rFonts w:ascii="Arial" w:cs="Arial" w:eastAsia="Arial" w:hAnsi="Arial"/>
                <w:sz w:val="16"/>
                <w:szCs w:val="16"/>
                <w:b w:val="1"/>
                <w:bCs w:val="1"/>
                <w:color w:val="auto"/>
              </w:rPr>
              <w:t>$  —</w:t>
            </w:r>
          </w:p>
        </w:tc>
        <w:tc>
          <w:tcPr>
            <w:tcW w:w="1800" w:type="dxa"/>
            <w:vAlign w:val="bottom"/>
            <w:shd w:val="clear" w:color="auto" w:fill="DDDDDD"/>
          </w:tcPr>
          <w:p>
            <w:pPr>
              <w:jc w:val="right"/>
              <w:ind w:right="489"/>
              <w:spacing w:after="0"/>
              <w:rPr>
                <w:sz w:val="20"/>
                <w:szCs w:val="20"/>
                <w:color w:val="auto"/>
              </w:rPr>
            </w:pPr>
            <w:r>
              <w:rPr>
                <w:rFonts w:ascii="Arial" w:cs="Arial" w:eastAsia="Arial" w:hAnsi="Arial"/>
                <w:sz w:val="16"/>
                <w:szCs w:val="16"/>
                <w:b w:val="1"/>
                <w:bCs w:val="1"/>
                <w:color w:val="auto"/>
              </w:rPr>
              <w:t>$ (11.1)</w:t>
            </w:r>
          </w:p>
        </w:tc>
        <w:tc>
          <w:tcPr>
            <w:tcW w:w="1720" w:type="dxa"/>
            <w:vAlign w:val="bottom"/>
            <w:shd w:val="clear" w:color="auto" w:fill="DDDDDD"/>
          </w:tcPr>
          <w:p>
            <w:pPr>
              <w:jc w:val="right"/>
              <w:ind w:right="529"/>
              <w:spacing w:after="0"/>
              <w:rPr>
                <w:sz w:val="20"/>
                <w:szCs w:val="20"/>
                <w:color w:val="auto"/>
              </w:rPr>
            </w:pPr>
            <w:r>
              <w:rPr>
                <w:rFonts w:ascii="Arial" w:cs="Arial" w:eastAsia="Arial" w:hAnsi="Arial"/>
                <w:sz w:val="16"/>
                <w:szCs w:val="16"/>
                <w:b w:val="1"/>
                <w:bCs w:val="1"/>
                <w:color w:val="auto"/>
              </w:rPr>
              <w:t>$   —</w:t>
            </w:r>
          </w:p>
        </w:tc>
        <w:tc>
          <w:tcPr>
            <w:tcW w:w="1660" w:type="dxa"/>
            <w:vAlign w:val="bottom"/>
            <w:shd w:val="clear" w:color="auto" w:fill="DDDDDD"/>
          </w:tcPr>
          <w:p>
            <w:pPr>
              <w:jc w:val="right"/>
              <w:ind w:right="491"/>
              <w:spacing w:after="0"/>
              <w:rPr>
                <w:sz w:val="20"/>
                <w:szCs w:val="20"/>
                <w:color w:val="auto"/>
              </w:rPr>
            </w:pPr>
            <w:r>
              <w:rPr>
                <w:rFonts w:ascii="Arial" w:cs="Arial" w:eastAsia="Arial" w:hAnsi="Arial"/>
                <w:sz w:val="16"/>
                <w:szCs w:val="16"/>
                <w:b w:val="1"/>
                <w:bCs w:val="1"/>
                <w:color w:val="auto"/>
              </w:rPr>
              <w:t>$ 242.8</w:t>
            </w:r>
          </w:p>
        </w:tc>
        <w:tc>
          <w:tcPr>
            <w:tcW w:w="1180" w:type="dxa"/>
            <w:vAlign w:val="bottom"/>
            <w:shd w:val="clear" w:color="auto" w:fill="DDDDDD"/>
          </w:tcPr>
          <w:p>
            <w:pPr>
              <w:jc w:val="right"/>
              <w:ind w:right="248"/>
              <w:spacing w:after="0"/>
              <w:rPr>
                <w:sz w:val="20"/>
                <w:szCs w:val="20"/>
                <w:color w:val="auto"/>
              </w:rPr>
            </w:pPr>
            <w:r>
              <w:rPr>
                <w:rFonts w:ascii="Arial" w:cs="Arial" w:eastAsia="Arial" w:hAnsi="Arial"/>
                <w:sz w:val="16"/>
                <w:szCs w:val="16"/>
                <w:b w:val="1"/>
                <w:bCs w:val="1"/>
                <w:color w:val="auto"/>
              </w:rPr>
              <w:t>(851,006)</w:t>
            </w:r>
          </w:p>
        </w:tc>
        <w:tc>
          <w:tcPr>
            <w:tcW w:w="1300" w:type="dxa"/>
            <w:vAlign w:val="bottom"/>
            <w:shd w:val="clear" w:color="auto" w:fill="DDDDDD"/>
          </w:tcPr>
          <w:p>
            <w:pPr>
              <w:jc w:val="right"/>
              <w:ind w:right="411"/>
              <w:spacing w:after="0"/>
              <w:rPr>
                <w:sz w:val="20"/>
                <w:szCs w:val="20"/>
                <w:color w:val="auto"/>
              </w:rPr>
            </w:pPr>
            <w:r>
              <w:rPr>
                <w:rFonts w:ascii="Arial" w:cs="Arial" w:eastAsia="Arial" w:hAnsi="Arial"/>
                <w:sz w:val="16"/>
                <w:szCs w:val="16"/>
                <w:b w:val="1"/>
                <w:bCs w:val="1"/>
                <w:color w:val="auto"/>
              </w:rPr>
              <w:t>$ (24.6)</w:t>
            </w:r>
          </w:p>
        </w:tc>
        <w:tc>
          <w:tcPr>
            <w:tcW w:w="108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$ 430.0</w:t>
            </w:r>
          </w:p>
        </w:tc>
        <w:tc>
          <w:tcPr>
            <w:tcW w:w="7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shd w:val="clear" w:color="auto" w:fill="DDDDDD"/>
          </w:tcPr>
          <w:p>
            <w:pPr>
              <w:spacing w:after="0"/>
              <w:rPr>
                <w:sz w:val="19"/>
                <w:szCs w:val="19"/>
                <w:color w:val="auto"/>
              </w:rPr>
            </w:pPr>
          </w:p>
        </w:tc>
        <w:tc>
          <w:tcPr>
            <w:tcW w:w="1800" w:type="dxa"/>
            <w:vAlign w:val="bottom"/>
            <w:shd w:val="clear" w:color="auto" w:fill="DDDDDD"/>
          </w:tcPr>
          <w:p>
            <w:pPr>
              <w:spacing w:after="0"/>
              <w:rPr>
                <w:sz w:val="19"/>
                <w:szCs w:val="19"/>
                <w:color w:val="auto"/>
              </w:rPr>
            </w:pPr>
          </w:p>
        </w:tc>
        <w:tc>
          <w:tcPr>
            <w:tcW w:w="1720" w:type="dxa"/>
            <w:vAlign w:val="bottom"/>
            <w:shd w:val="clear" w:color="auto" w:fill="DDDDDD"/>
          </w:tcPr>
          <w:p>
            <w:pPr>
              <w:spacing w:after="0"/>
              <w:rPr>
                <w:sz w:val="19"/>
                <w:szCs w:val="19"/>
                <w:color w:val="auto"/>
              </w:rPr>
            </w:pPr>
          </w:p>
        </w:tc>
        <w:tc>
          <w:tcPr>
            <w:tcW w:w="1660" w:type="dxa"/>
            <w:vAlign w:val="bottom"/>
            <w:shd w:val="clear" w:color="auto" w:fill="DDDDDD"/>
          </w:tcPr>
          <w:p>
            <w:pPr>
              <w:jc w:val="right"/>
              <w:ind w:right="491"/>
              <w:spacing w:after="0"/>
              <w:rPr>
                <w:sz w:val="20"/>
                <w:szCs w:val="20"/>
                <w:color w:val="auto"/>
              </w:rPr>
            </w:pPr>
            <w:r>
              <w:rPr>
                <w:rFonts w:ascii="Arial" w:cs="Arial" w:eastAsia="Arial" w:hAnsi="Arial"/>
                <w:sz w:val="16"/>
                <w:szCs w:val="16"/>
                <w:color w:val="auto"/>
              </w:rPr>
              <w:t>36.3</w:t>
            </w:r>
          </w:p>
        </w:tc>
        <w:tc>
          <w:tcPr>
            <w:tcW w:w="118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08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36.3</w:t>
            </w:r>
          </w:p>
        </w:tc>
        <w:tc>
          <w:tcPr>
            <w:tcW w:w="7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shd w:val="clear" w:color="auto" w:fill="DDDDDD"/>
          </w:tcPr>
          <w:p>
            <w:pPr>
              <w:spacing w:after="0"/>
              <w:rPr>
                <w:sz w:val="19"/>
                <w:szCs w:val="19"/>
                <w:color w:val="auto"/>
              </w:rPr>
            </w:pPr>
          </w:p>
        </w:tc>
        <w:tc>
          <w:tcPr>
            <w:tcW w:w="1800" w:type="dxa"/>
            <w:vAlign w:val="bottom"/>
            <w:shd w:val="clear" w:color="auto" w:fill="DDDDDD"/>
          </w:tcPr>
          <w:p>
            <w:pPr>
              <w:jc w:val="right"/>
              <w:ind w:right="489"/>
              <w:spacing w:after="0"/>
              <w:rPr>
                <w:sz w:val="20"/>
                <w:szCs w:val="20"/>
                <w:color w:val="auto"/>
              </w:rPr>
            </w:pPr>
            <w:r>
              <w:rPr>
                <w:rFonts w:ascii="Arial" w:cs="Arial" w:eastAsia="Arial" w:hAnsi="Arial"/>
                <w:sz w:val="16"/>
                <w:szCs w:val="16"/>
                <w:color w:val="auto"/>
              </w:rPr>
              <w:t>(1.7)</w:t>
            </w:r>
          </w:p>
        </w:tc>
        <w:tc>
          <w:tcPr>
            <w:tcW w:w="1720" w:type="dxa"/>
            <w:vAlign w:val="bottom"/>
            <w:shd w:val="clear" w:color="auto" w:fill="DDDDDD"/>
          </w:tcPr>
          <w:p>
            <w:pPr>
              <w:spacing w:after="0"/>
              <w:rPr>
                <w:sz w:val="19"/>
                <w:szCs w:val="19"/>
                <w:color w:val="auto"/>
              </w:rPr>
            </w:pPr>
          </w:p>
        </w:tc>
        <w:tc>
          <w:tcPr>
            <w:tcW w:w="166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08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(1.7)</w:t>
            </w:r>
          </w:p>
        </w:tc>
        <w:tc>
          <w:tcPr>
            <w:tcW w:w="7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20" w:type="dxa"/>
            <w:vAlign w:val="bottom"/>
          </w:tcPr>
          <w:p>
            <w:pPr>
              <w:jc w:val="right"/>
              <w:ind w:right="489"/>
              <w:spacing w:after="0" w:line="160" w:lineRule="exact"/>
              <w:rPr>
                <w:sz w:val="20"/>
                <w:szCs w:val="20"/>
                <w:color w:val="auto"/>
              </w:rPr>
            </w:pPr>
            <w:r>
              <w:rPr>
                <w:rFonts w:ascii="Arial" w:cs="Arial" w:eastAsia="Arial" w:hAnsi="Arial"/>
                <w:sz w:val="16"/>
                <w:szCs w:val="16"/>
                <w:color w:val="auto"/>
              </w:rPr>
              <w:t>(3.6)</w:t>
            </w:r>
          </w:p>
        </w:tc>
        <w:tc>
          <w:tcPr>
            <w:tcW w:w="1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8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(3.</w:t>
            </w:r>
            <w:r>
              <w:rPr>
                <w:rFonts w:ascii="Arial" w:cs="Arial" w:eastAsia="Arial" w:hAnsi="Arial"/>
                <w:sz w:val="16"/>
                <w:szCs w:val="16"/>
                <w:u w:val="single" w:color="auto"/>
                <w:color w:val="auto"/>
              </w:rPr>
              <w:t>6)</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9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40" w:type="dxa"/>
            <w:vAlign w:val="bottom"/>
            <w:tcBorders>
              <w:bottom w:val="single" w:sz="8" w:color="DDDDDD"/>
            </w:tcBorders>
            <w:shd w:val="clear" w:color="auto" w:fill="DDDDDD"/>
          </w:tcPr>
          <w:p>
            <w:pPr>
              <w:spacing w:after="0"/>
              <w:rPr>
                <w:sz w:val="17"/>
                <w:szCs w:val="17"/>
                <w:color w:val="auto"/>
              </w:rPr>
            </w:pPr>
          </w:p>
        </w:tc>
        <w:tc>
          <w:tcPr>
            <w:tcW w:w="1800" w:type="dxa"/>
            <w:vAlign w:val="bottom"/>
            <w:tcBorders>
              <w:bottom w:val="single" w:sz="8" w:color="DDDDDD"/>
            </w:tcBorders>
            <w:shd w:val="clear" w:color="auto" w:fill="DDDDDD"/>
          </w:tcPr>
          <w:p>
            <w:pPr>
              <w:spacing w:after="0"/>
              <w:rPr>
                <w:sz w:val="17"/>
                <w:szCs w:val="17"/>
                <w:color w:val="auto"/>
              </w:rPr>
            </w:pPr>
          </w:p>
        </w:tc>
        <w:tc>
          <w:tcPr>
            <w:tcW w:w="1720" w:type="dxa"/>
            <w:vAlign w:val="bottom"/>
            <w:tcBorders>
              <w:bottom w:val="single" w:sz="8" w:color="DDDDDD"/>
            </w:tcBorders>
            <w:shd w:val="clear" w:color="auto" w:fill="DDDDDD"/>
          </w:tcPr>
          <w:p>
            <w:pPr>
              <w:spacing w:after="0"/>
              <w:rPr>
                <w:sz w:val="17"/>
                <w:szCs w:val="17"/>
                <w:color w:val="auto"/>
              </w:rPr>
            </w:pPr>
          </w:p>
        </w:tc>
        <w:tc>
          <w:tcPr>
            <w:tcW w:w="16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spacing w:after="0"/>
              <w:rPr>
                <w:sz w:val="17"/>
                <w:szCs w:val="17"/>
                <w:color w:val="auto"/>
              </w:rPr>
            </w:pPr>
          </w:p>
        </w:tc>
        <w:tc>
          <w:tcPr>
            <w:tcW w:w="130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spacing w:after="0"/>
              <w:rPr>
                <w:sz w:val="17"/>
                <w:szCs w:val="17"/>
                <w:color w:val="auto"/>
              </w:rPr>
            </w:pPr>
          </w:p>
        </w:tc>
        <w:tc>
          <w:tcPr>
            <w:tcW w:w="380" w:type="dxa"/>
            <w:vAlign w:val="bottom"/>
            <w:tcBorders>
              <w:bottom w:val="single" w:sz="8" w:color="auto"/>
            </w:tcBorders>
            <w:shd w:val="clear" w:color="auto" w:fill="DDDDDD"/>
          </w:tcPr>
          <w:p>
            <w:pPr>
              <w:jc w:val="right"/>
              <w:spacing w:after="0" w:line="160" w:lineRule="exact"/>
              <w:rPr>
                <w:sz w:val="20"/>
                <w:szCs w:val="20"/>
                <w:color w:val="auto"/>
              </w:rPr>
            </w:pPr>
            <w:r>
              <w:rPr>
                <w:rFonts w:ascii="Arial" w:cs="Arial" w:eastAsia="Arial" w:hAnsi="Arial"/>
                <w:sz w:val="16"/>
                <w:szCs w:val="16"/>
                <w:color w:val="auto"/>
              </w:rPr>
              <w:t>(5.</w:t>
            </w:r>
            <w:r>
              <w:rPr>
                <w:rFonts w:ascii="Arial" w:cs="Arial" w:eastAsia="Arial" w:hAnsi="Arial"/>
                <w:sz w:val="16"/>
                <w:szCs w:val="16"/>
                <w:u w:val="single" w:color="auto"/>
                <w:color w:val="auto"/>
              </w:rPr>
              <w:t>3)</w:t>
            </w:r>
          </w:p>
        </w:tc>
        <w:tc>
          <w:tcPr>
            <w:tcW w:w="74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31.0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DDDDDD"/>
          </w:tcPr>
          <w:p>
            <w:pPr>
              <w:spacing w:after="0"/>
              <w:rPr>
                <w:sz w:val="19"/>
                <w:szCs w:val="19"/>
                <w:color w:val="auto"/>
              </w:rPr>
            </w:pPr>
          </w:p>
        </w:tc>
        <w:tc>
          <w:tcPr>
            <w:tcW w:w="1800" w:type="dxa"/>
            <w:vAlign w:val="bottom"/>
            <w:shd w:val="clear" w:color="auto" w:fill="DDDDDD"/>
          </w:tcPr>
          <w:p>
            <w:pPr>
              <w:spacing w:after="0"/>
              <w:rPr>
                <w:sz w:val="19"/>
                <w:szCs w:val="19"/>
                <w:color w:val="auto"/>
              </w:rPr>
            </w:pPr>
          </w:p>
        </w:tc>
        <w:tc>
          <w:tcPr>
            <w:tcW w:w="1720" w:type="dxa"/>
            <w:vAlign w:val="bottom"/>
            <w:shd w:val="clear" w:color="auto" w:fill="DDDDDD"/>
          </w:tcPr>
          <w:p>
            <w:pPr>
              <w:spacing w:after="0"/>
              <w:rPr>
                <w:sz w:val="19"/>
                <w:szCs w:val="19"/>
                <w:color w:val="auto"/>
              </w:rPr>
            </w:pPr>
          </w:p>
        </w:tc>
        <w:tc>
          <w:tcPr>
            <w:tcW w:w="166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08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0.0</w:t>
            </w:r>
          </w:p>
        </w:tc>
        <w:tc>
          <w:tcPr>
            <w:tcW w:w="7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Pr>
          <w:p>
            <w:pPr>
              <w:jc w:val="right"/>
              <w:ind w:right="771"/>
              <w:spacing w:after="0"/>
              <w:rPr>
                <w:sz w:val="20"/>
                <w:szCs w:val="20"/>
                <w:color w:val="auto"/>
              </w:rPr>
            </w:pPr>
            <w:r>
              <w:rPr>
                <w:rFonts w:ascii="Arial" w:cs="Arial" w:eastAsia="Arial" w:hAnsi="Arial"/>
                <w:sz w:val="16"/>
                <w:szCs w:val="16"/>
                <w:color w:val="auto"/>
              </w:rPr>
              <w:t>(0.2)</w:t>
            </w: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DDDDDD"/>
          </w:tcPr>
          <w:p>
            <w:pPr>
              <w:spacing w:after="0"/>
              <w:rPr>
                <w:sz w:val="19"/>
                <w:szCs w:val="19"/>
                <w:color w:val="auto"/>
              </w:rPr>
            </w:pPr>
          </w:p>
        </w:tc>
        <w:tc>
          <w:tcPr>
            <w:tcW w:w="1800" w:type="dxa"/>
            <w:vAlign w:val="bottom"/>
            <w:shd w:val="clear" w:color="auto" w:fill="DDDDDD"/>
          </w:tcPr>
          <w:p>
            <w:pPr>
              <w:spacing w:after="0"/>
              <w:rPr>
                <w:sz w:val="19"/>
                <w:szCs w:val="19"/>
                <w:color w:val="auto"/>
              </w:rPr>
            </w:pPr>
          </w:p>
        </w:tc>
        <w:tc>
          <w:tcPr>
            <w:tcW w:w="1720" w:type="dxa"/>
            <w:vAlign w:val="bottom"/>
            <w:shd w:val="clear" w:color="auto" w:fill="DDDDDD"/>
          </w:tcPr>
          <w:p>
            <w:pPr>
              <w:spacing w:after="0"/>
              <w:rPr>
                <w:sz w:val="19"/>
                <w:szCs w:val="19"/>
                <w:color w:val="auto"/>
              </w:rPr>
            </w:pPr>
          </w:p>
        </w:tc>
        <w:tc>
          <w:tcPr>
            <w:tcW w:w="166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0" w:right="219" w:bottom="0" w:gutter="0" w:footer="0" w:header="0"/>
        </w:sectPr>
      </w:pPr>
    </w:p>
    <w:bookmarkStart w:id="20" w:name="page21"/>
    <w:bookmarkEnd w:id="2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795,687</w:t>
            </w:r>
          </w:p>
        </w:tc>
        <w:tc>
          <w:tcPr>
            <w:tcW w:w="440" w:type="dxa"/>
            <w:vAlign w:val="bottom"/>
          </w:tcPr>
          <w:p>
            <w:pPr>
              <w:spacing w:after="0"/>
              <w:rPr>
                <w:sz w:val="17"/>
                <w:szCs w:val="17"/>
                <w:color w:val="auto"/>
              </w:rPr>
            </w:pPr>
          </w:p>
        </w:tc>
        <w:tc>
          <w:tcPr>
            <w:tcW w:w="980" w:type="dxa"/>
            <w:vAlign w:val="bottom"/>
          </w:tcPr>
          <w:p>
            <w:pPr>
              <w:jc w:val="right"/>
              <w:ind w:right="500"/>
              <w:spacing w:after="0"/>
              <w:rPr>
                <w:sz w:val="20"/>
                <w:szCs w:val="20"/>
                <w:color w:val="auto"/>
              </w:rPr>
            </w:pPr>
            <w:r>
              <w:rPr>
                <w:rFonts w:ascii="Arial" w:cs="Arial" w:eastAsia="Arial" w:hAnsi="Arial"/>
                <w:sz w:val="16"/>
                <w:szCs w:val="16"/>
                <w:color w:val="auto"/>
              </w:rPr>
              <w:t>21.8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26.0</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1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6.9</w:t>
            </w: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98"/>
        </w:trPr>
        <w:tc>
          <w:tcPr>
            <w:tcW w:w="18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86"/>
        </w:trPr>
        <w:tc>
          <w:tcPr>
            <w:tcW w:w="1880" w:type="dxa"/>
            <w:vAlign w:val="bottom"/>
          </w:tcPr>
          <w:p>
            <w:pPr>
              <w:jc w:val="right"/>
              <w:ind w:right="720"/>
              <w:spacing w:after="0"/>
              <w:rPr>
                <w:sz w:val="20"/>
                <w:szCs w:val="20"/>
                <w:color w:val="auto"/>
              </w:rPr>
            </w:pPr>
            <w:r>
              <w:rPr>
                <w:rFonts w:ascii="Arial" w:cs="Arial" w:eastAsia="Arial" w:hAnsi="Arial"/>
                <w:sz w:val="16"/>
                <w:szCs w:val="16"/>
                <w:b w:val="1"/>
                <w:bCs w:val="1"/>
                <w:color w:val="auto"/>
              </w:rPr>
              <w:t>(0.2)</w:t>
            </w:r>
          </w:p>
        </w:tc>
        <w:tc>
          <w:tcPr>
            <w:tcW w:w="1900" w:type="dxa"/>
            <w:vAlign w:val="bottom"/>
          </w:tcPr>
          <w:p>
            <w:pPr>
              <w:jc w:val="right"/>
              <w:ind w:right="540"/>
              <w:spacing w:after="0"/>
              <w:rPr>
                <w:sz w:val="20"/>
                <w:szCs w:val="20"/>
                <w:color w:val="auto"/>
              </w:rPr>
            </w:pPr>
            <w:r>
              <w:rPr>
                <w:rFonts w:ascii="Arial" w:cs="Arial" w:eastAsia="Arial" w:hAnsi="Arial"/>
                <w:sz w:val="16"/>
                <w:szCs w:val="16"/>
                <w:b w:val="1"/>
                <w:bCs w:val="1"/>
                <w:color w:val="auto"/>
              </w:rPr>
              <w:t>(12.8)</w:t>
            </w:r>
          </w:p>
        </w:tc>
        <w:tc>
          <w:tcPr>
            <w:tcW w:w="1480" w:type="dxa"/>
            <w:vAlign w:val="bottom"/>
          </w:tcPr>
          <w:p>
            <w:pPr>
              <w:jc w:val="right"/>
              <w:ind w:right="300"/>
              <w:spacing w:after="0"/>
              <w:rPr>
                <w:sz w:val="20"/>
                <w:szCs w:val="20"/>
                <w:color w:val="auto"/>
              </w:rPr>
            </w:pPr>
            <w:r>
              <w:rPr>
                <w:rFonts w:ascii="Arial" w:cs="Arial" w:eastAsia="Arial" w:hAnsi="Arial"/>
                <w:sz w:val="16"/>
                <w:szCs w:val="16"/>
                <w:b w:val="1"/>
                <w:bCs w:val="1"/>
                <w:color w:val="auto"/>
              </w:rPr>
              <w:t>(3.6)</w:t>
            </w:r>
          </w:p>
        </w:tc>
        <w:tc>
          <w:tcPr>
            <w:tcW w:w="1700" w:type="dxa"/>
            <w:vAlign w:val="bottom"/>
          </w:tcPr>
          <w:p>
            <w:pPr>
              <w:jc w:val="right"/>
              <w:ind w:right="340"/>
              <w:spacing w:after="0"/>
              <w:rPr>
                <w:sz w:val="20"/>
                <w:szCs w:val="20"/>
                <w:color w:val="auto"/>
              </w:rPr>
            </w:pPr>
            <w:r>
              <w:rPr>
                <w:rFonts w:ascii="Arial" w:cs="Arial" w:eastAsia="Arial" w:hAnsi="Arial"/>
                <w:sz w:val="16"/>
                <w:szCs w:val="16"/>
                <w:b w:val="1"/>
                <w:bCs w:val="1"/>
                <w:color w:val="auto"/>
              </w:rPr>
              <w:t>279.1</w:t>
            </w:r>
          </w:p>
        </w:tc>
        <w:tc>
          <w:tcPr>
            <w:tcW w:w="1240" w:type="dxa"/>
            <w:vAlign w:val="bottom"/>
          </w:tcPr>
          <w:p>
            <w:pPr>
              <w:jc w:val="right"/>
              <w:ind w:right="160"/>
              <w:spacing w:after="0"/>
              <w:rPr>
                <w:sz w:val="20"/>
                <w:szCs w:val="20"/>
                <w:color w:val="auto"/>
              </w:rPr>
            </w:pPr>
            <w:r>
              <w:rPr>
                <w:rFonts w:ascii="Arial" w:cs="Arial" w:eastAsia="Arial" w:hAnsi="Arial"/>
                <w:sz w:val="16"/>
                <w:szCs w:val="16"/>
                <w:b w:val="1"/>
                <w:bCs w:val="1"/>
                <w:color w:val="auto"/>
              </w:rPr>
              <w:t>(55,319)</w:t>
            </w:r>
          </w:p>
        </w:tc>
        <w:tc>
          <w:tcPr>
            <w:tcW w:w="440" w:type="dxa"/>
            <w:vAlign w:val="bottom"/>
          </w:tcPr>
          <w:p>
            <w:pPr>
              <w:spacing w:after="0"/>
              <w:rPr>
                <w:sz w:val="24"/>
                <w:szCs w:val="24"/>
                <w:color w:val="auto"/>
              </w:rPr>
            </w:pPr>
          </w:p>
        </w:tc>
        <w:tc>
          <w:tcPr>
            <w:tcW w:w="980" w:type="dxa"/>
            <w:vAlign w:val="bottom"/>
          </w:tcPr>
          <w:p>
            <w:pPr>
              <w:jc w:val="right"/>
              <w:ind w:right="440"/>
              <w:spacing w:after="0"/>
              <w:rPr>
                <w:sz w:val="20"/>
                <w:szCs w:val="20"/>
                <w:color w:val="auto"/>
              </w:rPr>
            </w:pPr>
            <w:r>
              <w:rPr>
                <w:rFonts w:ascii="Arial" w:cs="Arial" w:eastAsia="Arial" w:hAnsi="Arial"/>
                <w:sz w:val="16"/>
                <w:szCs w:val="16"/>
                <w:b w:val="1"/>
                <w:bCs w:val="1"/>
                <w:color w:val="auto"/>
              </w:rPr>
              <w:t>(2.8)</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493.7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1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93.5</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93.5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spacing w:after="0"/>
              <w:rPr>
                <w:sz w:val="18"/>
                <w:szCs w:val="18"/>
                <w:color w:val="auto"/>
              </w:rPr>
            </w:pPr>
          </w:p>
        </w:tc>
        <w:tc>
          <w:tcPr>
            <w:tcW w:w="1900" w:type="dxa"/>
            <w:vAlign w:val="bottom"/>
          </w:tcPr>
          <w:p>
            <w:pPr>
              <w:jc w:val="right"/>
              <w:ind w:right="540"/>
              <w:spacing w:after="0"/>
              <w:rPr>
                <w:sz w:val="20"/>
                <w:szCs w:val="20"/>
                <w:color w:val="auto"/>
              </w:rPr>
            </w:pPr>
            <w:r>
              <w:rPr>
                <w:rFonts w:ascii="Arial" w:cs="Arial" w:eastAsia="Arial" w:hAnsi="Arial"/>
                <w:sz w:val="16"/>
                <w:szCs w:val="16"/>
                <w:color w:val="auto"/>
              </w:rPr>
              <w:t>(0.7)</w:t>
            </w: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880" w:type="dxa"/>
            <w:vAlign w:val="bottom"/>
            <w:tcBorders>
              <w:bottom w:val="single" w:sz="8" w:color="DDDDDD"/>
            </w:tcBorders>
            <w:shd w:val="clear" w:color="auto" w:fill="DDDDDD"/>
          </w:tcPr>
          <w:p>
            <w:pPr>
              <w:spacing w:after="0"/>
              <w:rPr>
                <w:sz w:val="18"/>
                <w:szCs w:val="18"/>
                <w:color w:val="auto"/>
              </w:rPr>
            </w:pPr>
          </w:p>
        </w:tc>
        <w:tc>
          <w:tcPr>
            <w:tcW w:w="1900" w:type="dxa"/>
            <w:vAlign w:val="bottom"/>
            <w:tcBorders>
              <w:bottom w:val="single" w:sz="8" w:color="DDDDDD"/>
            </w:tcBorders>
            <w:shd w:val="clear" w:color="auto" w:fill="DDDDDD"/>
          </w:tcPr>
          <w:p>
            <w:pPr>
              <w:spacing w:after="0"/>
              <w:rPr>
                <w:sz w:val="18"/>
                <w:szCs w:val="18"/>
                <w:color w:val="auto"/>
              </w:rPr>
            </w:pPr>
          </w:p>
        </w:tc>
        <w:tc>
          <w:tcPr>
            <w:tcW w:w="1480" w:type="dxa"/>
            <w:vAlign w:val="bottom"/>
            <w:tcBorders>
              <w:bottom w:val="single" w:sz="8" w:color="DDDDDD"/>
            </w:tcBorders>
            <w:shd w:val="clear" w:color="auto" w:fill="DDDDDD"/>
          </w:tcPr>
          <w:p>
            <w:pPr>
              <w:jc w:val="right"/>
              <w:ind w:right="300"/>
              <w:spacing w:after="0" w:line="168" w:lineRule="exact"/>
              <w:rPr>
                <w:sz w:val="20"/>
                <w:szCs w:val="20"/>
                <w:color w:val="auto"/>
              </w:rPr>
            </w:pPr>
            <w:r>
              <w:rPr>
                <w:rFonts w:ascii="Arial" w:cs="Arial" w:eastAsia="Arial" w:hAnsi="Arial"/>
                <w:sz w:val="16"/>
                <w:szCs w:val="16"/>
                <w:color w:val="auto"/>
              </w:rPr>
              <w:t>(10.3)</w:t>
            </w:r>
          </w:p>
        </w:tc>
        <w:tc>
          <w:tcPr>
            <w:tcW w:w="170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spacing w:after="0"/>
              <w:rPr>
                <w:sz w:val="18"/>
                <w:szCs w:val="18"/>
                <w:color w:val="auto"/>
              </w:rPr>
            </w:pPr>
          </w:p>
        </w:tc>
        <w:tc>
          <w:tcPr>
            <w:tcW w:w="440" w:type="dxa"/>
            <w:vAlign w:val="bottom"/>
            <w:tcBorders>
              <w:bottom w:val="single" w:sz="8" w:color="DDDDDD"/>
            </w:tcBorders>
            <w:shd w:val="clear" w:color="auto" w:fill="DDDDDD"/>
          </w:tcPr>
          <w:p>
            <w:pPr>
              <w:spacing w:after="0"/>
              <w:rPr>
                <w:sz w:val="18"/>
                <w:szCs w:val="18"/>
                <w:color w:val="auto"/>
              </w:rPr>
            </w:pPr>
          </w:p>
        </w:tc>
        <w:tc>
          <w:tcPr>
            <w:tcW w:w="980" w:type="dxa"/>
            <w:vAlign w:val="bottom"/>
            <w:tcBorders>
              <w:bottom w:val="single" w:sz="8" w:color="DDDDDD"/>
            </w:tcBorders>
            <w:shd w:val="clear" w:color="auto" w:fill="DDDDDD"/>
          </w:tcPr>
          <w:p>
            <w:pPr>
              <w:spacing w:after="0"/>
              <w:rPr>
                <w:sz w:val="18"/>
                <w:szCs w:val="18"/>
                <w:color w:val="auto"/>
              </w:rPr>
            </w:pPr>
          </w:p>
        </w:tc>
        <w:tc>
          <w:tcPr>
            <w:tcW w:w="600" w:type="dxa"/>
            <w:vAlign w:val="bottom"/>
            <w:tcBorders>
              <w:bottom w:val="single" w:sz="8" w:color="DDDDDD"/>
            </w:tcBorders>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jc w:val="right"/>
              <w:spacing w:after="0" w:line="168" w:lineRule="exact"/>
              <w:rPr>
                <w:sz w:val="20"/>
                <w:szCs w:val="20"/>
                <w:color w:val="auto"/>
              </w:rPr>
            </w:pPr>
            <w:r>
              <w:rPr>
                <w:rFonts w:ascii="Arial" w:cs="Arial" w:eastAsia="Arial" w:hAnsi="Arial"/>
                <w:sz w:val="16"/>
                <w:szCs w:val="16"/>
                <w:color w:val="auto"/>
              </w:rPr>
              <w:t>(10.</w:t>
            </w:r>
            <w:r>
              <w:rPr>
                <w:rFonts w:ascii="Arial" w:cs="Arial" w:eastAsia="Arial" w:hAnsi="Arial"/>
                <w:sz w:val="16"/>
                <w:szCs w:val="16"/>
                <w:u w:val="single" w:color="auto"/>
                <w:color w:val="auto"/>
              </w:rPr>
              <w:t>3)</w:t>
            </w:r>
          </w:p>
        </w:tc>
        <w:tc>
          <w:tcPr>
            <w:tcW w:w="740" w:type="dxa"/>
            <w:vAlign w:val="bottom"/>
            <w:tcBorders>
              <w:bottom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18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(11.</w:t>
            </w:r>
            <w:r>
              <w:rPr>
                <w:rFonts w:ascii="Arial" w:cs="Arial" w:eastAsia="Arial" w:hAnsi="Arial"/>
                <w:sz w:val="16"/>
                <w:szCs w:val="16"/>
                <w:u w:val="single" w:color="auto"/>
                <w:color w:val="auto"/>
              </w:rPr>
              <w:t>0)</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
        </w:trPr>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1"/>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82.5</w:t>
            </w: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jc w:val="right"/>
              <w:ind w:right="720"/>
              <w:spacing w:after="0"/>
              <w:rPr>
                <w:sz w:val="20"/>
                <w:szCs w:val="20"/>
                <w:color w:val="auto"/>
              </w:rPr>
            </w:pPr>
            <w:r>
              <w:rPr>
                <w:rFonts w:ascii="Arial" w:cs="Arial" w:eastAsia="Arial" w:hAnsi="Arial"/>
                <w:sz w:val="16"/>
                <w:szCs w:val="16"/>
                <w:color w:val="auto"/>
              </w:rPr>
              <w:t>(0.2)</w:t>
            </w: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55,319</w:t>
            </w:r>
          </w:p>
        </w:tc>
        <w:tc>
          <w:tcPr>
            <w:tcW w:w="440" w:type="dxa"/>
            <w:vAlign w:val="bottom"/>
          </w:tcPr>
          <w:p>
            <w:pPr>
              <w:spacing w:after="0"/>
              <w:rPr>
                <w:sz w:val="18"/>
                <w:szCs w:val="18"/>
                <w:color w:val="auto"/>
              </w:rPr>
            </w:pPr>
          </w:p>
        </w:tc>
        <w:tc>
          <w:tcPr>
            <w:tcW w:w="980" w:type="dxa"/>
            <w:vAlign w:val="bottom"/>
          </w:tcPr>
          <w:p>
            <w:pPr>
              <w:jc w:val="right"/>
              <w:ind w:right="500"/>
              <w:spacing w:after="0"/>
              <w:rPr>
                <w:sz w:val="20"/>
                <w:szCs w:val="20"/>
                <w:color w:val="auto"/>
              </w:rPr>
            </w:pPr>
            <w:r>
              <w:rPr>
                <w:rFonts w:ascii="Arial" w:cs="Arial" w:eastAsia="Arial" w:hAnsi="Arial"/>
                <w:sz w:val="16"/>
                <w:szCs w:val="16"/>
                <w:color w:val="auto"/>
              </w:rPr>
              <w:t>2.8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8.8</w:t>
            </w: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1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110.9</w:t>
            </w: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98"/>
        </w:trPr>
        <w:tc>
          <w:tcPr>
            <w:tcW w:w="18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86"/>
        </w:trPr>
        <w:tc>
          <w:tcPr>
            <w:tcW w:w="1880" w:type="dxa"/>
            <w:vAlign w:val="bottom"/>
          </w:tcPr>
          <w:p>
            <w:pPr>
              <w:jc w:val="right"/>
              <w:ind w:right="720"/>
              <w:spacing w:after="0"/>
              <w:rPr>
                <w:sz w:val="20"/>
                <w:szCs w:val="20"/>
                <w:color w:val="auto"/>
              </w:rPr>
            </w:pPr>
            <w:r>
              <w:rPr>
                <w:rFonts w:ascii="Arial" w:cs="Arial" w:eastAsia="Arial" w:hAnsi="Arial"/>
                <w:sz w:val="16"/>
                <w:szCs w:val="16"/>
                <w:b w:val="1"/>
                <w:bCs w:val="1"/>
                <w:color w:val="auto"/>
              </w:rPr>
              <w:t>(0.4)</w:t>
            </w:r>
          </w:p>
        </w:tc>
        <w:tc>
          <w:tcPr>
            <w:tcW w:w="1900" w:type="dxa"/>
            <w:vAlign w:val="bottom"/>
          </w:tcPr>
          <w:p>
            <w:pPr>
              <w:jc w:val="right"/>
              <w:ind w:right="540"/>
              <w:spacing w:after="0"/>
              <w:rPr>
                <w:sz w:val="20"/>
                <w:szCs w:val="20"/>
                <w:color w:val="auto"/>
              </w:rPr>
            </w:pPr>
            <w:r>
              <w:rPr>
                <w:rFonts w:ascii="Arial" w:cs="Arial" w:eastAsia="Arial" w:hAnsi="Arial"/>
                <w:sz w:val="16"/>
                <w:szCs w:val="16"/>
                <w:b w:val="1"/>
                <w:bCs w:val="1"/>
                <w:color w:val="auto"/>
              </w:rPr>
              <w:t>(13.5)</w:t>
            </w:r>
          </w:p>
        </w:tc>
        <w:tc>
          <w:tcPr>
            <w:tcW w:w="1480" w:type="dxa"/>
            <w:vAlign w:val="bottom"/>
          </w:tcPr>
          <w:p>
            <w:pPr>
              <w:jc w:val="right"/>
              <w:ind w:right="300"/>
              <w:spacing w:after="0"/>
              <w:rPr>
                <w:sz w:val="20"/>
                <w:szCs w:val="20"/>
                <w:color w:val="auto"/>
              </w:rPr>
            </w:pPr>
            <w:r>
              <w:rPr>
                <w:rFonts w:ascii="Arial" w:cs="Arial" w:eastAsia="Arial" w:hAnsi="Arial"/>
                <w:sz w:val="16"/>
                <w:szCs w:val="16"/>
                <w:b w:val="1"/>
                <w:bCs w:val="1"/>
                <w:color w:val="auto"/>
              </w:rPr>
              <w:t>(13.9)</w:t>
            </w:r>
          </w:p>
        </w:tc>
        <w:tc>
          <w:tcPr>
            <w:tcW w:w="1700" w:type="dxa"/>
            <w:vAlign w:val="bottom"/>
          </w:tcPr>
          <w:p>
            <w:pPr>
              <w:jc w:val="right"/>
              <w:ind w:right="340"/>
              <w:spacing w:after="0"/>
              <w:rPr>
                <w:sz w:val="20"/>
                <w:szCs w:val="20"/>
                <w:color w:val="auto"/>
              </w:rPr>
            </w:pPr>
            <w:r>
              <w:rPr>
                <w:rFonts w:ascii="Arial" w:cs="Arial" w:eastAsia="Arial" w:hAnsi="Arial"/>
                <w:sz w:val="16"/>
                <w:szCs w:val="16"/>
                <w:b w:val="1"/>
                <w:bCs w:val="1"/>
                <w:color w:val="auto"/>
              </w:rPr>
              <w:t>372.6</w:t>
            </w:r>
          </w:p>
        </w:tc>
        <w:tc>
          <w:tcPr>
            <w:tcW w:w="124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980" w:type="dxa"/>
            <w:vAlign w:val="bottom"/>
          </w:tcPr>
          <w:p>
            <w:pPr>
              <w:jc w:val="right"/>
              <w:ind w:right="50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718.9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1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58.6</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58.6</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spacing w:after="0"/>
              <w:rPr>
                <w:sz w:val="18"/>
                <w:szCs w:val="18"/>
                <w:color w:val="auto"/>
              </w:rPr>
            </w:pPr>
          </w:p>
        </w:tc>
        <w:tc>
          <w:tcPr>
            <w:tcW w:w="1900" w:type="dxa"/>
            <w:vAlign w:val="bottom"/>
          </w:tcPr>
          <w:p>
            <w:pPr>
              <w:jc w:val="right"/>
              <w:ind w:right="580"/>
              <w:spacing w:after="0"/>
              <w:rPr>
                <w:sz w:val="20"/>
                <w:szCs w:val="20"/>
                <w:color w:val="auto"/>
              </w:rPr>
            </w:pPr>
            <w:r>
              <w:rPr>
                <w:rFonts w:ascii="Arial" w:cs="Arial" w:eastAsia="Arial" w:hAnsi="Arial"/>
                <w:sz w:val="16"/>
                <w:szCs w:val="16"/>
                <w:color w:val="auto"/>
              </w:rPr>
              <w:t>3.7</w:t>
            </w: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880" w:type="dxa"/>
            <w:vAlign w:val="bottom"/>
            <w:tcBorders>
              <w:bottom w:val="single" w:sz="8" w:color="DDDDDD"/>
            </w:tcBorders>
            <w:shd w:val="clear" w:color="auto" w:fill="DDDDDD"/>
          </w:tcPr>
          <w:p>
            <w:pPr>
              <w:spacing w:after="0"/>
              <w:rPr>
                <w:sz w:val="18"/>
                <w:szCs w:val="18"/>
                <w:color w:val="auto"/>
              </w:rPr>
            </w:pPr>
          </w:p>
        </w:tc>
        <w:tc>
          <w:tcPr>
            <w:tcW w:w="1900" w:type="dxa"/>
            <w:vAlign w:val="bottom"/>
            <w:tcBorders>
              <w:bottom w:val="single" w:sz="8" w:color="DDDDDD"/>
            </w:tcBorders>
            <w:shd w:val="clear" w:color="auto" w:fill="DDDDDD"/>
          </w:tcPr>
          <w:p>
            <w:pPr>
              <w:spacing w:after="0"/>
              <w:rPr>
                <w:sz w:val="18"/>
                <w:szCs w:val="18"/>
                <w:color w:val="auto"/>
              </w:rPr>
            </w:pPr>
          </w:p>
        </w:tc>
        <w:tc>
          <w:tcPr>
            <w:tcW w:w="1480" w:type="dxa"/>
            <w:vAlign w:val="bottom"/>
            <w:tcBorders>
              <w:bottom w:val="single" w:sz="8" w:color="DDDDDD"/>
            </w:tcBorders>
            <w:shd w:val="clear" w:color="auto" w:fill="DDDDDD"/>
          </w:tcPr>
          <w:p>
            <w:pPr>
              <w:jc w:val="right"/>
              <w:ind w:right="300"/>
              <w:spacing w:after="0" w:line="168" w:lineRule="exact"/>
              <w:rPr>
                <w:sz w:val="20"/>
                <w:szCs w:val="20"/>
                <w:color w:val="auto"/>
              </w:rPr>
            </w:pPr>
            <w:r>
              <w:rPr>
                <w:rFonts w:ascii="Arial" w:cs="Arial" w:eastAsia="Arial" w:hAnsi="Arial"/>
                <w:sz w:val="16"/>
                <w:szCs w:val="16"/>
                <w:color w:val="auto"/>
              </w:rPr>
              <w:t>(14.1)</w:t>
            </w:r>
          </w:p>
        </w:tc>
        <w:tc>
          <w:tcPr>
            <w:tcW w:w="170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spacing w:after="0"/>
              <w:rPr>
                <w:sz w:val="18"/>
                <w:szCs w:val="18"/>
                <w:color w:val="auto"/>
              </w:rPr>
            </w:pPr>
          </w:p>
        </w:tc>
        <w:tc>
          <w:tcPr>
            <w:tcW w:w="440" w:type="dxa"/>
            <w:vAlign w:val="bottom"/>
            <w:tcBorders>
              <w:bottom w:val="single" w:sz="8" w:color="DDDDDD"/>
            </w:tcBorders>
            <w:shd w:val="clear" w:color="auto" w:fill="DDDDDD"/>
          </w:tcPr>
          <w:p>
            <w:pPr>
              <w:spacing w:after="0"/>
              <w:rPr>
                <w:sz w:val="18"/>
                <w:szCs w:val="18"/>
                <w:color w:val="auto"/>
              </w:rPr>
            </w:pPr>
          </w:p>
        </w:tc>
        <w:tc>
          <w:tcPr>
            <w:tcW w:w="980" w:type="dxa"/>
            <w:vAlign w:val="bottom"/>
            <w:tcBorders>
              <w:bottom w:val="single" w:sz="8" w:color="DDDDDD"/>
            </w:tcBorders>
            <w:shd w:val="clear" w:color="auto" w:fill="DDDDDD"/>
          </w:tcPr>
          <w:p>
            <w:pPr>
              <w:spacing w:after="0"/>
              <w:rPr>
                <w:sz w:val="18"/>
                <w:szCs w:val="18"/>
                <w:color w:val="auto"/>
              </w:rPr>
            </w:pPr>
          </w:p>
        </w:tc>
        <w:tc>
          <w:tcPr>
            <w:tcW w:w="600" w:type="dxa"/>
            <w:vAlign w:val="bottom"/>
            <w:tcBorders>
              <w:bottom w:val="single" w:sz="8" w:color="DDDDDD"/>
            </w:tcBorders>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jc w:val="right"/>
              <w:spacing w:after="0" w:line="168" w:lineRule="exact"/>
              <w:rPr>
                <w:sz w:val="20"/>
                <w:szCs w:val="20"/>
                <w:color w:val="auto"/>
              </w:rPr>
            </w:pPr>
            <w:r>
              <w:rPr>
                <w:rFonts w:ascii="Arial" w:cs="Arial" w:eastAsia="Arial" w:hAnsi="Arial"/>
                <w:sz w:val="16"/>
                <w:szCs w:val="16"/>
                <w:color w:val="auto"/>
              </w:rPr>
              <w:t>(14.</w:t>
            </w:r>
            <w:r>
              <w:rPr>
                <w:rFonts w:ascii="Arial" w:cs="Arial" w:eastAsia="Arial" w:hAnsi="Arial"/>
                <w:sz w:val="16"/>
                <w:szCs w:val="16"/>
                <w:u w:val="single" w:color="auto"/>
                <w:color w:val="auto"/>
              </w:rPr>
              <w:t>1)</w:t>
            </w:r>
          </w:p>
        </w:tc>
        <w:tc>
          <w:tcPr>
            <w:tcW w:w="740" w:type="dxa"/>
            <w:vAlign w:val="bottom"/>
            <w:tcBorders>
              <w:bottom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18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(10.</w:t>
            </w:r>
            <w:r>
              <w:rPr>
                <w:rFonts w:ascii="Arial" w:cs="Arial" w:eastAsia="Arial" w:hAnsi="Arial"/>
                <w:sz w:val="16"/>
                <w:szCs w:val="16"/>
                <w:u w:val="single" w:color="auto"/>
                <w:color w:val="auto"/>
              </w:rPr>
              <w:t>4)</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
        </w:trPr>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1"/>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48.2</w:t>
            </w: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jc w:val="right"/>
              <w:ind w:right="720"/>
              <w:spacing w:after="0"/>
              <w:rPr>
                <w:sz w:val="20"/>
                <w:szCs w:val="20"/>
                <w:color w:val="auto"/>
              </w:rPr>
            </w:pPr>
            <w:r>
              <w:rPr>
                <w:rFonts w:ascii="Arial" w:cs="Arial" w:eastAsia="Arial" w:hAnsi="Arial"/>
                <w:sz w:val="16"/>
                <w:szCs w:val="16"/>
                <w:color w:val="auto"/>
              </w:rPr>
              <w:t>(0.7)</w:t>
            </w: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80" w:type="dxa"/>
            <w:vAlign w:val="bottom"/>
            <w:shd w:val="clear" w:color="auto" w:fill="DDDDDD"/>
          </w:tcPr>
          <w:p>
            <w:pPr>
              <w:spacing w:after="0"/>
              <w:rPr>
                <w:sz w:val="19"/>
                <w:szCs w:val="19"/>
                <w:color w:val="auto"/>
              </w:rPr>
            </w:pPr>
          </w:p>
        </w:tc>
        <w:tc>
          <w:tcPr>
            <w:tcW w:w="190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0.3</w:t>
            </w:r>
          </w:p>
        </w:tc>
        <w:tc>
          <w:tcPr>
            <w:tcW w:w="7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r>
      <w:tr>
        <w:trPr>
          <w:trHeight w:val="98"/>
        </w:trPr>
        <w:tc>
          <w:tcPr>
            <w:tcW w:w="18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86"/>
        </w:trPr>
        <w:tc>
          <w:tcPr>
            <w:tcW w:w="1880" w:type="dxa"/>
            <w:vAlign w:val="bottom"/>
          </w:tcPr>
          <w:p>
            <w:pPr>
              <w:jc w:val="right"/>
              <w:ind w:right="720"/>
              <w:spacing w:after="0"/>
              <w:rPr>
                <w:sz w:val="20"/>
                <w:szCs w:val="20"/>
                <w:color w:val="auto"/>
              </w:rPr>
            </w:pPr>
            <w:r>
              <w:rPr>
                <w:rFonts w:ascii="Arial" w:cs="Arial" w:eastAsia="Arial" w:hAnsi="Arial"/>
                <w:sz w:val="16"/>
                <w:szCs w:val="16"/>
                <w:b w:val="1"/>
                <w:bCs w:val="1"/>
                <w:color w:val="auto"/>
              </w:rPr>
              <w:t>$ (1.1)</w:t>
            </w:r>
          </w:p>
        </w:tc>
        <w:tc>
          <w:tcPr>
            <w:tcW w:w="1900" w:type="dxa"/>
            <w:vAlign w:val="bottom"/>
          </w:tcPr>
          <w:p>
            <w:pPr>
              <w:jc w:val="right"/>
              <w:ind w:right="540"/>
              <w:spacing w:after="0"/>
              <w:rPr>
                <w:sz w:val="20"/>
                <w:szCs w:val="20"/>
                <w:color w:val="auto"/>
              </w:rPr>
            </w:pPr>
            <w:r>
              <w:rPr>
                <w:rFonts w:ascii="Arial" w:cs="Arial" w:eastAsia="Arial" w:hAnsi="Arial"/>
                <w:sz w:val="16"/>
                <w:szCs w:val="16"/>
                <w:b w:val="1"/>
                <w:bCs w:val="1"/>
                <w:color w:val="auto"/>
              </w:rPr>
              <w:t>$  (9.8)</w:t>
            </w:r>
          </w:p>
        </w:tc>
        <w:tc>
          <w:tcPr>
            <w:tcW w:w="1480" w:type="dxa"/>
            <w:vAlign w:val="bottom"/>
          </w:tcPr>
          <w:p>
            <w:pPr>
              <w:jc w:val="right"/>
              <w:ind w:right="300"/>
              <w:spacing w:after="0"/>
              <w:rPr>
                <w:sz w:val="20"/>
                <w:szCs w:val="20"/>
                <w:color w:val="auto"/>
              </w:rPr>
            </w:pPr>
            <w:r>
              <w:rPr>
                <w:rFonts w:ascii="Arial" w:cs="Arial" w:eastAsia="Arial" w:hAnsi="Arial"/>
                <w:sz w:val="16"/>
                <w:szCs w:val="16"/>
                <w:b w:val="1"/>
                <w:bCs w:val="1"/>
                <w:color w:val="auto"/>
              </w:rPr>
              <w:t>$ (28.0)</w:t>
            </w:r>
          </w:p>
        </w:tc>
        <w:tc>
          <w:tcPr>
            <w:tcW w:w="1700" w:type="dxa"/>
            <w:vAlign w:val="bottom"/>
          </w:tcPr>
          <w:p>
            <w:pPr>
              <w:jc w:val="right"/>
              <w:ind w:right="340"/>
              <w:spacing w:after="0"/>
              <w:rPr>
                <w:sz w:val="20"/>
                <w:szCs w:val="20"/>
                <w:color w:val="auto"/>
              </w:rPr>
            </w:pPr>
            <w:r>
              <w:rPr>
                <w:rFonts w:ascii="Arial" w:cs="Arial" w:eastAsia="Arial" w:hAnsi="Arial"/>
                <w:sz w:val="16"/>
                <w:szCs w:val="16"/>
                <w:b w:val="1"/>
                <w:bCs w:val="1"/>
                <w:color w:val="auto"/>
              </w:rPr>
              <w:t>$ 431.2</w:t>
            </w:r>
          </w:p>
        </w:tc>
        <w:tc>
          <w:tcPr>
            <w:tcW w:w="124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0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$ 772.6</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5"/>
        </w:trPr>
        <w:tc>
          <w:tcPr>
            <w:tcW w:w="188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r>
      <w:tr>
        <w:trPr>
          <w:trHeight w:val="487"/>
        </w:trPr>
        <w:tc>
          <w:tcPr>
            <w:tcW w:w="1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jc w:val="right"/>
              <w:ind w:right="1080"/>
              <w:spacing w:after="0"/>
              <w:rPr>
                <w:sz w:val="20"/>
                <w:szCs w:val="20"/>
                <w:color w:val="auto"/>
              </w:rPr>
            </w:pPr>
            <w:r>
              <w:rPr>
                <w:rFonts w:ascii="Arial" w:cs="Arial" w:eastAsia="Arial" w:hAnsi="Arial"/>
                <w:sz w:val="16"/>
                <w:szCs w:val="16"/>
                <w:color w:val="auto"/>
              </w:rPr>
              <w:t>32</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1880" w:type="dxa"/>
            <w:vAlign w:val="bottom"/>
            <w:tcBorders>
              <w:bottom w:val="single" w:sz="8" w:color="808080"/>
            </w:tcBorders>
          </w:tcPr>
          <w:p>
            <w:pPr>
              <w:spacing w:after="0"/>
              <w:rPr>
                <w:sz w:val="20"/>
                <w:szCs w:val="20"/>
                <w:color w:val="auto"/>
              </w:rPr>
            </w:pPr>
          </w:p>
        </w:tc>
        <w:tc>
          <w:tcPr>
            <w:tcW w:w="1900" w:type="dxa"/>
            <w:vAlign w:val="bottom"/>
            <w:tcBorders>
              <w:bottom w:val="single" w:sz="8" w:color="808080"/>
            </w:tcBorders>
          </w:tcPr>
          <w:p>
            <w:pPr>
              <w:spacing w:after="0"/>
              <w:rPr>
                <w:sz w:val="20"/>
                <w:szCs w:val="20"/>
                <w:color w:val="auto"/>
              </w:rPr>
            </w:pPr>
          </w:p>
        </w:tc>
        <w:tc>
          <w:tcPr>
            <w:tcW w:w="1480" w:type="dxa"/>
            <w:vAlign w:val="bottom"/>
            <w:tcBorders>
              <w:bottom w:val="single" w:sz="8" w:color="808080"/>
            </w:tcBorders>
          </w:tcPr>
          <w:p>
            <w:pPr>
              <w:spacing w:after="0"/>
              <w:rPr>
                <w:sz w:val="20"/>
                <w:szCs w:val="20"/>
                <w:color w:val="auto"/>
              </w:rPr>
            </w:pPr>
          </w:p>
        </w:tc>
        <w:tc>
          <w:tcPr>
            <w:tcW w:w="1700" w:type="dxa"/>
            <w:vAlign w:val="bottom"/>
            <w:tcBorders>
              <w:bottom w:val="single" w:sz="8" w:color="808080"/>
            </w:tcBorders>
          </w:tcPr>
          <w:p>
            <w:pPr>
              <w:spacing w:after="0"/>
              <w:rPr>
                <w:sz w:val="20"/>
                <w:szCs w:val="20"/>
                <w:color w:val="auto"/>
              </w:rPr>
            </w:pPr>
          </w:p>
        </w:tc>
        <w:tc>
          <w:tcPr>
            <w:tcW w:w="124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46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-496570</wp:posOffset>
            </wp:positionV>
            <wp:extent cx="12700"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-496570</wp:posOffset>
            </wp:positionV>
            <wp:extent cx="12700"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(Amounts in millions)</w:t>
      </w:r>
    </w:p>
    <w:p>
      <w:pPr>
        <w:spacing w:after="0" w:line="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868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Pr>
          <w:p>
            <w:pPr>
              <w:spacing w:after="0"/>
              <w:rPr>
                <w:sz w:val="22"/>
                <w:szCs w:val="22"/>
                <w:color w:val="auto"/>
              </w:rPr>
            </w:pPr>
          </w:p>
        </w:tc>
        <w:tc>
          <w:tcPr>
            <w:tcW w:w="2280" w:type="dxa"/>
            <w:vAlign w:val="bottom"/>
          </w:tcPr>
          <w:p>
            <w:pPr>
              <w:jc w:val="right"/>
              <w:ind w:right="119"/>
              <w:spacing w:after="0"/>
              <w:rPr>
                <w:sz w:val="20"/>
                <w:szCs w:val="20"/>
                <w:color w:val="auto"/>
              </w:rPr>
            </w:pPr>
            <w:r>
              <w:rPr>
                <w:rFonts w:ascii="Arial" w:cs="Arial" w:eastAsia="Arial" w:hAnsi="Arial"/>
                <w:sz w:val="20"/>
                <w:szCs w:val="20"/>
                <w:b w:val="1"/>
                <w:bCs w:val="1"/>
                <w:color w:val="auto"/>
              </w:rPr>
              <w:t>2003</w:t>
            </w:r>
          </w:p>
        </w:tc>
        <w:tc>
          <w:tcPr>
            <w:tcW w:w="740" w:type="dxa"/>
            <w:vAlign w:val="bottom"/>
          </w:tcPr>
          <w:p>
            <w:pPr>
              <w:jc w:val="right"/>
              <w:ind w:right="79"/>
              <w:spacing w:after="0"/>
              <w:rPr>
                <w:sz w:val="20"/>
                <w:szCs w:val="20"/>
                <w:color w:val="auto"/>
              </w:rPr>
            </w:pPr>
            <w:r>
              <w:rPr>
                <w:rFonts w:ascii="Arial" w:cs="Arial" w:eastAsia="Arial" w:hAnsi="Arial"/>
                <w:sz w:val="20"/>
                <w:szCs w:val="20"/>
                <w:b w:val="1"/>
                <w:bCs w:val="1"/>
                <w:color w:val="auto"/>
              </w:rPr>
              <w:t>2002</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2001</w:t>
            </w:r>
          </w:p>
        </w:tc>
      </w:tr>
      <w:tr>
        <w:trPr>
          <w:trHeight w:val="90"/>
        </w:trPr>
        <w:tc>
          <w:tcPr>
            <w:tcW w:w="772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r>
        <w:trPr>
          <w:trHeight w:val="287"/>
        </w:trPr>
        <w:tc>
          <w:tcPr>
            <w:tcW w:w="7720" w:type="dxa"/>
            <w:vAlign w:val="bottom"/>
          </w:tcPr>
          <w:p>
            <w:pPr>
              <w:spacing w:after="0"/>
              <w:rPr>
                <w:sz w:val="20"/>
                <w:szCs w:val="20"/>
                <w:color w:val="auto"/>
              </w:rPr>
            </w:pPr>
            <w:r>
              <w:rPr>
                <w:rFonts w:ascii="Arial" w:cs="Arial" w:eastAsia="Arial" w:hAnsi="Arial"/>
                <w:sz w:val="16"/>
                <w:szCs w:val="16"/>
                <w:b w:val="1"/>
                <w:bCs w:val="1"/>
                <w:color w:val="auto"/>
              </w:rPr>
              <w:t>Cash flows provided by operating activities:</w:t>
            </w:r>
          </w:p>
        </w:tc>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7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Net income</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$ 58.6</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$ 93.5</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$ 36.3</w:t>
            </w: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720" w:type="dxa"/>
            <w:vAlign w:val="bottom"/>
            <w:shd w:val="clear" w:color="auto" w:fill="DDDDDD"/>
          </w:tcPr>
          <w:p>
            <w:pPr>
              <w:ind w:left="780"/>
              <w:spacing w:after="0"/>
              <w:rPr>
                <w:sz w:val="20"/>
                <w:szCs w:val="20"/>
                <w:color w:val="auto"/>
              </w:rPr>
            </w:pPr>
            <w:r>
              <w:rPr>
                <w:rFonts w:ascii="Arial" w:cs="Arial" w:eastAsia="Arial" w:hAnsi="Arial"/>
                <w:sz w:val="16"/>
                <w:szCs w:val="16"/>
                <w:color w:val="auto"/>
              </w:rPr>
              <w:t>Amortization of prepublication and production costs</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61.0</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50.2</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68.8</w:t>
            </w:r>
          </w:p>
        </w:tc>
      </w:tr>
      <w:tr>
        <w:trPr>
          <w:trHeight w:val="213"/>
        </w:trPr>
        <w:tc>
          <w:tcPr>
            <w:tcW w:w="772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46.1</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36.6</w:t>
            </w:r>
          </w:p>
        </w:tc>
        <w:tc>
          <w:tcPr>
            <w:tcW w:w="68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30"/>
        </w:trPr>
        <w:tc>
          <w:tcPr>
            <w:tcW w:w="7720" w:type="dxa"/>
            <w:vAlign w:val="bottom"/>
            <w:shd w:val="clear" w:color="auto" w:fill="DDDDDD"/>
          </w:tcPr>
          <w:p>
            <w:pPr>
              <w:ind w:left="800"/>
              <w:spacing w:after="0"/>
              <w:rPr>
                <w:sz w:val="20"/>
                <w:szCs w:val="20"/>
                <w:color w:val="auto"/>
              </w:rPr>
            </w:pPr>
            <w:r>
              <w:rPr>
                <w:rFonts w:ascii="Arial" w:cs="Arial" w:eastAsia="Arial" w:hAnsi="Arial"/>
                <w:sz w:val="16"/>
                <w:szCs w:val="16"/>
                <w:color w:val="auto"/>
              </w:rPr>
              <w:t>Royalty advances expensed</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31.6</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26.6</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28.7</w:t>
            </w:r>
          </w:p>
        </w:tc>
      </w:tr>
      <w:tr>
        <w:trPr>
          <w:trHeight w:val="213"/>
        </w:trPr>
        <w:tc>
          <w:tcPr>
            <w:tcW w:w="772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6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30"/>
        </w:trPr>
        <w:tc>
          <w:tcPr>
            <w:tcW w:w="7720" w:type="dxa"/>
            <w:vAlign w:val="bottom"/>
            <w:shd w:val="clear" w:color="auto" w:fill="DDDDDD"/>
          </w:tcPr>
          <w:p>
            <w:pPr>
              <w:ind w:left="800"/>
              <w:spacing w:after="0"/>
              <w:rPr>
                <w:sz w:val="20"/>
                <w:szCs w:val="20"/>
                <w:color w:val="auto"/>
              </w:rPr>
            </w:pPr>
            <w:r>
              <w:rPr>
                <w:rFonts w:ascii="Arial" w:cs="Arial" w:eastAsia="Arial" w:hAnsi="Arial"/>
                <w:sz w:val="16"/>
                <w:szCs w:val="16"/>
                <w:color w:val="auto"/>
              </w:rPr>
              <w:t>Non-cash portion of Cost of goods sold - Special Literacy Place and other charges</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71.4</w:t>
            </w:r>
          </w:p>
        </w:tc>
      </w:tr>
      <w:tr>
        <w:trPr>
          <w:trHeight w:val="213"/>
        </w:trPr>
        <w:tc>
          <w:tcPr>
            <w:tcW w:w="7720" w:type="dxa"/>
            <w:vAlign w:val="bottom"/>
          </w:tcPr>
          <w:p>
            <w:pPr>
              <w:ind w:left="800"/>
              <w:spacing w:after="0"/>
              <w:rPr>
                <w:sz w:val="20"/>
                <w:szCs w:val="20"/>
                <w:color w:val="auto"/>
              </w:rPr>
            </w:pPr>
            <w:r>
              <w:rPr>
                <w:rFonts w:ascii="Arial" w:cs="Arial" w:eastAsia="Arial" w:hAnsi="Arial"/>
                <w:sz w:val="16"/>
                <w:szCs w:val="16"/>
                <w:color w:val="auto"/>
              </w:rPr>
              <w:t>Non-cash portion of Cumulative effect of accounting change</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720" w:type="dxa"/>
            <w:vAlign w:val="bottom"/>
            <w:shd w:val="clear" w:color="auto" w:fill="DDDDDD"/>
          </w:tcPr>
          <w:p>
            <w:pPr>
              <w:ind w:left="800"/>
              <w:spacing w:after="0"/>
              <w:rPr>
                <w:sz w:val="20"/>
                <w:szCs w:val="20"/>
                <w:color w:val="auto"/>
              </w:rPr>
            </w:pPr>
            <w:r>
              <w:rPr>
                <w:rFonts w:ascii="Arial" w:cs="Arial" w:eastAsia="Arial" w:hAnsi="Arial"/>
                <w:sz w:val="16"/>
                <w:szCs w:val="16"/>
                <w:color w:val="auto"/>
              </w:rPr>
              <w:t>Changes in assets and liabilities:</w:t>
            </w:r>
          </w:p>
        </w:tc>
        <w:tc>
          <w:tcPr>
            <w:tcW w:w="228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r>
      <w:tr>
        <w:trPr>
          <w:trHeight w:val="213"/>
        </w:trPr>
        <w:tc>
          <w:tcPr>
            <w:tcW w:w="7720" w:type="dxa"/>
            <w:vAlign w:val="bottom"/>
          </w:tcPr>
          <w:p>
            <w:pPr>
              <w:ind w:left="1180"/>
              <w:spacing w:after="0"/>
              <w:rPr>
                <w:sz w:val="20"/>
                <w:szCs w:val="20"/>
                <w:color w:val="auto"/>
              </w:rPr>
            </w:pPr>
            <w:r>
              <w:rPr>
                <w:rFonts w:ascii="Arial" w:cs="Arial" w:eastAsia="Arial" w:hAnsi="Arial"/>
                <w:sz w:val="16"/>
                <w:szCs w:val="16"/>
                <w:color w:val="auto"/>
              </w:rPr>
              <w:t>Accounts receivable, net</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(17.9)</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6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30"/>
        </w:trPr>
        <w:tc>
          <w:tcPr>
            <w:tcW w:w="7720" w:type="dxa"/>
            <w:vAlign w:val="bottom"/>
            <w:shd w:val="clear" w:color="auto" w:fill="DDDDDD"/>
          </w:tcPr>
          <w:p>
            <w:pPr>
              <w:ind w:left="1200"/>
              <w:spacing w:after="0"/>
              <w:rPr>
                <w:sz w:val="20"/>
                <w:szCs w:val="20"/>
                <w:color w:val="auto"/>
              </w:rPr>
            </w:pPr>
            <w:r>
              <w:rPr>
                <w:rFonts w:ascii="Arial" w:cs="Arial" w:eastAsia="Arial" w:hAnsi="Arial"/>
                <w:sz w:val="16"/>
                <w:szCs w:val="16"/>
                <w:color w:val="auto"/>
              </w:rPr>
              <w:t>Inventories</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(16.7)</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(7.3)</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7720" w:type="dxa"/>
            <w:vAlign w:val="bottom"/>
          </w:tcPr>
          <w:p>
            <w:pPr>
              <w:ind w:left="1200"/>
              <w:spacing w:after="0"/>
              <w:rPr>
                <w:sz w:val="20"/>
                <w:szCs w:val="20"/>
                <w:color w:val="auto"/>
              </w:rPr>
            </w:pPr>
            <w:r>
              <w:rPr>
                <w:rFonts w:ascii="Arial" w:cs="Arial" w:eastAsia="Arial" w:hAnsi="Arial"/>
                <w:sz w:val="16"/>
                <w:szCs w:val="16"/>
                <w:color w:val="auto"/>
              </w:rPr>
              <w:t>Deferred promotion costs</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7720" w:type="dxa"/>
            <w:vAlign w:val="bottom"/>
            <w:shd w:val="clear" w:color="auto" w:fill="DDDDDD"/>
          </w:tcPr>
          <w:p>
            <w:pPr>
              <w:ind w:left="1200"/>
              <w:spacing w:after="0"/>
              <w:rPr>
                <w:sz w:val="20"/>
                <w:szCs w:val="20"/>
                <w:color w:val="auto"/>
              </w:rPr>
            </w:pPr>
            <w:r>
              <w:rPr>
                <w:rFonts w:ascii="Arial" w:cs="Arial" w:eastAsia="Arial" w:hAnsi="Arial"/>
                <w:sz w:val="16"/>
                <w:szCs w:val="16"/>
                <w:color w:val="auto"/>
              </w:rPr>
              <w:t>Prepaid and other current assets</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12.3</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5.5</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7720" w:type="dxa"/>
            <w:vAlign w:val="bottom"/>
          </w:tcPr>
          <w:p>
            <w:pPr>
              <w:ind w:left="1180"/>
              <w:spacing w:after="0"/>
              <w:rPr>
                <w:sz w:val="20"/>
                <w:szCs w:val="20"/>
                <w:color w:val="auto"/>
              </w:rPr>
            </w:pPr>
            <w:r>
              <w:rPr>
                <w:rFonts w:ascii="Arial" w:cs="Arial" w:eastAsia="Arial" w:hAnsi="Arial"/>
                <w:sz w:val="16"/>
                <w:szCs w:val="16"/>
                <w:color w:val="auto"/>
              </w:rPr>
              <w:t>Accounts payable and other accrued expenses</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21.5</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(42.5)</w:t>
            </w:r>
          </w:p>
        </w:tc>
        <w:tc>
          <w:tcPr>
            <w:tcW w:w="6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30"/>
        </w:trPr>
        <w:tc>
          <w:tcPr>
            <w:tcW w:w="7720" w:type="dxa"/>
            <w:vAlign w:val="bottom"/>
            <w:shd w:val="clear" w:color="auto" w:fill="DDDDDD"/>
          </w:tcPr>
          <w:p>
            <w:pPr>
              <w:ind w:left="1180"/>
              <w:spacing w:after="0"/>
              <w:rPr>
                <w:sz w:val="20"/>
                <w:szCs w:val="20"/>
                <w:color w:val="auto"/>
              </w:rPr>
            </w:pPr>
            <w:r>
              <w:rPr>
                <w:rFonts w:ascii="Arial" w:cs="Arial" w:eastAsia="Arial" w:hAnsi="Arial"/>
                <w:sz w:val="16"/>
                <w:szCs w:val="16"/>
                <w:color w:val="auto"/>
              </w:rPr>
              <w:t>Accrued royalties and deferred revenue</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(4.1)</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(6.0)</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720" w:type="dxa"/>
            <w:vAlign w:val="bottom"/>
          </w:tcPr>
          <w:p>
            <w:pPr>
              <w:ind w:left="800"/>
              <w:spacing w:after="0"/>
              <w:rPr>
                <w:sz w:val="20"/>
                <w:szCs w:val="20"/>
                <w:color w:val="auto"/>
              </w:rPr>
            </w:pPr>
            <w:r>
              <w:rPr>
                <w:rFonts w:ascii="Arial" w:cs="Arial" w:eastAsia="Arial" w:hAnsi="Arial"/>
                <w:sz w:val="16"/>
                <w:szCs w:val="16"/>
                <w:color w:val="auto"/>
              </w:rPr>
              <w:t>Tax benefit realized from stock option transactions</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0"/>
        </w:trPr>
        <w:tc>
          <w:tcPr>
            <w:tcW w:w="7720" w:type="dxa"/>
            <w:vAlign w:val="bottom"/>
            <w:shd w:val="clear" w:color="auto" w:fill="DDDDDD"/>
          </w:tcPr>
          <w:p>
            <w:pPr>
              <w:ind w:left="800"/>
              <w:spacing w:after="0"/>
              <w:rPr>
                <w:sz w:val="20"/>
                <w:szCs w:val="20"/>
                <w:color w:val="auto"/>
              </w:rPr>
            </w:pPr>
            <w:r>
              <w:rPr>
                <w:rFonts w:ascii="Arial" w:cs="Arial" w:eastAsia="Arial" w:hAnsi="Arial"/>
                <w:sz w:val="16"/>
                <w:szCs w:val="16"/>
                <w:color w:val="auto"/>
              </w:rPr>
              <w:t>Other, net</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(18.3)</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(12.3)</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6.3</w:t>
            </w:r>
          </w:p>
        </w:tc>
      </w:tr>
      <w:tr>
        <w:trPr>
          <w:trHeight w:val="98"/>
        </w:trPr>
        <w:tc>
          <w:tcPr>
            <w:tcW w:w="77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86"/>
        </w:trPr>
        <w:tc>
          <w:tcPr>
            <w:tcW w:w="7720" w:type="dxa"/>
            <w:vAlign w:val="bottom"/>
          </w:tcPr>
          <w:p>
            <w:pPr>
              <w:spacing w:after="0"/>
              <w:rPr>
                <w:sz w:val="20"/>
                <w:szCs w:val="20"/>
                <w:color w:val="auto"/>
              </w:rPr>
            </w:pPr>
            <w:r>
              <w:rPr>
                <w:rFonts w:ascii="Arial" w:cs="Arial" w:eastAsia="Arial" w:hAnsi="Arial"/>
                <w:sz w:val="16"/>
                <w:szCs w:val="16"/>
                <w:color w:val="auto"/>
              </w:rPr>
              <w:t>Total adjustments</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120.6</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71.1</w:t>
            </w:r>
          </w:p>
        </w:tc>
        <w:tc>
          <w:tcPr>
            <w:tcW w:w="680" w:type="dxa"/>
            <w:vAlign w:val="bottom"/>
          </w:tcPr>
          <w:p>
            <w:pPr>
              <w:jc w:val="right"/>
              <w:spacing w:after="0"/>
              <w:rPr>
                <w:sz w:val="20"/>
                <w:szCs w:val="20"/>
                <w:color w:val="auto"/>
              </w:rPr>
            </w:pPr>
            <w:r>
              <w:rPr>
                <w:rFonts w:ascii="Arial" w:cs="Arial" w:eastAsia="Arial" w:hAnsi="Arial"/>
                <w:sz w:val="16"/>
                <w:szCs w:val="16"/>
                <w:color w:val="auto"/>
              </w:rPr>
              <w:t>169.3</w:t>
            </w:r>
          </w:p>
        </w:tc>
      </w:tr>
      <w:tr>
        <w:trPr>
          <w:trHeight w:val="124"/>
        </w:trPr>
        <w:tc>
          <w:tcPr>
            <w:tcW w:w="77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r>
        <w:trPr>
          <w:trHeight w:val="91"/>
        </w:trPr>
        <w:tc>
          <w:tcPr>
            <w:tcW w:w="77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221"/>
        </w:trPr>
        <w:tc>
          <w:tcPr>
            <w:tcW w:w="7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Net cash provided by operating activities</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179.2</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164.6</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205.6</w:t>
            </w:r>
          </w:p>
        </w:tc>
      </w:tr>
      <w:tr>
        <w:trPr>
          <w:trHeight w:val="197"/>
        </w:trPr>
        <w:tc>
          <w:tcPr>
            <w:tcW w:w="7720" w:type="dxa"/>
            <w:vAlign w:val="bottom"/>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1"/>
        </w:trPr>
        <w:tc>
          <w:tcPr>
            <w:tcW w:w="7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Additions to property, plant and equipment</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(83.9)</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(78.4)</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(90.5)</w:t>
            </w:r>
          </w:p>
        </w:tc>
      </w:tr>
      <w:tr>
        <w:trPr>
          <w:trHeight w:val="213"/>
        </w:trPr>
        <w:tc>
          <w:tcPr>
            <w:tcW w:w="7720" w:type="dxa"/>
            <w:vAlign w:val="bottom"/>
          </w:tcPr>
          <w:p>
            <w:pPr>
              <w:ind w:left="400"/>
              <w:spacing w:after="0"/>
              <w:rPr>
                <w:sz w:val="20"/>
                <w:szCs w:val="20"/>
                <w:color w:val="auto"/>
              </w:rPr>
            </w:pPr>
            <w:r>
              <w:rPr>
                <w:rFonts w:ascii="Arial" w:cs="Arial" w:eastAsia="Arial" w:hAnsi="Arial"/>
                <w:sz w:val="16"/>
                <w:szCs w:val="16"/>
                <w:color w:val="auto"/>
              </w:rPr>
              <w:t>Prepublication costs</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(55.7)</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(53.5)</w:t>
            </w:r>
          </w:p>
        </w:tc>
        <w:tc>
          <w:tcPr>
            <w:tcW w:w="68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30"/>
        </w:trPr>
        <w:tc>
          <w:tcPr>
            <w:tcW w:w="7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Royalty advances</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(30.3)</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(31.7)</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7720" w:type="dxa"/>
            <w:vAlign w:val="bottom"/>
          </w:tcPr>
          <w:p>
            <w:pPr>
              <w:ind w:left="400"/>
              <w:spacing w:after="0"/>
              <w:rPr>
                <w:sz w:val="20"/>
                <w:szCs w:val="20"/>
                <w:color w:val="auto"/>
              </w:rPr>
            </w:pPr>
            <w:r>
              <w:rPr>
                <w:rFonts w:ascii="Arial" w:cs="Arial" w:eastAsia="Arial" w:hAnsi="Arial"/>
                <w:sz w:val="16"/>
                <w:szCs w:val="16"/>
                <w:color w:val="auto"/>
              </w:rPr>
              <w:t>Equity investment and related loan</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Production costs</w:t>
            </w:r>
          </w:p>
        </w:tc>
        <w:tc>
          <w:tcPr>
            <w:tcW w:w="228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(15.5)</w:t>
            </w:r>
          </w:p>
        </w:tc>
        <w:tc>
          <w:tcPr>
            <w:tcW w:w="7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(13.0)</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Acquisition-related payments</w:t>
            </w:r>
          </w:p>
        </w:tc>
        <w:tc>
          <w:tcPr>
            <w:tcW w:w="228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(66.7)</w:t>
            </w:r>
          </w:p>
        </w:tc>
        <w:tc>
          <w:tcPr>
            <w:tcW w:w="680" w:type="dxa"/>
            <w:vAlign w:val="bottom"/>
          </w:tcPr>
          <w:p>
            <w:pPr>
              <w:jc w:val="right"/>
              <w:spacing w:after="0"/>
              <w:rPr>
                <w:sz w:val="20"/>
                <w:szCs w:val="20"/>
                <w:color w:val="auto"/>
              </w:rPr>
            </w:pPr>
            <w:r>
              <w:rPr>
                <w:rFonts w:ascii="Arial" w:cs="Arial" w:eastAsia="Arial" w:hAnsi="Arial"/>
                <w:sz w:val="16"/>
                <w:szCs w:val="16"/>
                <w:color w:val="auto"/>
              </w:rPr>
              <w:t>(396.4)</w:t>
            </w:r>
          </w:p>
        </w:tc>
      </w:tr>
      <w:tr>
        <w:trPr>
          <w:trHeight w:val="92"/>
        </w:trPr>
        <w:tc>
          <w:tcPr>
            <w:tcW w:w="7720" w:type="dxa"/>
            <w:vAlign w:val="bottom"/>
            <w:shd w:val="clear" w:color="auto" w:fill="DDDDDD"/>
          </w:tcPr>
          <w:p>
            <w:pPr>
              <w:ind w:left="400"/>
              <w:spacing w:after="0" w:line="73" w:lineRule="exact"/>
              <w:rPr>
                <w:sz w:val="20"/>
                <w:szCs w:val="20"/>
                <w:color w:val="auto"/>
              </w:rPr>
            </w:pPr>
            <w:r>
              <w:rPr>
                <w:rFonts w:ascii="Arial" w:cs="Arial" w:eastAsia="Arial" w:hAnsi="Arial"/>
                <w:sz w:val="8"/>
                <w:szCs w:val="8"/>
                <w:color w:val="auto"/>
              </w:rPr>
              <w:t>Proceeds from sale of investment</w:t>
            </w:r>
          </w:p>
        </w:tc>
        <w:tc>
          <w:tcPr>
            <w:tcW w:w="2280" w:type="dxa"/>
            <w:vAlign w:val="bottom"/>
            <w:shd w:val="clear" w:color="auto" w:fill="DDDDDD"/>
          </w:tcPr>
          <w:p>
            <w:pPr>
              <w:spacing w:after="0"/>
              <w:rPr>
                <w:sz w:val="8"/>
                <w:szCs w:val="8"/>
                <w:color w:val="auto"/>
              </w:rPr>
            </w:pPr>
          </w:p>
        </w:tc>
        <w:tc>
          <w:tcPr>
            <w:tcW w:w="740" w:type="dxa"/>
            <w:vAlign w:val="bottom"/>
            <w:shd w:val="clear" w:color="auto" w:fill="DDDDDD"/>
          </w:tcPr>
          <w:p>
            <w:pPr>
              <w:spacing w:after="0"/>
              <w:rPr>
                <w:sz w:val="8"/>
                <w:szCs w:val="8"/>
                <w:color w:val="auto"/>
              </w:rPr>
            </w:pPr>
          </w:p>
        </w:tc>
        <w:tc>
          <w:tcPr>
            <w:tcW w:w="680" w:type="dxa"/>
            <w:vAlign w:val="bottom"/>
            <w:shd w:val="clear" w:color="auto" w:fill="DDDDDD"/>
          </w:tcPr>
          <w:p>
            <w:pPr>
              <w:spacing w:after="0"/>
              <w:rPr>
                <w:sz w:val="8"/>
                <w:szCs w:val="8"/>
                <w:color w:val="auto"/>
              </w:rPr>
            </w:pPr>
          </w:p>
        </w:tc>
      </w:tr>
    </w:tbl>
    <w:p>
      <w:pPr>
        <w:sectPr>
          <w:pgSz w:w="11900" w:h="16900" w:orient="portrait"/>
          <w:cols w:equalWidth="0" w:num="1">
            <w:col w:w="11440"/>
          </w:cols>
          <w:pgMar w:left="240" w:top="131" w:right="21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060" w:type="dxa"/>
            <w:vAlign w:val="bottom"/>
            <w:shd w:val="clear" w:color="auto" w:fill="DDDDDD"/>
          </w:tcPr>
          <w:p>
            <w:pPr>
              <w:spacing w:after="0"/>
              <w:rPr>
                <w:sz w:val="19"/>
                <w:szCs w:val="19"/>
                <w:color w:val="auto"/>
              </w:rPr>
            </w:pP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5.2</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Other</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68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(214.0)</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(238.5)</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6"/>
                <w:szCs w:val="16"/>
                <w:b w:val="1"/>
                <w:bCs w:val="1"/>
                <w:color w:val="auto"/>
              </w:rPr>
              <w:t>Cash flows provided by financing activities:</w:t>
            </w:r>
          </w:p>
        </w:tc>
        <w:tc>
          <w:tcPr>
            <w:tcW w:w="2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Borrowings under Loan Agreement and Revolver</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521.1</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835.2</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Repayments of Loan Agreement and Revolver</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(571.1)</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(785.2)</w:t>
            </w:r>
          </w:p>
        </w:tc>
        <w:tc>
          <w:tcPr>
            <w:tcW w:w="680" w:type="dxa"/>
            <w:vAlign w:val="bottom"/>
          </w:tcPr>
          <w:p>
            <w:pPr>
              <w:jc w:val="right"/>
              <w:spacing w:after="0"/>
              <w:rPr>
                <w:sz w:val="20"/>
                <w:szCs w:val="20"/>
                <w:color w:val="auto"/>
              </w:rPr>
            </w:pPr>
            <w:r>
              <w:rPr>
                <w:rFonts w:ascii="Arial" w:cs="Arial" w:eastAsia="Arial" w:hAnsi="Arial"/>
                <w:sz w:val="16"/>
                <w:szCs w:val="16"/>
                <w:color w:val="auto"/>
              </w:rPr>
              <w:t>(558.1)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Borrowings under Grolier Facility</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138.0</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Repayments of Grolier Facility</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(188.0)</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Proceeds received from issuance of 5.75% Notes, net of related costs</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296.7</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Proceeds received from issuance of 5% Notes, net of related costs</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171.3</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Borrowings under lines of credit</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184.7</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151.8</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Repayments of lines of credit</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(183.7)</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(150.7)</w:t>
            </w:r>
          </w:p>
        </w:tc>
        <w:tc>
          <w:tcPr>
            <w:tcW w:w="680" w:type="dxa"/>
            <w:vAlign w:val="bottom"/>
          </w:tcPr>
          <w:p>
            <w:pPr>
              <w:jc w:val="right"/>
              <w:spacing w:after="0"/>
              <w:rPr>
                <w:sz w:val="20"/>
                <w:szCs w:val="20"/>
                <w:color w:val="auto"/>
              </w:rPr>
            </w:pPr>
            <w:r>
              <w:rPr>
                <w:rFonts w:ascii="Arial" w:cs="Arial" w:eastAsia="Arial" w:hAnsi="Arial"/>
                <w:sz w:val="16"/>
                <w:szCs w:val="16"/>
                <w:color w:val="auto"/>
              </w:rPr>
              <w:t>(90.7)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Proceeds pursuant to employee stock plans</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5.1</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22.8</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Other</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0.2</w:t>
            </w: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82.8</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70.8</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(0.1)</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0.0</w:t>
            </w:r>
          </w:p>
        </w:tc>
        <w:tc>
          <w:tcPr>
            <w:tcW w:w="6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Net increase (decrease) in cash and cash equivalents</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47.9</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(3.1)</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Cash and cash equivalents at beginning of year</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10.7</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13.8</w:t>
            </w: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7080" w:type="dxa"/>
            <w:vAlign w:val="bottom"/>
            <w:gridSpan w:val="2"/>
          </w:tcPr>
          <w:p>
            <w:pPr>
              <w:spacing w:after="0"/>
              <w:rPr>
                <w:sz w:val="10"/>
                <w:szCs w:val="10"/>
                <w:color w:val="auto"/>
              </w:rPr>
            </w:pPr>
          </w:p>
        </w:tc>
        <w:tc>
          <w:tcPr>
            <w:tcW w:w="2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060" w:type="dxa"/>
            <w:vAlign w:val="bottom"/>
            <w:tcBorders>
              <w:top w:val="single" w:sz="8" w:color="808080"/>
            </w:tcBorders>
          </w:tcPr>
          <w:p>
            <w:pPr>
              <w:spacing w:after="0"/>
              <w:rPr>
                <w:sz w:val="7"/>
                <w:szCs w:val="7"/>
                <w:color w:val="auto"/>
              </w:rPr>
            </w:pPr>
          </w:p>
        </w:tc>
        <w:tc>
          <w:tcPr>
            <w:tcW w:w="2880" w:type="dxa"/>
            <w:vAlign w:val="bottom"/>
            <w:tcBorders>
              <w:top w:val="single" w:sz="8" w:color="808080"/>
            </w:tcBorders>
          </w:tcPr>
          <w:p>
            <w:pPr>
              <w:spacing w:after="0"/>
              <w:rPr>
                <w:sz w:val="7"/>
                <w:szCs w:val="7"/>
                <w:color w:val="auto"/>
              </w:rPr>
            </w:pPr>
          </w:p>
        </w:tc>
        <w:tc>
          <w:tcPr>
            <w:tcW w:w="780" w:type="dxa"/>
            <w:vAlign w:val="bottom"/>
            <w:tcBorders>
              <w:top w:val="single" w:sz="8" w:color="808080"/>
            </w:tcBorders>
          </w:tcPr>
          <w:p>
            <w:pPr>
              <w:spacing w:after="0"/>
              <w:rPr>
                <w:sz w:val="7"/>
                <w:szCs w:val="7"/>
                <w:color w:val="auto"/>
              </w:rPr>
            </w:pPr>
          </w:p>
        </w:tc>
        <w:tc>
          <w:tcPr>
            <w:tcW w:w="68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70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b w:val="1"/>
                <w:bCs w:val="1"/>
                <w:color w:val="auto"/>
              </w:rPr>
              <w:t>$ 58.6</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b w:val="1"/>
                <w:bCs w:val="1"/>
                <w:color w:val="auto"/>
              </w:rPr>
              <w:t>$ 10.7</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$ 13.8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7080" w:type="dxa"/>
            <w:vAlign w:val="bottom"/>
            <w:tcBorders>
              <w:bottom w:val="single" w:sz="8" w:color="808080"/>
            </w:tcBorders>
            <w:gridSpan w:val="2"/>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7080" w:type="dxa"/>
            <w:vAlign w:val="bottom"/>
            <w:gridSpan w:val="2"/>
          </w:tcPr>
          <w:p>
            <w:pPr>
              <w:spacing w:after="0"/>
              <w:rPr>
                <w:sz w:val="20"/>
                <w:szCs w:val="20"/>
                <w:color w:val="auto"/>
              </w:rPr>
            </w:pPr>
            <w:r>
              <w:rPr>
                <w:rFonts w:ascii="Arial" w:cs="Arial" w:eastAsia="Arial" w:hAnsi="Arial"/>
                <w:sz w:val="16"/>
                <w:szCs w:val="16"/>
                <w:b w:val="1"/>
                <w:bCs w:val="1"/>
                <w:color w:val="auto"/>
              </w:rPr>
              <w:t>Supplemental information:</w:t>
            </w:r>
          </w:p>
        </w:tc>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Income taxes paid</w:t>
            </w:r>
          </w:p>
        </w:tc>
        <w:tc>
          <w:tcPr>
            <w:tcW w:w="28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$ 14.6</w:t>
            </w:r>
          </w:p>
        </w:tc>
        <w:tc>
          <w:tcPr>
            <w:tcW w:w="78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$ 27.5</w:t>
            </w:r>
          </w:p>
        </w:tc>
        <w:tc>
          <w:tcPr>
            <w:tcW w:w="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$ 58.6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Pr>
          <w:p>
            <w:pPr>
              <w:ind w:left="380"/>
              <w:spacing w:after="0"/>
              <w:rPr>
                <w:sz w:val="20"/>
                <w:szCs w:val="20"/>
                <w:color w:val="auto"/>
              </w:rPr>
            </w:pPr>
            <w:r>
              <w:rPr>
                <w:rFonts w:ascii="Arial" w:cs="Arial" w:eastAsia="Arial" w:hAnsi="Arial"/>
                <w:sz w:val="16"/>
                <w:szCs w:val="16"/>
                <w:color w:val="auto"/>
              </w:rPr>
              <w:t>Interest paid</w:t>
            </w:r>
          </w:p>
        </w:tc>
        <w:tc>
          <w:tcPr>
            <w:tcW w:w="2880" w:type="dxa"/>
            <w:vAlign w:val="bottom"/>
          </w:tcPr>
          <w:p>
            <w:pPr>
              <w:jc w:val="right"/>
              <w:ind w:right="80"/>
              <w:spacing w:after="0"/>
              <w:rPr>
                <w:sz w:val="20"/>
                <w:szCs w:val="20"/>
                <w:color w:val="auto"/>
              </w:rPr>
            </w:pPr>
            <w:r>
              <w:rPr>
                <w:rFonts w:ascii="Arial" w:cs="Arial" w:eastAsia="Arial" w:hAnsi="Arial"/>
                <w:sz w:val="16"/>
                <w:szCs w:val="16"/>
                <w:color w:val="auto"/>
              </w:rPr>
              <w:t>$ 32.5</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$ 28.0</w:t>
            </w:r>
          </w:p>
        </w:tc>
        <w:tc>
          <w:tcPr>
            <w:tcW w:w="680" w:type="dxa"/>
            <w:vAlign w:val="bottom"/>
          </w:tcPr>
          <w:p>
            <w:pPr>
              <w:jc w:val="right"/>
              <w:spacing w:after="0"/>
              <w:rPr>
                <w:sz w:val="20"/>
                <w:szCs w:val="20"/>
                <w:color w:val="auto"/>
              </w:rPr>
            </w:pPr>
            <w:r>
              <w:rPr>
                <w:rFonts w:ascii="Arial" w:cs="Arial" w:eastAsia="Arial" w:hAnsi="Arial"/>
                <w:sz w:val="16"/>
                <w:szCs w:val="16"/>
                <w:color w:val="auto"/>
              </w:rPr>
              <w:t>$ 43.5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-499110</wp:posOffset>
            </wp:positionV>
            <wp:extent cx="12700" cy="28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-499110</wp:posOffset>
            </wp:positionV>
            <wp:extent cx="12700" cy="28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73025</wp:posOffset>
            </wp:positionV>
            <wp:extent cx="725868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34"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(Amounts in millions,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ind w:right="720"/>
        <w:spacing w:after="0" w:line="273" w:lineRule="auto"/>
        <w:rPr>
          <w:sz w:val="20"/>
          <w:szCs w:val="20"/>
          <w:color w:val="auto"/>
        </w:rPr>
      </w:pPr>
      <w:r>
        <w:rPr>
          <w:rFonts w:ascii="Arial" w:cs="Arial" w:eastAsia="Arial" w:hAnsi="Arial"/>
          <w:sz w:val="16"/>
          <w:szCs w:val="16"/>
          <w:color w:val="auto"/>
        </w:rPr>
        <w:t>The consolidated financial statements include the accounts of Scholastic Corporation and all wholly-owned subsidiaries (the “Company”). All significant intercompany transactions are eliminated.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pension obligations; and recoverability of inventories, deferred promotion costs, prepublication costs, royalty advances, goodwill and other intangibles.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recognition policies for its principal businesses are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School-Based Book Clubs </w:t>
      </w:r>
      <w:r>
        <w:rPr>
          <w:rFonts w:ascii="Arial" w:cs="Arial" w:eastAsia="Arial" w:hAnsi="Arial"/>
          <w:sz w:val="16"/>
          <w:szCs w:val="16"/>
          <w:color w:val="auto"/>
        </w:rPr>
        <w:t>— Revenue from school-based book clubs is recognized upon shipment of the products.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School-Based Book Fairs </w:t>
      </w:r>
      <w:r>
        <w:rPr>
          <w:rFonts w:ascii="Arial" w:cs="Arial" w:eastAsia="Arial" w:hAnsi="Arial"/>
          <w:sz w:val="16"/>
          <w:szCs w:val="16"/>
          <w:color w:val="auto"/>
        </w:rPr>
        <w:t>— Revenue from school-based book fairs is recognized ratably as each book fair occurs.</w:t>
      </w:r>
    </w:p>
    <w:p>
      <w:pPr>
        <w:spacing w:after="0" w:line="2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 xml:space="preserve">Continuities </w:t>
      </w:r>
      <w:r>
        <w:rPr>
          <w:rFonts w:ascii="Arial" w:cs="Arial" w:eastAsia="Arial" w:hAnsi="Arial"/>
          <w:sz w:val="16"/>
          <w:szCs w:val="16"/>
          <w:color w:val="auto"/>
        </w:rPr>
        <w:t>— The Company operates continuity programs whereby customers generally place a single order and receive multiple shipments of books over a period of time.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continuities is recognized at the time of shipment or, in applicable cases, upon customer acceptance. Reserves for estimated returns are established at the time of sale and recorded as a reduction to revenue. Actual returns are charged to the reserve as received. The calculation of the reserve for estimated returns is based on historical return rates and sales patterns.</w:t>
      </w:r>
    </w:p>
    <w:p>
      <w:pPr>
        <w:spacing w:after="0" w:line="172"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i w:val="1"/>
          <w:iCs w:val="1"/>
          <w:color w:val="auto"/>
        </w:rPr>
        <w:t xml:space="preserve">Trade </w:t>
      </w:r>
      <w:r>
        <w:rPr>
          <w:rFonts w:ascii="Arial" w:cs="Arial" w:eastAsia="Arial" w:hAnsi="Arial"/>
          <w:sz w:val="16"/>
          <w:szCs w:val="16"/>
          <w:color w:val="auto"/>
        </w:rPr>
        <w:t>— Revenue from the sale of children’s books for distribution in the retail channel primarily is recognized at the time of shipment, which generally is when title transfers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A reserve for estimated returns is established at the time of sale and recorded as a reduction to revenue. Actual returns are charged to the reserve as received. The calculation of the reserve for estimated returns is based on historical return rates and sales patterns.</w:t>
      </w:r>
    </w:p>
    <w:p>
      <w:pPr>
        <w:spacing w:after="0" w:line="167"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i w:val="1"/>
          <w:iCs w:val="1"/>
          <w:color w:val="auto"/>
        </w:rPr>
        <w:t xml:space="preserve">Film Production and Licensing </w:t>
      </w:r>
      <w:r>
        <w:rPr>
          <w:rFonts w:ascii="Arial" w:cs="Arial" w:eastAsia="Arial" w:hAnsi="Arial"/>
          <w:sz w:val="16"/>
          <w:szCs w:val="16"/>
          <w:color w:val="auto"/>
        </w:rPr>
        <w:t>— Revenue from the sale of film rights, principally for the home video and domestic and foreign syndicated television markets, is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Magazines </w:t>
      </w:r>
      <w:r>
        <w:rPr>
          <w:rFonts w:ascii="Arial" w:cs="Arial" w:eastAsia="Arial" w:hAnsi="Arial"/>
          <w:sz w:val="16"/>
          <w:szCs w:val="16"/>
          <w:color w:val="auto"/>
        </w:rPr>
        <w:t>— Revenue is deferred and recognized ratably over the subscription period, as the magazines are delivered.</w:t>
      </w:r>
    </w:p>
    <w:p>
      <w:pPr>
        <w:spacing w:after="0" w:line="210" w:lineRule="exact"/>
        <w:rPr>
          <w:sz w:val="20"/>
          <w:szCs w:val="20"/>
          <w:color w:val="auto"/>
        </w:rPr>
      </w:pPr>
    </w:p>
    <w:p>
      <w:pPr>
        <w:ind w:right="240"/>
        <w:spacing w:after="0" w:line="358" w:lineRule="auto"/>
        <w:rPr>
          <w:sz w:val="20"/>
          <w:szCs w:val="20"/>
          <w:color w:val="auto"/>
        </w:rPr>
      </w:pPr>
      <w:r>
        <w:rPr>
          <w:rFonts w:ascii="Arial" w:cs="Arial" w:eastAsia="Arial" w:hAnsi="Arial"/>
          <w:sz w:val="14"/>
          <w:szCs w:val="14"/>
          <w:i w:val="1"/>
          <w:iCs w:val="1"/>
          <w:color w:val="auto"/>
        </w:rPr>
        <w:t xml:space="preserve">Educational Publishing </w:t>
      </w:r>
      <w:r>
        <w:rPr>
          <w:rFonts w:ascii="Arial" w:cs="Arial" w:eastAsia="Arial" w:hAnsi="Arial"/>
          <w:sz w:val="14"/>
          <w:szCs w:val="14"/>
          <w:color w:val="auto"/>
        </w:rPr>
        <w:t>— For shipments to schools, revenue is recognized on passage of title, which generally occurs upon receipt by the customer. Shipments to depositories</w:t>
      </w:r>
      <w:r>
        <w:rPr>
          <w:rFonts w:ascii="Arial" w:cs="Arial" w:eastAsia="Arial" w:hAnsi="Arial"/>
          <w:sz w:val="14"/>
          <w:szCs w:val="14"/>
          <w:i w:val="1"/>
          <w:iCs w:val="1"/>
          <w:color w:val="auto"/>
        </w:rPr>
        <w:t xml:space="preserve"> </w:t>
      </w:r>
      <w:r>
        <w:rPr>
          <w:rFonts w:ascii="Arial" w:cs="Arial" w:eastAsia="Arial" w:hAnsi="Arial"/>
          <w:sz w:val="14"/>
          <w:szCs w:val="14"/>
          <w:color w:val="auto"/>
        </w:rPr>
        <w:t>are on consignment. Revenue is recognized based on actual shipments from the depositories to the schools. For certain software-based products, the Company offers new</w:t>
      </w:r>
    </w:p>
    <w:p>
      <w:pPr>
        <w:sectPr>
          <w:pgSz w:w="11900" w:h="16838" w:orient="portrait"/>
          <w:cols w:equalWidth="0" w:num="1">
            <w:col w:w="11440"/>
          </w:cols>
          <w:pgMar w:left="240" w:top="140" w:right="219" w:bottom="0" w:gutter="0" w:footer="0" w:header="0"/>
        </w:sectPr>
      </w:pPr>
    </w:p>
    <w:bookmarkStart w:id="22" w:name="page23"/>
    <w:bookmarkEnd w:id="22"/>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customers installation and training. In such cases, revenue is recognized when installation and training are complete.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Magazine Advertising </w:t>
      </w:r>
      <w:r>
        <w:rPr>
          <w:rFonts w:ascii="Arial" w:cs="Arial" w:eastAsia="Arial" w:hAnsi="Arial"/>
          <w:sz w:val="16"/>
          <w:szCs w:val="16"/>
          <w:color w:val="auto"/>
        </w:rPr>
        <w:t>— Revenue is recognized when the magazine is on sale and available to the subscribers.</w:t>
      </w:r>
    </w:p>
    <w:p>
      <w:pPr>
        <w:spacing w:after="0" w:line="21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 xml:space="preserve">Scholastic In-School Marketing </w:t>
      </w:r>
      <w:r>
        <w:rPr>
          <w:rFonts w:ascii="Arial" w:cs="Arial" w:eastAsia="Arial" w:hAnsi="Arial"/>
          <w:sz w:val="16"/>
          <w:szCs w:val="16"/>
          <w:color w:val="auto"/>
        </w:rPr>
        <w:t>— Revenue is recognized when the Company has satisfied its obligations under the program and the customer has acknowledged acceptance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product or service.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consist of short-term investments with original maturities of less than three months.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agings and prior collection experience to estimate the ultimate realization of these receivables.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Inventories, consisting principally of books, are stated at the lower of cost, using the first-in, first-out method, or market. The Company records a reserve for excess and obsolete inventory based primarily upon a calculation of forecasted demand utilizing the historical sales patterns of its products.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promotion costs</w:t>
      </w:r>
    </w:p>
    <w:p>
      <w:pPr>
        <w:spacing w:after="0" w:line="25"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Deferred promotion costs represent direct mail and telemarketing promotion costs incurred to acquire customers in the Company’s continuity and magazine businesses. Promotional costs are deferred when incurred and amortized in the proportion that current revenues bear to estimated total revenues. The Company regularly evaluates the operating performance of the promotions over their life cycle based on historical and forecasted demand and adjusts the carrying value accordingly. All other advertising costs are expensed as incurred, except for certain direct marketing and telemarketing promotion costs that are deferred as discussed above.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Property, plant and equipment are carried at cost. Depreciation and amortization are recorded on a straight-line basis. Buildings have an estimated useful life, for purposes of depreciation, of forty years. Furniture, fixtures and equipment are depreciated over periods not exceeding ten years. Leasehold improvements are amortized over the life of the lease or the life of the assets, whichever is shorter. Interest is capitalized on major construction projects based on the outstanding construction-in-progress balance for the period and the average borrowing rate during the period.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Prepublication costs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The Company capitalizes the art, prepress, editorial and other costs incurred in the creation of the master copy of a book or other media (the “prepublication costs”).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Prepublication costs are amortized on a straight-line basis over a three to seven year period. The Company regularly reviews the recoverability of the capitalized costs.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Royalty advances</w:t>
      </w:r>
    </w:p>
    <w:p>
      <w:pPr>
        <w:spacing w:after="0" w:line="2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Company records a reserve for the recoverability of its outstanding advances to authors based primarily upon historical earndown experience. Royalty advances are expensed as related revenues are earned or when future recovery appears doubtful.</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intangibles</w:t>
      </w:r>
    </w:p>
    <w:p>
      <w:pPr>
        <w:spacing w:after="0" w:line="25"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auto"/>
        </w:rPr>
        <w:t>Effective June 1, 2001, the Company adopted Statement of Financial Accounting Standards (“SFAS”) No. 142, “Goodwill and Other Intangible Assets,” under which goodwill and other intangible assets with indefinite lives are no longer amortized. The Company reviews its goodwill and non-amortizable intangibles on an annual basis for impairment, or more frequently if impairment indicators arise, in accordance with the provision of SFAS No. 142. Prior to adoption of SFAS No. 142, the Company amortized goodwill and other intangible assets over their estimated useful lives.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The Company uses the asset and liability method of accounting for income taxes. Under this method, deferred tax assets and liabilities are 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Noncurrent Liabilities</w:t>
      </w:r>
    </w:p>
    <w:p>
      <w:pPr>
        <w:spacing w:after="0" w:line="2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All of the rate assumptions discussed below impact the Company’s calculations of its pension and post-retirement obligations. The rates applied by the Company are based on the portfolios’ past average rates of return and discussions with actuaries. Any change in market performance, interest rate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performance, assumed health care costs trend rate, or compensation rates could result in significant changes in the pension and post-retirement obligations.</w:t>
      </w:r>
    </w:p>
    <w:p>
      <w:pPr>
        <w:spacing w:after="0" w:line="210"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i w:val="1"/>
          <w:iCs w:val="1"/>
          <w:color w:val="auto"/>
        </w:rPr>
        <w:t>Pension obligations</w:t>
      </w:r>
      <w:r>
        <w:rPr>
          <w:rFonts w:ascii="Arial" w:cs="Arial" w:eastAsia="Arial" w:hAnsi="Arial"/>
          <w:sz w:val="15"/>
          <w:szCs w:val="15"/>
          <w:color w:val="auto"/>
        </w:rPr>
        <w:t>—Scholastic Corporation and certain of its subsidiaries have defined benefit pension plans covering the majority of its employees who meet certain eligibility</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The Company follows SFAS No. 87, “Employers’ Accounting for Pensions,” in calculating the existing benefit obligations and net cost under the plans. These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service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Pension benefits in the U.S. cash balance plan are based on formulas in which the employees’ balances are credited monthly with interest based on 1-year U.S. Treasury Bills plus 1%. Contribution credits are based on employees’ years of service and compensation levels during their employment period.</w:t>
      </w:r>
    </w:p>
    <w:p>
      <w:pPr>
        <w:spacing w:after="0" w:line="164" w:lineRule="exact"/>
        <w:rPr>
          <w:sz w:val="20"/>
          <w:szCs w:val="20"/>
          <w:color w:val="auto"/>
        </w:rPr>
      </w:pPr>
    </w:p>
    <w:p>
      <w:pPr>
        <w:ind w:right="20"/>
        <w:spacing w:after="0" w:line="325" w:lineRule="auto"/>
        <w:rPr>
          <w:sz w:val="20"/>
          <w:szCs w:val="20"/>
          <w:color w:val="auto"/>
        </w:rPr>
      </w:pPr>
      <w:r>
        <w:rPr>
          <w:rFonts w:ascii="Arial" w:cs="Arial" w:eastAsia="Arial" w:hAnsi="Arial"/>
          <w:sz w:val="14"/>
          <w:szCs w:val="14"/>
          <w:i w:val="1"/>
          <w:iCs w:val="1"/>
          <w:color w:val="auto"/>
        </w:rPr>
        <w:t>Other post-retirement benefits</w:t>
      </w:r>
      <w:r>
        <w:rPr>
          <w:rFonts w:ascii="Arial" w:cs="Arial" w:eastAsia="Arial" w:hAnsi="Arial"/>
          <w:sz w:val="14"/>
          <w:szCs w:val="14"/>
          <w:color w:val="auto"/>
        </w:rPr>
        <w:t>—Scholastic Corporation provides post-retirement benefits including healthcare and life insurance benefits to retired U.S. employees. A majority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U.S. employees may become eligible for these benefits if they reach normal retirement age while working for the Company. The post-retirement medical plan benefits are funded on a pay-as-you-go basis. The Company follows SFAS No. 106, “Employers’ Accounting for Post-Retirement Benefits Other than Pensions,” in calculating</w:t>
      </w:r>
    </w:p>
    <w:p>
      <w:pPr>
        <w:sectPr>
          <w:pgSz w:w="11900" w:h="16883" w:orient="portrait"/>
          <w:cols w:equalWidth="0" w:num="1">
            <w:col w:w="11420"/>
          </w:cols>
          <w:pgMar w:left="240" w:top="131" w:right="239" w:bottom="0" w:gutter="0" w:footer="0" w:header="0"/>
        </w:sectPr>
      </w:pPr>
    </w:p>
    <w:bookmarkStart w:id="23" w:name="page24"/>
    <w:bookmarkEnd w:id="23"/>
    <w:p>
      <w:pPr>
        <w:spacing w:after="0" w:line="84" w:lineRule="exact"/>
        <w:rPr>
          <w:sz w:val="20"/>
          <w:szCs w:val="20"/>
          <w:color w:val="auto"/>
        </w:rPr>
      </w:pPr>
    </w:p>
    <w:p>
      <w:pPr>
        <w:jc w:val="both"/>
        <w:ind w:left="2" w:right="180"/>
        <w:spacing w:after="0" w:line="270" w:lineRule="auto"/>
        <w:rPr>
          <w:sz w:val="20"/>
          <w:szCs w:val="20"/>
          <w:color w:val="auto"/>
        </w:rPr>
      </w:pPr>
      <w:r>
        <w:rPr>
          <w:rFonts w:ascii="Arial" w:cs="Arial" w:eastAsia="Arial" w:hAnsi="Arial"/>
          <w:sz w:val="16"/>
          <w:szCs w:val="16"/>
          <w:color w:val="auto"/>
        </w:rPr>
        <w:t>the existing benefit obligation, which is based on the discount rate and the assumed health care cost trend rate. The discount rate is used in the measurement of the expected and accumulated benefit obligations and the service and interest cost components of net periodic post-retirement benefit cost. The assumed health care cost trend rate is used in the measurement of the long term expected increase in medical claims.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Foreign currency translation</w:t>
      </w:r>
    </w:p>
    <w:p>
      <w:pPr>
        <w:spacing w:after="0" w:line="25" w:lineRule="exact"/>
        <w:rPr>
          <w:sz w:val="20"/>
          <w:szCs w:val="20"/>
          <w:color w:val="auto"/>
        </w:rPr>
      </w:pPr>
    </w:p>
    <w:p>
      <w:pPr>
        <w:ind w:left="2" w:right="80"/>
        <w:spacing w:after="0" w:line="262" w:lineRule="auto"/>
        <w:rPr>
          <w:sz w:val="20"/>
          <w:szCs w:val="20"/>
          <w:color w:val="auto"/>
        </w:rPr>
      </w:pPr>
      <w:r>
        <w:rPr>
          <w:rFonts w:ascii="Arial" w:cs="Arial" w:eastAsia="Arial" w:hAnsi="Arial"/>
          <w:sz w:val="16"/>
          <w:szCs w:val="16"/>
          <w:color w:val="auto"/>
        </w:rPr>
        <w:t>The Company’s non-U.S. dollar denominated assets and liabilities are translated into United States dollars at prevailing rates at the balance sheet date and the revenues, costs and expenses are translated at the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Reclassifications</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Certain prior year amounts have been reclassified to conform to the current year presentation.</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Earnings per share</w:t>
      </w:r>
    </w:p>
    <w:p>
      <w:pPr>
        <w:spacing w:after="0" w:line="25" w:lineRule="exact"/>
        <w:rPr>
          <w:sz w:val="20"/>
          <w:szCs w:val="20"/>
          <w:color w:val="auto"/>
        </w:rPr>
      </w:pPr>
    </w:p>
    <w:p>
      <w:pPr>
        <w:ind w:left="2" w:right="60"/>
        <w:spacing w:after="0" w:line="304" w:lineRule="auto"/>
        <w:rPr>
          <w:sz w:val="20"/>
          <w:szCs w:val="20"/>
          <w:color w:val="auto"/>
        </w:rPr>
      </w:pPr>
      <w:r>
        <w:rPr>
          <w:rFonts w:ascii="Arial" w:cs="Arial" w:eastAsia="Arial" w:hAnsi="Arial"/>
          <w:sz w:val="14"/>
          <w:szCs w:val="14"/>
          <w:color w:val="auto"/>
        </w:rPr>
        <w:t>Basic earnings per share is based on the weighted average shares of Class A Stock and Common Stock outstanding. Diluted earnings per share is based on the weighted average shares of Class A Stock and Common Stock outstanding adjusted for the impact of potentially dilutive securities outstanding. The dilutive impact of options outstanding is calculated using the treasury stock method, which treats the Common Stock issuable upon the exercise of the options outstanding as if they were exercised at the beginning of the period, adjusted for Common Stock assumed to be repurchased with the proceeds and tax benefit realized upon exercise. The dilutive impact of convertible debt outstanding is calculated on an if-converted basis, adjusting for interest foregone and Common Stock issuable upon conversion of the debt as if it was converted at the beginning of the period. Any potentially dilutive security is excluded from the computation of diluted earnings per share for any period in which it has an anti-dilutive effect.</w:t>
      </w:r>
    </w:p>
    <w:p>
      <w:pPr>
        <w:spacing w:after="0" w:line="14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left="2" w:right="40"/>
        <w:spacing w:after="0" w:line="262" w:lineRule="auto"/>
        <w:rPr>
          <w:sz w:val="20"/>
          <w:szCs w:val="20"/>
          <w:color w:val="auto"/>
        </w:rPr>
      </w:pPr>
      <w:r>
        <w:rPr>
          <w:rFonts w:ascii="Arial" w:cs="Arial" w:eastAsia="Arial" w:hAnsi="Arial"/>
          <w:sz w:val="16"/>
          <w:szCs w:val="16"/>
          <w:color w:val="auto"/>
        </w:rPr>
        <w:t>Under the provisions of SFAS No. 123, “Accounting for Stock-Based Compensation,” the Company applies Accounting Principles Board Opinion No. 25, “Accounting for Stock Issued to Employees” (“APB 25”), and related interpretations in accounting for its stock option plans. In accordance with APB 25, no compensation expense was recognized with respect to the Company’s stock option plans, as the exercise price of the Company’s stock options was equal to the market price of the underlying stock on the date of grant and the exercise price and number of shares subject to grant were fixed.</w:t>
      </w:r>
    </w:p>
    <w:p>
      <w:pPr>
        <w:spacing w:after="0" w:line="173"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 w:right="480"/>
        <w:spacing w:after="0" w:line="270" w:lineRule="auto"/>
        <w:rPr>
          <w:sz w:val="20"/>
          <w:szCs w:val="20"/>
          <w:color w:val="auto"/>
        </w:rPr>
      </w:pPr>
      <w:r>
        <w:rPr>
          <w:rFonts w:ascii="Arial" w:cs="Arial" w:eastAsia="Arial" w:hAnsi="Arial"/>
          <w:sz w:val="16"/>
          <w:szCs w:val="16"/>
          <w:color w:val="auto"/>
        </w:rPr>
        <w:t>If the Company had elected to recognize compensation expense based on the fair value of the options granted at the date of grant and in respect to shares issuable under the Company’s equity compensation plans as prescribed by SFAS No. 123, net income and diluted earnings per share for the three fiscal years ended May 31 would have been reduced to the pro forma amounts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25868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39" w:lineRule="exact"/>
        <w:rPr>
          <w:sz w:val="20"/>
          <w:szCs w:val="20"/>
          <w:color w:val="auto"/>
        </w:rPr>
      </w:pPr>
    </w:p>
    <w:tbl>
      <w:tblPr>
        <w:tblLayout w:type="fixed"/>
        <w:tblInd w:w="2"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364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2003</w:t>
            </w:r>
          </w:p>
        </w:tc>
        <w:tc>
          <w:tcPr>
            <w:tcW w:w="134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2002</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0" w:type="dxa"/>
            <w:vAlign w:val="bottom"/>
            <w:tcBorders>
              <w:bottom w:val="single" w:sz="8" w:color="808080"/>
            </w:tcBorders>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5420" w:type="dxa"/>
            <w:vAlign w:val="bottom"/>
            <w:gridSpan w:val="2"/>
          </w:tcPr>
          <w:p>
            <w:pPr>
              <w:spacing w:after="0"/>
              <w:rPr>
                <w:sz w:val="20"/>
                <w:szCs w:val="20"/>
                <w:color w:val="auto"/>
              </w:rPr>
            </w:pPr>
            <w:r>
              <w:rPr>
                <w:rFonts w:ascii="Arial" w:cs="Arial" w:eastAsia="Arial" w:hAnsi="Arial"/>
                <w:sz w:val="16"/>
                <w:szCs w:val="16"/>
                <w:color w:val="auto"/>
              </w:rPr>
              <w:t>Net income — as reported</w:t>
            </w:r>
          </w:p>
        </w:tc>
        <w:tc>
          <w:tcPr>
            <w:tcW w:w="29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60"/>
              <w:spacing w:after="0"/>
              <w:rPr>
                <w:sz w:val="20"/>
                <w:szCs w:val="20"/>
                <w:color w:val="auto"/>
              </w:rPr>
            </w:pPr>
            <w:r>
              <w:rPr>
                <w:rFonts w:ascii="Arial" w:cs="Arial" w:eastAsia="Arial" w:hAnsi="Arial"/>
                <w:sz w:val="16"/>
                <w:szCs w:val="16"/>
                <w:color w:val="auto"/>
                <w:w w:val="89"/>
              </w:rPr>
              <w:t>58.6</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60"/>
              <w:spacing w:after="0"/>
              <w:rPr>
                <w:sz w:val="20"/>
                <w:szCs w:val="20"/>
                <w:color w:val="auto"/>
              </w:rPr>
            </w:pPr>
            <w:r>
              <w:rPr>
                <w:rFonts w:ascii="Arial" w:cs="Arial" w:eastAsia="Arial" w:hAnsi="Arial"/>
                <w:sz w:val="16"/>
                <w:szCs w:val="16"/>
                <w:color w:val="auto"/>
                <w:w w:val="89"/>
              </w:rPr>
              <w:t>93.5</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w w:val="89"/>
              </w:rPr>
              <w:t>36.3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Add: Stock-based employee</w:t>
            </w:r>
          </w:p>
        </w:tc>
        <w:tc>
          <w:tcPr>
            <w:tcW w:w="29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compensation included in reported</w:t>
            </w:r>
          </w:p>
        </w:tc>
        <w:tc>
          <w:tcPr>
            <w:tcW w:w="290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net income, net of tax*</w:t>
            </w:r>
          </w:p>
        </w:tc>
        <w:tc>
          <w:tcPr>
            <w:tcW w:w="2900" w:type="dxa"/>
            <w:vAlign w:val="bottom"/>
            <w:shd w:val="clear" w:color="auto" w:fill="DDDDDD"/>
          </w:tcPr>
          <w:p>
            <w:pPr>
              <w:spacing w:after="0"/>
              <w:rPr>
                <w:sz w:val="17"/>
                <w:szCs w:val="17"/>
                <w:color w:val="auto"/>
              </w:rPr>
            </w:pP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0.3</w:t>
            </w:r>
          </w:p>
        </w:tc>
        <w:tc>
          <w:tcPr>
            <w:tcW w:w="600" w:type="dxa"/>
            <w:vAlign w:val="bottom"/>
            <w:shd w:val="clear" w:color="auto" w:fill="DDDDDD"/>
          </w:tcPr>
          <w:p>
            <w:pPr>
              <w:spacing w:after="0"/>
              <w:rPr>
                <w:sz w:val="17"/>
                <w:szCs w:val="17"/>
                <w:color w:val="auto"/>
              </w:rPr>
            </w:pP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0.2</w:t>
            </w:r>
          </w:p>
        </w:tc>
        <w:tc>
          <w:tcPr>
            <w:tcW w:w="600" w:type="dxa"/>
            <w:vAlign w:val="bottom"/>
            <w:shd w:val="clear" w:color="auto" w:fill="DDDDDD"/>
          </w:tcPr>
          <w:p>
            <w:pPr>
              <w:spacing w:after="0"/>
              <w:rPr>
                <w:sz w:val="17"/>
                <w:szCs w:val="17"/>
                <w:color w:val="auto"/>
              </w:rPr>
            </w:pPr>
          </w:p>
        </w:tc>
        <w:tc>
          <w:tcPr>
            <w:tcW w:w="420" w:type="dxa"/>
            <w:vAlign w:val="bottom"/>
            <w:shd w:val="clear" w:color="auto" w:fill="DDDDDD"/>
          </w:tcPr>
          <w:p>
            <w:pPr>
              <w:jc w:val="right"/>
              <w:ind w:right="4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Deduct: Total stock-based</w:t>
            </w: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employee compensation expense</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determined under fair value based</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method, net of tax</w:t>
            </w:r>
          </w:p>
        </w:tc>
        <w:tc>
          <w:tcPr>
            <w:tcW w:w="2900" w:type="dxa"/>
            <w:vAlign w:val="bottom"/>
          </w:tcPr>
          <w:p>
            <w:pPr>
              <w:spacing w:after="0"/>
              <w:rPr>
                <w:sz w:val="17"/>
                <w:szCs w:val="17"/>
                <w:color w:val="auto"/>
              </w:rPr>
            </w:pPr>
          </w:p>
        </w:tc>
        <w:tc>
          <w:tcPr>
            <w:tcW w:w="740" w:type="dxa"/>
            <w:vAlign w:val="bottom"/>
          </w:tcPr>
          <w:p>
            <w:pPr>
              <w:jc w:val="right"/>
              <w:ind w:right="360"/>
              <w:spacing w:after="0"/>
              <w:rPr>
                <w:sz w:val="20"/>
                <w:szCs w:val="20"/>
                <w:color w:val="auto"/>
              </w:rPr>
            </w:pPr>
            <w:r>
              <w:rPr>
                <w:rFonts w:ascii="Arial" w:cs="Arial" w:eastAsia="Arial" w:hAnsi="Arial"/>
                <w:sz w:val="16"/>
                <w:szCs w:val="16"/>
                <w:color w:val="auto"/>
                <w:w w:val="89"/>
              </w:rPr>
              <w:t>14.3</w:t>
            </w:r>
          </w:p>
        </w:tc>
        <w:tc>
          <w:tcPr>
            <w:tcW w:w="600" w:type="dxa"/>
            <w:vAlign w:val="bottom"/>
          </w:tcPr>
          <w:p>
            <w:pPr>
              <w:spacing w:after="0"/>
              <w:rPr>
                <w:sz w:val="17"/>
                <w:szCs w:val="17"/>
                <w:color w:val="auto"/>
              </w:rPr>
            </w:pPr>
          </w:p>
        </w:tc>
        <w:tc>
          <w:tcPr>
            <w:tcW w:w="740" w:type="dxa"/>
            <w:vAlign w:val="bottom"/>
          </w:tcPr>
          <w:p>
            <w:pPr>
              <w:jc w:val="right"/>
              <w:ind w:right="360"/>
              <w:spacing w:after="0"/>
              <w:rPr>
                <w:sz w:val="20"/>
                <w:szCs w:val="20"/>
                <w:color w:val="auto"/>
              </w:rPr>
            </w:pPr>
            <w:r>
              <w:rPr>
                <w:rFonts w:ascii="Arial" w:cs="Arial" w:eastAsia="Arial" w:hAnsi="Arial"/>
                <w:sz w:val="16"/>
                <w:szCs w:val="16"/>
                <w:color w:val="auto"/>
              </w:rPr>
              <w:t>9.6</w:t>
            </w:r>
          </w:p>
        </w:tc>
        <w:tc>
          <w:tcPr>
            <w:tcW w:w="600" w:type="dxa"/>
            <w:vAlign w:val="bottom"/>
          </w:tcPr>
          <w:p>
            <w:pPr>
              <w:spacing w:after="0"/>
              <w:rPr>
                <w:sz w:val="17"/>
                <w:szCs w:val="17"/>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w w:val="89"/>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420" w:type="dxa"/>
            <w:vAlign w:val="bottom"/>
            <w:gridSpan w:val="2"/>
          </w:tcPr>
          <w:p>
            <w:pPr>
              <w:spacing w:after="0"/>
              <w:rPr>
                <w:sz w:val="8"/>
                <w:szCs w:val="8"/>
                <w:color w:val="auto"/>
              </w:rPr>
            </w:pPr>
          </w:p>
        </w:tc>
        <w:tc>
          <w:tcPr>
            <w:tcW w:w="2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400" w:type="dxa"/>
            <w:vAlign w:val="bottom"/>
            <w:tcBorders>
              <w:top w:val="single" w:sz="8" w:color="808080"/>
            </w:tcBorders>
          </w:tcPr>
          <w:p>
            <w:pPr>
              <w:spacing w:after="0"/>
              <w:rPr>
                <w:sz w:val="7"/>
                <w:szCs w:val="7"/>
                <w:color w:val="auto"/>
              </w:rPr>
            </w:pPr>
          </w:p>
        </w:tc>
        <w:tc>
          <w:tcPr>
            <w:tcW w:w="2900" w:type="dxa"/>
            <w:vAlign w:val="bottom"/>
            <w:tcBorders>
              <w:top w:val="single" w:sz="8" w:color="808080"/>
            </w:tcBorders>
          </w:tcPr>
          <w:p>
            <w:pPr>
              <w:spacing w:after="0"/>
              <w:rPr>
                <w:sz w:val="7"/>
                <w:szCs w:val="7"/>
                <w:color w:val="auto"/>
              </w:rPr>
            </w:pPr>
          </w:p>
        </w:tc>
        <w:tc>
          <w:tcPr>
            <w:tcW w:w="74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74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Net income — pro forma</w:t>
            </w:r>
          </w:p>
        </w:tc>
        <w:tc>
          <w:tcPr>
            <w:tcW w:w="2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b w:val="1"/>
                <w:bCs w:val="1"/>
                <w:color w:val="auto"/>
                <w:w w:val="89"/>
              </w:rPr>
              <w:t>44.6</w:t>
            </w:r>
          </w:p>
        </w:tc>
        <w:tc>
          <w:tcPr>
            <w:tcW w:w="6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b w:val="1"/>
                <w:bCs w:val="1"/>
                <w:color w:val="auto"/>
                <w:w w:val="89"/>
              </w:rPr>
              <w:t>84.1</w:t>
            </w:r>
          </w:p>
        </w:tc>
        <w:tc>
          <w:tcPr>
            <w:tcW w:w="6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DDDDDD"/>
          </w:tcPr>
          <w:p>
            <w:pPr>
              <w:jc w:val="right"/>
              <w:ind w:right="40"/>
              <w:spacing w:after="0"/>
              <w:rPr>
                <w:sz w:val="20"/>
                <w:szCs w:val="20"/>
                <w:color w:val="auto"/>
              </w:rPr>
            </w:pPr>
            <w:r>
              <w:rPr>
                <w:rFonts w:ascii="Arial" w:cs="Arial" w:eastAsia="Arial" w:hAnsi="Arial"/>
                <w:sz w:val="16"/>
                <w:szCs w:val="16"/>
                <w:b w:val="1"/>
                <w:bCs w:val="1"/>
                <w:color w:val="auto"/>
                <w:w w:val="89"/>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5420" w:type="dxa"/>
            <w:vAlign w:val="bottom"/>
            <w:tcBorders>
              <w:bottom w:val="single" w:sz="8" w:color="808080"/>
            </w:tcBorders>
            <w:gridSpan w:val="2"/>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5420" w:type="dxa"/>
            <w:vAlign w:val="bottom"/>
            <w:gridSpan w:val="2"/>
          </w:tcPr>
          <w:p>
            <w:pPr>
              <w:spacing w:after="0"/>
              <w:rPr>
                <w:sz w:val="20"/>
                <w:szCs w:val="20"/>
                <w:color w:val="auto"/>
              </w:rPr>
            </w:pPr>
            <w:r>
              <w:rPr>
                <w:rFonts w:ascii="Arial" w:cs="Arial" w:eastAsia="Arial" w:hAnsi="Arial"/>
                <w:sz w:val="16"/>
                <w:szCs w:val="16"/>
                <w:color w:val="auto"/>
              </w:rPr>
              <w:t>Basic earnings per</w:t>
            </w:r>
          </w:p>
        </w:tc>
        <w:tc>
          <w:tcPr>
            <w:tcW w:w="2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share — as reported</w:t>
            </w:r>
          </w:p>
        </w:tc>
        <w:tc>
          <w:tcPr>
            <w:tcW w:w="29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60"/>
              <w:spacing w:after="0"/>
              <w:rPr>
                <w:sz w:val="20"/>
                <w:szCs w:val="20"/>
                <w:color w:val="auto"/>
              </w:rPr>
            </w:pPr>
            <w:r>
              <w:rPr>
                <w:rFonts w:ascii="Arial" w:cs="Arial" w:eastAsia="Arial" w:hAnsi="Arial"/>
                <w:sz w:val="16"/>
                <w:szCs w:val="16"/>
                <w:color w:val="auto"/>
                <w:w w:val="89"/>
              </w:rPr>
              <w:t>1.50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60"/>
              <w:spacing w:after="0"/>
              <w:rPr>
                <w:sz w:val="20"/>
                <w:szCs w:val="20"/>
                <w:color w:val="auto"/>
              </w:rPr>
            </w:pPr>
            <w:r>
              <w:rPr>
                <w:rFonts w:ascii="Arial" w:cs="Arial" w:eastAsia="Arial" w:hAnsi="Arial"/>
                <w:sz w:val="16"/>
                <w:szCs w:val="16"/>
                <w:color w:val="auto"/>
                <w:w w:val="89"/>
              </w:rPr>
              <w:t>2.55</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w w:val="89"/>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Basic earnings per</w:t>
            </w:r>
          </w:p>
        </w:tc>
        <w:tc>
          <w:tcPr>
            <w:tcW w:w="29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share — pro forma</w:t>
            </w:r>
          </w:p>
        </w:tc>
        <w:tc>
          <w:tcPr>
            <w:tcW w:w="2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w w:val="89"/>
              </w:rPr>
              <w:t>1.14</w:t>
            </w:r>
          </w:p>
        </w:tc>
        <w:tc>
          <w:tcPr>
            <w:tcW w:w="6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w w:val="89"/>
              </w:rPr>
              <w:t>2.29</w:t>
            </w:r>
          </w:p>
        </w:tc>
        <w:tc>
          <w:tcPr>
            <w:tcW w:w="6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DDDDD"/>
          </w:tcPr>
          <w:p>
            <w:pPr>
              <w:jc w:val="right"/>
              <w:ind w:right="40"/>
              <w:spacing w:after="0"/>
              <w:rPr>
                <w:sz w:val="20"/>
                <w:szCs w:val="20"/>
                <w:color w:val="auto"/>
              </w:rPr>
            </w:pPr>
            <w:r>
              <w:rPr>
                <w:rFonts w:ascii="Arial" w:cs="Arial" w:eastAsia="Arial" w:hAnsi="Arial"/>
                <w:sz w:val="16"/>
                <w:szCs w:val="16"/>
                <w:color w:val="auto"/>
                <w:w w:val="89"/>
              </w:rPr>
              <w:t>0.69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Diluted earnings per</w:t>
            </w: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share — as reported</w:t>
            </w:r>
          </w:p>
        </w:tc>
        <w:tc>
          <w:tcPr>
            <w:tcW w:w="29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60"/>
              <w:spacing w:after="0"/>
              <w:rPr>
                <w:sz w:val="20"/>
                <w:szCs w:val="20"/>
                <w:color w:val="auto"/>
              </w:rPr>
            </w:pPr>
            <w:r>
              <w:rPr>
                <w:rFonts w:ascii="Arial" w:cs="Arial" w:eastAsia="Arial" w:hAnsi="Arial"/>
                <w:sz w:val="16"/>
                <w:szCs w:val="16"/>
                <w:color w:val="auto"/>
                <w:w w:val="89"/>
              </w:rPr>
              <w:t>1.46</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60"/>
              <w:spacing w:after="0"/>
              <w:rPr>
                <w:sz w:val="20"/>
                <w:szCs w:val="20"/>
                <w:color w:val="auto"/>
              </w:rPr>
            </w:pPr>
            <w:r>
              <w:rPr>
                <w:rFonts w:ascii="Arial" w:cs="Arial" w:eastAsia="Arial" w:hAnsi="Arial"/>
                <w:sz w:val="16"/>
                <w:szCs w:val="16"/>
                <w:color w:val="auto"/>
                <w:w w:val="89"/>
              </w:rPr>
              <w:t>2.38</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w w:val="89"/>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Diluted earnings per</w:t>
            </w:r>
          </w:p>
        </w:tc>
        <w:tc>
          <w:tcPr>
            <w:tcW w:w="29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share — pro forma</w:t>
            </w:r>
          </w:p>
        </w:tc>
        <w:tc>
          <w:tcPr>
            <w:tcW w:w="2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w w:val="89"/>
              </w:rPr>
              <w:t>1.14</w:t>
            </w:r>
          </w:p>
        </w:tc>
        <w:tc>
          <w:tcPr>
            <w:tcW w:w="6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w w:val="89"/>
              </w:rPr>
              <w:t>2.22</w:t>
            </w:r>
          </w:p>
        </w:tc>
        <w:tc>
          <w:tcPr>
            <w:tcW w:w="6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DDDDD"/>
          </w:tcPr>
          <w:p>
            <w:pPr>
              <w:jc w:val="right"/>
              <w:ind w:right="40"/>
              <w:spacing w:after="0"/>
              <w:rPr>
                <w:sz w:val="20"/>
                <w:szCs w:val="20"/>
                <w:color w:val="auto"/>
              </w:rPr>
            </w:pPr>
            <w:r>
              <w:rPr>
                <w:rFonts w:ascii="Arial" w:cs="Arial" w:eastAsia="Arial" w:hAnsi="Arial"/>
                <w:sz w:val="16"/>
                <w:szCs w:val="16"/>
                <w:color w:val="auto"/>
                <w:w w:val="89"/>
              </w:rPr>
              <w:t>0.69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-1158240</wp:posOffset>
            </wp:positionV>
            <wp:extent cx="12700" cy="28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-1158240</wp:posOffset>
            </wp:positionV>
            <wp:extent cx="12700" cy="28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09" w:lineRule="exact"/>
        <w:rPr>
          <w:sz w:val="20"/>
          <w:szCs w:val="20"/>
          <w:color w:val="auto"/>
        </w:rPr>
      </w:pPr>
    </w:p>
    <w:p>
      <w:pPr>
        <w:ind w:left="202" w:hanging="202"/>
        <w:spacing w:after="0"/>
        <w:tabs>
          <w:tab w:leader="none" w:pos="202" w:val="left"/>
        </w:tabs>
        <w:numPr>
          <w:ilvl w:val="0"/>
          <w:numId w:val="5"/>
        </w:numPr>
        <w:rPr>
          <w:rFonts w:ascii="Arial" w:cs="Arial" w:eastAsia="Arial" w:hAnsi="Arial"/>
          <w:sz w:val="39"/>
          <w:szCs w:val="39"/>
          <w:color w:val="auto"/>
          <w:vertAlign w:val="subscript"/>
        </w:rPr>
      </w:pPr>
      <w:r>
        <w:rPr>
          <w:rFonts w:ascii="Arial" w:cs="Arial" w:eastAsia="Arial" w:hAnsi="Arial"/>
          <w:sz w:val="12"/>
          <w:szCs w:val="12"/>
          <w:color w:val="auto"/>
        </w:rPr>
        <w:t>Related</w:t>
      </w:r>
      <w:r>
        <w:rPr>
          <w:rFonts w:ascii="Arial" w:cs="Arial" w:eastAsia="Arial" w:hAnsi="Arial"/>
          <w:sz w:val="24"/>
          <w:szCs w:val="24"/>
          <w:color w:val="auto"/>
          <w:vertAlign w:val="subscript"/>
        </w:rPr>
        <w:t>Plan</w:t>
      </w:r>
      <w:r>
        <w:rPr>
          <w:rFonts w:ascii="Arial" w:cs="Arial" w:eastAsia="Arial" w:hAnsi="Arial"/>
          <w:sz w:val="12"/>
          <w:szCs w:val="12"/>
          <w:color w:val="auto"/>
        </w:rPr>
        <w:t xml:space="preserve"> to the Management Stock Purchase</w:t>
      </w:r>
    </w:p>
    <w:p>
      <w:pPr>
        <w:spacing w:after="0" w:line="177" w:lineRule="exact"/>
        <w:rPr>
          <w:sz w:val="20"/>
          <w:szCs w:val="20"/>
          <w:color w:val="auto"/>
        </w:rPr>
      </w:pPr>
    </w:p>
    <w:p>
      <w:pPr>
        <w:ind w:left="2" w:right="20"/>
        <w:spacing w:after="0" w:line="283"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weighted average assumptions for the three fiscal years ended May 31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25868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30" w:lineRule="exact"/>
        <w:rPr>
          <w:sz w:val="20"/>
          <w:szCs w:val="20"/>
          <w:color w:val="auto"/>
        </w:rPr>
      </w:pPr>
    </w:p>
    <w:tbl>
      <w:tblPr>
        <w:tblLayout w:type="fixed"/>
        <w:tblInd w:w="2"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880" w:type="dxa"/>
            <w:vAlign w:val="bottom"/>
          </w:tcPr>
          <w:p>
            <w:pPr>
              <w:jc w:val="right"/>
              <w:ind w:right="576"/>
              <w:spacing w:after="0"/>
              <w:rPr>
                <w:sz w:val="20"/>
                <w:szCs w:val="20"/>
                <w:color w:val="auto"/>
              </w:rPr>
            </w:pPr>
            <w:r>
              <w:rPr>
                <w:rFonts w:ascii="Arial" w:cs="Arial" w:eastAsia="Arial" w:hAnsi="Arial"/>
                <w:sz w:val="20"/>
                <w:szCs w:val="20"/>
                <w:b w:val="1"/>
                <w:bCs w:val="1"/>
                <w:color w:val="auto"/>
              </w:rPr>
              <w:t>2003</w:t>
            </w:r>
          </w:p>
        </w:tc>
        <w:tc>
          <w:tcPr>
            <w:tcW w:w="1640" w:type="dxa"/>
            <w:vAlign w:val="bottom"/>
          </w:tcPr>
          <w:p>
            <w:pPr>
              <w:jc w:val="right"/>
              <w:ind w:right="576"/>
              <w:spacing w:after="0"/>
              <w:rPr>
                <w:sz w:val="20"/>
                <w:szCs w:val="20"/>
                <w:color w:val="auto"/>
              </w:rPr>
            </w:pPr>
            <w:r>
              <w:rPr>
                <w:rFonts w:ascii="Arial" w:cs="Arial" w:eastAsia="Arial" w:hAnsi="Arial"/>
                <w:sz w:val="20"/>
                <w:szCs w:val="20"/>
                <w:b w:val="1"/>
                <w:bCs w:val="1"/>
                <w:color w:val="auto"/>
              </w:rPr>
              <w:t>2002</w:t>
            </w:r>
          </w:p>
        </w:tc>
        <w:tc>
          <w:tcPr>
            <w:tcW w:w="1200" w:type="dxa"/>
            <w:vAlign w:val="bottom"/>
          </w:tcPr>
          <w:p>
            <w:pPr>
              <w:jc w:val="right"/>
              <w:ind w:right="136"/>
              <w:spacing w:after="0"/>
              <w:rPr>
                <w:sz w:val="20"/>
                <w:szCs w:val="20"/>
                <w:color w:val="auto"/>
              </w:rPr>
            </w:pPr>
            <w:r>
              <w:rPr>
                <w:rFonts w:ascii="Arial" w:cs="Arial" w:eastAsia="Arial" w:hAnsi="Arial"/>
                <w:sz w:val="20"/>
                <w:szCs w:val="20"/>
                <w:b w:val="1"/>
                <w:bCs w:val="1"/>
                <w:color w:val="auto"/>
              </w:rPr>
              <w:t>2001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80" w:type="dxa"/>
            <w:vAlign w:val="bottom"/>
            <w:tcBorders>
              <w:bottom w:val="single" w:sz="8" w:color="808080"/>
            </w:tcBorders>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4700" w:type="dxa"/>
            <w:vAlign w:val="bottom"/>
            <w:gridSpan w:val="2"/>
          </w:tcPr>
          <w:p>
            <w:pPr>
              <w:spacing w:after="0"/>
              <w:rPr>
                <w:sz w:val="20"/>
                <w:szCs w:val="20"/>
                <w:color w:val="auto"/>
              </w:rPr>
            </w:pPr>
            <w:r>
              <w:rPr>
                <w:rFonts w:ascii="Arial" w:cs="Arial" w:eastAsia="Arial" w:hAnsi="Arial"/>
                <w:sz w:val="16"/>
                <w:szCs w:val="16"/>
                <w:color w:val="auto"/>
              </w:rPr>
              <w:t>Expected divided yield</w:t>
            </w:r>
          </w:p>
        </w:tc>
        <w:tc>
          <w:tcPr>
            <w:tcW w:w="3880" w:type="dxa"/>
            <w:vAlign w:val="bottom"/>
          </w:tcPr>
          <w:p>
            <w:pPr>
              <w:jc w:val="right"/>
              <w:ind w:right="436"/>
              <w:spacing w:after="0"/>
              <w:rPr>
                <w:sz w:val="20"/>
                <w:szCs w:val="20"/>
                <w:color w:val="auto"/>
              </w:rPr>
            </w:pPr>
            <w:r>
              <w:rPr>
                <w:rFonts w:ascii="Arial" w:cs="Arial" w:eastAsia="Arial" w:hAnsi="Arial"/>
                <w:sz w:val="16"/>
                <w:szCs w:val="16"/>
                <w:color w:val="auto"/>
              </w:rPr>
              <w:t>0.0%</w:t>
            </w:r>
          </w:p>
        </w:tc>
        <w:tc>
          <w:tcPr>
            <w:tcW w:w="1640" w:type="dxa"/>
            <w:vAlign w:val="bottom"/>
          </w:tcPr>
          <w:p>
            <w:pPr>
              <w:jc w:val="right"/>
              <w:ind w:right="436"/>
              <w:spacing w:after="0"/>
              <w:rPr>
                <w:sz w:val="20"/>
                <w:szCs w:val="20"/>
                <w:color w:val="auto"/>
              </w:rPr>
            </w:pPr>
            <w:r>
              <w:rPr>
                <w:rFonts w:ascii="Arial" w:cs="Arial" w:eastAsia="Arial" w:hAnsi="Arial"/>
                <w:sz w:val="16"/>
                <w:szCs w:val="16"/>
                <w:color w:val="auto"/>
              </w:rPr>
              <w:t>0.0%</w:t>
            </w:r>
          </w:p>
        </w:tc>
        <w:tc>
          <w:tcPr>
            <w:tcW w:w="120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680" w:type="dxa"/>
            <w:vAlign w:val="bottom"/>
            <w:shd w:val="clear" w:color="auto" w:fill="DDDDDD"/>
          </w:tcPr>
          <w:p>
            <w:pPr>
              <w:spacing w:after="0"/>
              <w:rPr>
                <w:sz w:val="20"/>
                <w:szCs w:val="20"/>
                <w:color w:val="auto"/>
              </w:rPr>
            </w:pPr>
            <w:r>
              <w:rPr>
                <w:rFonts w:ascii="Arial" w:cs="Arial" w:eastAsia="Arial" w:hAnsi="Arial"/>
                <w:sz w:val="16"/>
                <w:szCs w:val="16"/>
                <w:color w:val="auto"/>
              </w:rPr>
              <w:t>Expected stock price volatility</w:t>
            </w:r>
          </w:p>
        </w:tc>
        <w:tc>
          <w:tcPr>
            <w:tcW w:w="3880" w:type="dxa"/>
            <w:vAlign w:val="bottom"/>
            <w:shd w:val="clear" w:color="auto" w:fill="DDDDDD"/>
          </w:tcPr>
          <w:p>
            <w:pPr>
              <w:jc w:val="right"/>
              <w:ind w:right="436"/>
              <w:spacing w:after="0"/>
              <w:rPr>
                <w:sz w:val="20"/>
                <w:szCs w:val="20"/>
                <w:color w:val="auto"/>
              </w:rPr>
            </w:pPr>
            <w:r>
              <w:rPr>
                <w:rFonts w:ascii="Arial" w:cs="Arial" w:eastAsia="Arial" w:hAnsi="Arial"/>
                <w:sz w:val="16"/>
                <w:szCs w:val="16"/>
                <w:color w:val="auto"/>
              </w:rPr>
              <w:t>61.5%</w:t>
            </w:r>
          </w:p>
        </w:tc>
        <w:tc>
          <w:tcPr>
            <w:tcW w:w="1640" w:type="dxa"/>
            <w:vAlign w:val="bottom"/>
            <w:shd w:val="clear" w:color="auto" w:fill="DDDDDD"/>
          </w:tcPr>
          <w:p>
            <w:pPr>
              <w:jc w:val="right"/>
              <w:ind w:right="436"/>
              <w:spacing w:after="0"/>
              <w:rPr>
                <w:sz w:val="20"/>
                <w:szCs w:val="20"/>
                <w:color w:val="auto"/>
              </w:rPr>
            </w:pPr>
            <w:r>
              <w:rPr>
                <w:rFonts w:ascii="Arial" w:cs="Arial" w:eastAsia="Arial" w:hAnsi="Arial"/>
                <w:sz w:val="16"/>
                <w:szCs w:val="16"/>
                <w:color w:val="auto"/>
              </w:rPr>
              <w:t>66.1%</w:t>
            </w:r>
          </w:p>
        </w:tc>
        <w:tc>
          <w:tcPr>
            <w:tcW w:w="12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880" w:type="dxa"/>
            <w:vAlign w:val="bottom"/>
          </w:tcPr>
          <w:p>
            <w:pPr>
              <w:jc w:val="right"/>
              <w:ind w:right="436"/>
              <w:spacing w:after="0"/>
              <w:rPr>
                <w:sz w:val="20"/>
                <w:szCs w:val="20"/>
                <w:color w:val="auto"/>
              </w:rPr>
            </w:pPr>
            <w:r>
              <w:rPr>
                <w:rFonts w:ascii="Arial" w:cs="Arial" w:eastAsia="Arial" w:hAnsi="Arial"/>
                <w:sz w:val="16"/>
                <w:szCs w:val="16"/>
                <w:color w:val="auto"/>
              </w:rPr>
              <w:t>3.45%</w:t>
            </w:r>
          </w:p>
        </w:tc>
        <w:tc>
          <w:tcPr>
            <w:tcW w:w="1640" w:type="dxa"/>
            <w:vAlign w:val="bottom"/>
          </w:tcPr>
          <w:p>
            <w:pPr>
              <w:jc w:val="right"/>
              <w:ind w:right="436"/>
              <w:spacing w:after="0"/>
              <w:rPr>
                <w:sz w:val="20"/>
                <w:szCs w:val="20"/>
                <w:color w:val="auto"/>
              </w:rPr>
            </w:pPr>
            <w:r>
              <w:rPr>
                <w:rFonts w:ascii="Arial" w:cs="Arial" w:eastAsia="Arial" w:hAnsi="Arial"/>
                <w:sz w:val="16"/>
                <w:szCs w:val="16"/>
                <w:color w:val="auto"/>
              </w:rPr>
              <w:t>4.59%</w:t>
            </w:r>
          </w:p>
        </w:tc>
        <w:tc>
          <w:tcPr>
            <w:tcW w:w="120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80" w:type="dxa"/>
            <w:vAlign w:val="bottom"/>
            <w:shd w:val="clear" w:color="auto" w:fill="DDDDDD"/>
          </w:tcPr>
          <w:p>
            <w:pPr>
              <w:spacing w:after="0"/>
              <w:rPr>
                <w:sz w:val="20"/>
                <w:szCs w:val="20"/>
                <w:color w:val="auto"/>
              </w:rPr>
            </w:pPr>
            <w:r>
              <w:rPr>
                <w:rFonts w:ascii="Arial" w:cs="Arial" w:eastAsia="Arial" w:hAnsi="Arial"/>
                <w:sz w:val="16"/>
                <w:szCs w:val="16"/>
                <w:color w:val="auto"/>
              </w:rPr>
              <w:t>Expected life of options</w:t>
            </w:r>
          </w:p>
        </w:tc>
        <w:tc>
          <w:tcPr>
            <w:tcW w:w="3880" w:type="dxa"/>
            <w:vAlign w:val="bottom"/>
            <w:shd w:val="clear" w:color="auto" w:fill="DDDDDD"/>
          </w:tcPr>
          <w:p>
            <w:pPr>
              <w:jc w:val="right"/>
              <w:ind w:right="576"/>
              <w:spacing w:after="0"/>
              <w:rPr>
                <w:sz w:val="20"/>
                <w:szCs w:val="20"/>
                <w:color w:val="auto"/>
              </w:rPr>
            </w:pPr>
            <w:r>
              <w:rPr>
                <w:rFonts w:ascii="Arial" w:cs="Arial" w:eastAsia="Arial" w:hAnsi="Arial"/>
                <w:sz w:val="16"/>
                <w:szCs w:val="16"/>
                <w:color w:val="auto"/>
              </w:rPr>
              <w:t>5 years</w:t>
            </w:r>
          </w:p>
        </w:tc>
        <w:tc>
          <w:tcPr>
            <w:tcW w:w="1640" w:type="dxa"/>
            <w:vAlign w:val="bottom"/>
            <w:shd w:val="clear" w:color="auto" w:fill="DDDDDD"/>
          </w:tcPr>
          <w:p>
            <w:pPr>
              <w:jc w:val="right"/>
              <w:ind w:right="576"/>
              <w:spacing w:after="0"/>
              <w:rPr>
                <w:sz w:val="20"/>
                <w:szCs w:val="20"/>
                <w:color w:val="auto"/>
              </w:rPr>
            </w:pPr>
            <w:r>
              <w:rPr>
                <w:rFonts w:ascii="Arial" w:cs="Arial" w:eastAsia="Arial" w:hAnsi="Arial"/>
                <w:sz w:val="16"/>
                <w:szCs w:val="16"/>
                <w:color w:val="auto"/>
              </w:rPr>
              <w:t>5 years</w:t>
            </w:r>
          </w:p>
        </w:tc>
        <w:tc>
          <w:tcPr>
            <w:tcW w:w="1200" w:type="dxa"/>
            <w:vAlign w:val="bottom"/>
            <w:shd w:val="clear" w:color="auto" w:fill="DDDDDD"/>
          </w:tcPr>
          <w:p>
            <w:pPr>
              <w:jc w:val="right"/>
              <w:ind w:right="136"/>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2" w:right="680"/>
        <w:spacing w:after="0" w:line="283" w:lineRule="auto"/>
        <w:rPr>
          <w:sz w:val="20"/>
          <w:szCs w:val="20"/>
          <w:color w:val="auto"/>
        </w:rPr>
      </w:pPr>
      <w:r>
        <w:rPr>
          <w:rFonts w:ascii="Arial" w:cs="Arial" w:eastAsia="Arial" w:hAnsi="Arial"/>
          <w:sz w:val="16"/>
          <w:szCs w:val="16"/>
          <w:color w:val="auto"/>
        </w:rPr>
        <w:t>The weighted average fair value of options granted during fiscal 2003, 2002 and 2001 was $18.00, $25.24 and $15.59 per share, respectively. For purposes of pro forma disclosure, the estimated fair value of the options is amortized over the options’ vesting periods.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left="2" w:right="180"/>
        <w:spacing w:after="0" w:line="346" w:lineRule="auto"/>
        <w:rPr>
          <w:sz w:val="20"/>
          <w:szCs w:val="20"/>
          <w:color w:val="auto"/>
        </w:rPr>
      </w:pPr>
      <w:r>
        <w:rPr>
          <w:rFonts w:ascii="Arial" w:cs="Arial" w:eastAsia="Arial" w:hAnsi="Arial"/>
          <w:sz w:val="14"/>
          <w:szCs w:val="14"/>
          <w:color w:val="auto"/>
        </w:rPr>
        <w:t>In June 2001, the Financial Accounting Standards Board (“FASB”) issued SFAS No. 143, “Accounting for Asset Retirement Obligations.” This statement addresses financial accounting and reporting for obligations associated with the retirement of tangible long-lived assets and the associated asset retirement costs. The Company is required to adopt</w:t>
      </w:r>
    </w:p>
    <w:p>
      <w:pPr>
        <w:sectPr>
          <w:pgSz w:w="11900" w:h="16922" w:orient="portrait"/>
          <w:cols w:equalWidth="0" w:num="1">
            <w:col w:w="11442"/>
          </w:cols>
          <w:pgMar w:left="238" w:top="131" w:right="219" w:bottom="0" w:gutter="0" w:footer="0" w:header="0"/>
        </w:sectPr>
      </w:pPr>
    </w:p>
    <w:bookmarkStart w:id="24" w:name="page25"/>
    <w:bookmarkEnd w:id="24"/>
    <w:p>
      <w:pPr>
        <w:spacing w:after="0" w:line="2" w:lineRule="exact"/>
        <w:rPr>
          <w:sz w:val="20"/>
          <w:szCs w:val="20"/>
          <w:color w:val="auto"/>
        </w:rPr>
      </w:pPr>
    </w:p>
    <w:p>
      <w:pPr>
        <w:ind w:left="2" w:right="120"/>
        <w:spacing w:after="0" w:line="283" w:lineRule="auto"/>
        <w:rPr>
          <w:sz w:val="20"/>
          <w:szCs w:val="20"/>
          <w:color w:val="auto"/>
        </w:rPr>
      </w:pPr>
      <w:r>
        <w:rPr>
          <w:rFonts w:ascii="Arial" w:cs="Arial" w:eastAsia="Arial" w:hAnsi="Arial"/>
          <w:sz w:val="16"/>
          <w:szCs w:val="16"/>
          <w:color w:val="auto"/>
        </w:rPr>
        <w:t>this statement by the first quarter of fiscal 2004. The Company does not expect that the adoption of SFAS No. 143 will have a material impact on its financial position, results of operations or cash flows.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January 2003, the FASB issued FASB Interpretation No. 46, “Consolidation of Variable Interest Entities”</w:t>
      </w:r>
    </w:p>
    <w:p>
      <w:pPr>
        <w:spacing w:after="0" w:line="21" w:lineRule="exact"/>
        <w:rPr>
          <w:sz w:val="20"/>
          <w:szCs w:val="20"/>
          <w:color w:val="auto"/>
        </w:rPr>
      </w:pPr>
    </w:p>
    <w:p>
      <w:pPr>
        <w:ind w:left="2" w:right="180"/>
        <w:spacing w:after="0" w:line="262" w:lineRule="auto"/>
        <w:rPr>
          <w:sz w:val="20"/>
          <w:szCs w:val="20"/>
          <w:color w:val="auto"/>
        </w:rPr>
      </w:pPr>
      <w:r>
        <w:rPr>
          <w:rFonts w:ascii="Arial" w:cs="Arial" w:eastAsia="Arial" w:hAnsi="Arial"/>
          <w:sz w:val="16"/>
          <w:szCs w:val="16"/>
          <w:color w:val="auto"/>
        </w:rPr>
        <w:t>(“FIN 46”), which requires variable interest entities to be consolidated by the primary beneficiary of the entity if certain criteria are met. FIN 46 is effective for all new variable interest entities created after January 31, 2003. For variable interest entities created or acquired before February 1, 2003, the provisions of FIN 46 become effective for the Company on September 1, 2003. The Company does not expect that the adoption of FIN 46 will have a material impact on its financial position, results of operations or cash flows.</w:t>
      </w:r>
    </w:p>
    <w:p>
      <w:pPr>
        <w:spacing w:after="0" w:line="173" w:lineRule="exact"/>
        <w:rPr>
          <w:sz w:val="20"/>
          <w:szCs w:val="20"/>
          <w:color w:val="auto"/>
        </w:rPr>
      </w:pPr>
    </w:p>
    <w:p>
      <w:pPr>
        <w:ind w:left="2" w:right="80"/>
        <w:spacing w:after="0" w:line="262"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including certain derivative instruments embedded in other contracts (collectively referred to as derivatives) and for hedging activities under SFAS No. 133, “Accounting for Derivative Instruments and Hedging Activities.” Except as noted below, the Company is required to adopt this statement by the first quarter of fiscal 2004. Certain provisions of this statement relating to SFAS No. 133 implementation issues that have been effective for prior fiscal quarters will continue to be applied in accordance with their respective effective dates. The Company does not expect that the adoption of SFAS No. 149 will have a material impact on its financial position, results of operations or cash flows.</w:t>
      </w:r>
    </w:p>
    <w:p>
      <w:pPr>
        <w:spacing w:after="0" w:line="173" w:lineRule="exact"/>
        <w:rPr>
          <w:sz w:val="20"/>
          <w:szCs w:val="20"/>
          <w:color w:val="auto"/>
        </w:rPr>
      </w:pPr>
    </w:p>
    <w:p>
      <w:pPr>
        <w:jc w:val="both"/>
        <w:ind w:left="2" w:right="320"/>
        <w:spacing w:after="0" w:line="270"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 150 establishes standards for classification and measurement of certain financial instruments with characteristics of both liabilities and equity. SFAS No. 150 is effective for the Company on September 1,</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
        <w:spacing w:after="0"/>
        <w:rPr>
          <w:sz w:val="20"/>
          <w:szCs w:val="20"/>
          <w:color w:val="auto"/>
        </w:rPr>
      </w:pPr>
      <w:r>
        <w:rPr>
          <w:rFonts w:ascii="Arial" w:cs="Arial" w:eastAsia="Arial" w:hAnsi="Arial"/>
          <w:sz w:val="15"/>
          <w:szCs w:val="15"/>
          <w:color w:val="auto"/>
        </w:rPr>
        <w:t>2003. The Company does not expect that the adoption of SFAS No. 150 will have a material impact on the Company’s financial position, results of operations or cash flows.</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2. SEGMENT INFORMATION</w:t>
      </w:r>
    </w:p>
    <w:p>
      <w:pPr>
        <w:spacing w:after="0" w:line="22" w:lineRule="exact"/>
        <w:rPr>
          <w:sz w:val="20"/>
          <w:szCs w:val="20"/>
          <w:color w:val="auto"/>
        </w:rPr>
      </w:pPr>
    </w:p>
    <w:p>
      <w:pPr>
        <w:ind w:left="2"/>
        <w:spacing w:after="0" w:line="261" w:lineRule="auto"/>
        <w:rPr>
          <w:sz w:val="20"/>
          <w:szCs w:val="20"/>
          <w:color w:val="auto"/>
        </w:rPr>
      </w:pPr>
      <w:r>
        <w:rPr>
          <w:rFonts w:ascii="Arial" w:cs="Arial" w:eastAsia="Arial" w:hAnsi="Arial"/>
          <w:sz w:val="16"/>
          <w:szCs w:val="16"/>
          <w:color w:val="auto"/>
        </w:rPr>
        <w:t xml:space="preserve">The Company categorizes its businesses into four operating segments: </w:t>
      </w:r>
      <w:r>
        <w:rPr>
          <w:rFonts w:ascii="Arial" w:cs="Arial" w:eastAsia="Arial" w:hAnsi="Arial"/>
          <w:sz w:val="16"/>
          <w:szCs w:val="16"/>
          <w:i w:val="1"/>
          <w:iCs w:val="1"/>
          <w:color w:val="auto"/>
        </w:rPr>
        <w:t>Children’s Book Publishing and Distribution; Educational Publishing; Media, Licensing and Advertising</w:t>
      </w:r>
      <w:r>
        <w:rPr>
          <w:rFonts w:ascii="Arial" w:cs="Arial" w:eastAsia="Arial" w:hAnsi="Arial"/>
          <w:sz w:val="16"/>
          <w:szCs w:val="16"/>
          <w:color w:val="auto"/>
        </w:rPr>
        <w:t xml:space="preserve"> (which collectively represent the Company’s domestic operations); and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This classification reflects the nature of products and services consistent with the method by which the Company’s chief operating decision-maker assesses operating performance and allocates resources.</w:t>
      </w:r>
    </w:p>
    <w:p>
      <w:pPr>
        <w:spacing w:after="0" w:line="173" w:lineRule="exact"/>
        <w:rPr>
          <w:sz w:val="20"/>
          <w:szCs w:val="20"/>
          <w:color w:val="auto"/>
        </w:rPr>
      </w:pPr>
    </w:p>
    <w:p>
      <w:pPr>
        <w:ind w:left="2" w:right="140"/>
        <w:spacing w:after="0" w:line="270" w:lineRule="auto"/>
        <w:rPr>
          <w:sz w:val="20"/>
          <w:szCs w:val="20"/>
          <w:color w:val="auto"/>
        </w:rPr>
      </w:pPr>
      <w:r>
        <w:rPr>
          <w:rFonts w:ascii="Arial" w:cs="Arial" w:eastAsia="Arial" w:hAnsi="Arial"/>
          <w:sz w:val="16"/>
          <w:szCs w:val="16"/>
          <w:color w:val="auto"/>
        </w:rPr>
        <w:t xml:space="preserve">Certain revenues and expenses related to the Company’s Internet activities have been reallocated to reflect the transition from a developing platform previously included in the </w:t>
      </w:r>
      <w:r>
        <w:rPr>
          <w:rFonts w:ascii="Arial" w:cs="Arial" w:eastAsia="Arial" w:hAnsi="Arial"/>
          <w:sz w:val="16"/>
          <w:szCs w:val="16"/>
          <w:i w:val="1"/>
          <w:iCs w:val="1"/>
          <w:color w:val="auto"/>
        </w:rPr>
        <w:t xml:space="preserve">Media, Licensing and Advertising </w:t>
      </w:r>
      <w:r>
        <w:rPr>
          <w:rFonts w:ascii="Arial" w:cs="Arial" w:eastAsia="Arial" w:hAnsi="Arial"/>
          <w:sz w:val="16"/>
          <w:szCs w:val="16"/>
          <w:color w:val="auto"/>
        </w:rPr>
        <w:t>segment to operational systems included in the</w:t>
      </w:r>
      <w:r>
        <w:rPr>
          <w:rFonts w:ascii="Arial" w:cs="Arial" w:eastAsia="Arial" w:hAnsi="Arial"/>
          <w:sz w:val="16"/>
          <w:szCs w:val="16"/>
          <w:i w:val="1"/>
          <w:iCs w:val="1"/>
          <w:color w:val="auto"/>
        </w:rPr>
        <w:t xml:space="preserve"> Children’s Book Publishing and Distribution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Educational Publishing </w:t>
      </w:r>
      <w:r>
        <w:rPr>
          <w:rFonts w:ascii="Arial" w:cs="Arial" w:eastAsia="Arial" w:hAnsi="Arial"/>
          <w:sz w:val="16"/>
          <w:szCs w:val="16"/>
          <w:color w:val="auto"/>
        </w:rPr>
        <w:t>segments.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results have been restated to reflect this reclassification.</w:t>
      </w:r>
    </w:p>
    <w:p>
      <w:pPr>
        <w:spacing w:after="0" w:line="163" w:lineRule="exact"/>
        <w:rPr>
          <w:sz w:val="20"/>
          <w:szCs w:val="20"/>
          <w:color w:val="auto"/>
        </w:rPr>
      </w:pPr>
    </w:p>
    <w:p>
      <w:pPr>
        <w:ind w:left="262" w:right="140" w:hanging="262"/>
        <w:spacing w:after="0" w:line="264" w:lineRule="auto"/>
        <w:tabs>
          <w:tab w:leader="none" w:pos="26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Children’s Book Publishing and Distribution </w:t>
      </w:r>
      <w:r>
        <w:rPr>
          <w:rFonts w:ascii="Arial" w:cs="Arial" w:eastAsia="Arial" w:hAnsi="Arial"/>
          <w:sz w:val="16"/>
          <w:szCs w:val="16"/>
          <w:color w:val="auto"/>
        </w:rPr>
        <w:t>includes the publication and distribution of children’s books in the United States through school-based book clubs and book</w:t>
      </w:r>
      <w:r>
        <w:rPr>
          <w:rFonts w:ascii="Arial" w:cs="Arial" w:eastAsia="Arial" w:hAnsi="Arial"/>
          <w:sz w:val="16"/>
          <w:szCs w:val="16"/>
          <w:b w:val="1"/>
          <w:bCs w:val="1"/>
          <w:color w:val="auto"/>
        </w:rPr>
        <w:t xml:space="preserve"> </w:t>
      </w:r>
      <w:r>
        <w:rPr>
          <w:rFonts w:ascii="Arial" w:cs="Arial" w:eastAsia="Arial" w:hAnsi="Arial"/>
          <w:sz w:val="16"/>
          <w:szCs w:val="16"/>
          <w:color w:val="auto"/>
        </w:rPr>
        <w:t>fairs, school-based and direct-to-home continuity programs and the trade channel.</w:t>
      </w:r>
    </w:p>
    <w:p>
      <w:pPr>
        <w:ind w:left="262" w:right="140" w:hanging="262"/>
        <w:spacing w:after="0" w:line="256" w:lineRule="auto"/>
        <w:tabs>
          <w:tab w:leader="none" w:pos="26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Educational Publishing </w:t>
      </w:r>
      <w:r>
        <w:rPr>
          <w:rFonts w:ascii="Arial" w:cs="Arial" w:eastAsia="Arial" w:hAnsi="Arial"/>
          <w:sz w:val="16"/>
          <w:szCs w:val="16"/>
          <w:color w:val="auto"/>
        </w:rPr>
        <w:t>includes the publication and distribution to schools and libraries of curriculum materials, classroom magazines and print and on-line reference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non-fiction products for grades pre-kindergarten to 12 in the United States.</w:t>
      </w:r>
    </w:p>
    <w:p>
      <w:pPr>
        <w:spacing w:after="0" w:line="1" w:lineRule="exact"/>
        <w:rPr>
          <w:rFonts w:ascii="Arial" w:cs="Arial" w:eastAsia="Arial" w:hAnsi="Arial"/>
          <w:sz w:val="16"/>
          <w:szCs w:val="16"/>
          <w:b w:val="1"/>
          <w:bCs w:val="1"/>
          <w:color w:val="auto"/>
        </w:rPr>
      </w:pPr>
    </w:p>
    <w:p>
      <w:pPr>
        <w:ind w:left="262" w:right="120" w:hanging="262"/>
        <w:spacing w:after="0" w:line="256" w:lineRule="auto"/>
        <w:tabs>
          <w:tab w:leader="none" w:pos="26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Media, Licensing and Advertising </w:t>
      </w:r>
      <w:r>
        <w:rPr>
          <w:rFonts w:ascii="Arial" w:cs="Arial" w:eastAsia="Arial" w:hAnsi="Arial"/>
          <w:sz w:val="16"/>
          <w:szCs w:val="16"/>
          <w:color w:val="auto"/>
        </w:rPr>
        <w:t>includes the production and/or distribution of software in the United States, the production and/or distribution by and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subsidiary, Scholastic Entertainment Inc., of programming and consumer products (including children’s television programming, videos, software, feature films, promotional activities and non-book merchandise), and advertising revenue, including sponsorship programs.</w:t>
      </w:r>
    </w:p>
    <w:p>
      <w:pPr>
        <w:spacing w:after="0" w:line="1" w:lineRule="exact"/>
        <w:rPr>
          <w:rFonts w:ascii="Arial" w:cs="Arial" w:eastAsia="Arial" w:hAnsi="Arial"/>
          <w:sz w:val="16"/>
          <w:szCs w:val="16"/>
          <w:b w:val="1"/>
          <w:bCs w:val="1"/>
          <w:color w:val="auto"/>
        </w:rPr>
      </w:pPr>
    </w:p>
    <w:p>
      <w:pPr>
        <w:ind w:left="262" w:right="420" w:hanging="262"/>
        <w:spacing w:after="0" w:line="273" w:lineRule="auto"/>
        <w:tabs>
          <w:tab w:leader="none" w:pos="26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International </w:t>
      </w:r>
      <w:r>
        <w:rPr>
          <w:rFonts w:ascii="Arial" w:cs="Arial" w:eastAsia="Arial" w:hAnsi="Arial"/>
          <w:sz w:val="16"/>
          <w:szCs w:val="16"/>
          <w:color w:val="auto"/>
        </w:rPr>
        <w:t>includes the publication and distribution of products and services outside the United States by the Company’s international operations, and its export and</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rights businesses.</w:t>
      </w:r>
    </w:p>
    <w:p>
      <w:pPr>
        <w:spacing w:after="0" w:line="3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
        <w:spacing w:after="0" w:line="283" w:lineRule="auto"/>
        <w:rPr>
          <w:sz w:val="20"/>
          <w:szCs w:val="20"/>
          <w:color w:val="auto"/>
        </w:rPr>
      </w:pPr>
      <w:r>
        <w:rPr>
          <w:rFonts w:ascii="Arial" w:cs="Arial" w:eastAsia="Arial" w:hAnsi="Arial"/>
          <w:sz w:val="16"/>
          <w:szCs w:val="16"/>
          <w:color w:val="auto"/>
        </w:rPr>
        <w:t>The following table sets forth information for the three fiscal years ended May 31 for the Company’s segments. Certain prior year amounts have been reclassified to conform with the present year presentation.</w:t>
      </w:r>
    </w:p>
    <w:p>
      <w:pPr>
        <w:spacing w:after="0" w:line="157" w:lineRule="exact"/>
        <w:rPr>
          <w:sz w:val="20"/>
          <w:szCs w:val="20"/>
          <w:color w:val="auto"/>
        </w:rPr>
      </w:pPr>
    </w:p>
    <w:tbl>
      <w:tblPr>
        <w:tblLayout w:type="fixed"/>
        <w:tblInd w:w="3522" w:type="dxa"/>
        <w:tblCellMar>
          <w:top w:w="0" w:type="dxa"/>
          <w:left w:w="0" w:type="dxa"/>
          <w:bottom w:w="0" w:type="dxa"/>
          <w:right w:w="0" w:type="dxa"/>
        </w:tblCellMar>
      </w:tblPr>
      <w:tr>
        <w:trPr>
          <w:trHeight w:val="205"/>
        </w:trPr>
        <w:tc>
          <w:tcPr>
            <w:tcW w:w="960" w:type="dxa"/>
            <w:vAlign w:val="bottom"/>
          </w:tcPr>
          <w:p>
            <w:pPr>
              <w:jc w:val="right"/>
              <w:ind w:right="100"/>
              <w:spacing w:after="0"/>
              <w:rPr>
                <w:sz w:val="20"/>
                <w:szCs w:val="20"/>
                <w:color w:val="auto"/>
              </w:rPr>
            </w:pPr>
            <w:r>
              <w:rPr>
                <w:rFonts w:ascii="Arial" w:cs="Arial" w:eastAsia="Arial" w:hAnsi="Arial"/>
                <w:sz w:val="16"/>
                <w:szCs w:val="16"/>
                <w:color w:val="auto"/>
              </w:rPr>
              <w:t>Children’s</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1"/>
        </w:trPr>
        <w:tc>
          <w:tcPr>
            <w:tcW w:w="960" w:type="dxa"/>
            <w:vAlign w:val="bottom"/>
          </w:tcPr>
          <w:p>
            <w:pPr>
              <w:jc w:val="right"/>
              <w:ind w:right="100"/>
              <w:spacing w:after="0"/>
              <w:rPr>
                <w:sz w:val="20"/>
                <w:szCs w:val="20"/>
                <w:color w:val="auto"/>
              </w:rPr>
            </w:pPr>
            <w:r>
              <w:rPr>
                <w:rFonts w:ascii="Arial" w:cs="Arial" w:eastAsia="Arial" w:hAnsi="Arial"/>
                <w:sz w:val="16"/>
                <w:szCs w:val="16"/>
                <w:color w:val="auto"/>
              </w:rPr>
              <w:t>Book</w:t>
            </w:r>
          </w:p>
        </w:tc>
        <w:tc>
          <w:tcPr>
            <w:tcW w:w="1200" w:type="dxa"/>
            <w:vAlign w:val="bottom"/>
          </w:tcPr>
          <w:p>
            <w:pPr>
              <w:spacing w:after="0"/>
              <w:rPr>
                <w:sz w:val="19"/>
                <w:szCs w:val="19"/>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Media,</w:t>
            </w: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1"/>
        </w:trPr>
        <w:tc>
          <w:tcPr>
            <w:tcW w:w="960" w:type="dxa"/>
            <w:vAlign w:val="bottom"/>
          </w:tcPr>
          <w:p>
            <w:pPr>
              <w:jc w:val="right"/>
              <w:ind w:right="100"/>
              <w:spacing w:after="0"/>
              <w:rPr>
                <w:sz w:val="20"/>
                <w:szCs w:val="20"/>
                <w:color w:val="auto"/>
              </w:rPr>
            </w:pPr>
            <w:r>
              <w:rPr>
                <w:rFonts w:ascii="Arial" w:cs="Arial" w:eastAsia="Arial" w:hAnsi="Arial"/>
                <w:sz w:val="16"/>
                <w:szCs w:val="16"/>
                <w:color w:val="auto"/>
              </w:rPr>
              <w:t>Publishing</w:t>
            </w:r>
          </w:p>
        </w:tc>
        <w:tc>
          <w:tcPr>
            <w:tcW w:w="1200" w:type="dxa"/>
            <w:vAlign w:val="bottom"/>
          </w:tcPr>
          <w:p>
            <w:pPr>
              <w:spacing w:after="0"/>
              <w:rPr>
                <w:sz w:val="19"/>
                <w:szCs w:val="19"/>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Licensing</w:t>
            </w: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1"/>
        </w:trPr>
        <w:tc>
          <w:tcPr>
            <w:tcW w:w="960" w:type="dxa"/>
            <w:vAlign w:val="bottom"/>
          </w:tcPr>
          <w:p>
            <w:pPr>
              <w:jc w:val="right"/>
              <w:ind w:right="100"/>
              <w:spacing w:after="0"/>
              <w:rPr>
                <w:sz w:val="20"/>
                <w:szCs w:val="20"/>
                <w:color w:val="auto"/>
              </w:rPr>
            </w:pPr>
            <w:r>
              <w:rPr>
                <w:rFonts w:ascii="Arial" w:cs="Arial" w:eastAsia="Arial" w:hAnsi="Arial"/>
                <w:sz w:val="16"/>
                <w:szCs w:val="16"/>
                <w:color w:val="auto"/>
              </w:rPr>
              <w:t>and</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Educational</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and</w:t>
            </w:r>
          </w:p>
        </w:tc>
        <w:tc>
          <w:tcPr>
            <w:tcW w:w="1100" w:type="dxa"/>
            <w:vAlign w:val="bottom"/>
          </w:tcPr>
          <w:p>
            <w:pPr>
              <w:spacing w:after="0"/>
              <w:rPr>
                <w:sz w:val="19"/>
                <w:szCs w:val="19"/>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67"/>
        </w:trPr>
        <w:tc>
          <w:tcPr>
            <w:tcW w:w="960" w:type="dxa"/>
            <w:vAlign w:val="bottom"/>
          </w:tcPr>
          <w:p>
            <w:pPr>
              <w:jc w:val="right"/>
              <w:ind w:right="100"/>
              <w:spacing w:after="0"/>
              <w:rPr>
                <w:sz w:val="20"/>
                <w:szCs w:val="20"/>
                <w:color w:val="auto"/>
              </w:rPr>
            </w:pPr>
            <w:r>
              <w:rPr>
                <w:rFonts w:ascii="Arial" w:cs="Arial" w:eastAsia="Arial" w:hAnsi="Arial"/>
                <w:sz w:val="16"/>
                <w:szCs w:val="16"/>
                <w:color w:val="auto"/>
                <w:w w:val="94"/>
              </w:rPr>
              <w:t>Distribution</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Publishing</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Advertising</w:t>
            </w:r>
          </w:p>
        </w:tc>
        <w:tc>
          <w:tcPr>
            <w:tcW w:w="1100" w:type="dxa"/>
            <w:vAlign w:val="bottom"/>
          </w:tcPr>
          <w:p>
            <w:pPr>
              <w:ind w:left="180"/>
              <w:spacing w:after="0"/>
              <w:rPr>
                <w:sz w:val="20"/>
                <w:szCs w:val="20"/>
                <w:color w:val="auto"/>
              </w:rPr>
            </w:pPr>
            <w:r>
              <w:rPr>
                <w:rFonts w:ascii="Arial" w:cs="Arial" w:eastAsia="Arial" w:hAnsi="Arial"/>
                <w:sz w:val="16"/>
                <w:szCs w:val="16"/>
                <w:color w:val="auto"/>
                <w:w w:val="98"/>
              </w:rPr>
              <w:t>Overhead</w:t>
            </w:r>
            <w:r>
              <w:rPr>
                <w:rFonts w:ascii="Arial" w:cs="Arial" w:eastAsia="Arial" w:hAnsi="Arial"/>
                <w:sz w:val="26"/>
                <w:szCs w:val="26"/>
                <w:color w:val="auto"/>
                <w:w w:val="98"/>
                <w:vertAlign w:val="superscript"/>
              </w:rPr>
              <w:t>(1)</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Domestic</w:t>
            </w:r>
          </w:p>
        </w:tc>
        <w:tc>
          <w:tcPr>
            <w:tcW w:w="1220" w:type="dxa"/>
            <w:vAlign w:val="bottom"/>
          </w:tcPr>
          <w:p>
            <w:pPr>
              <w:ind w:left="200"/>
              <w:spacing w:after="0"/>
              <w:rPr>
                <w:sz w:val="20"/>
                <w:szCs w:val="20"/>
                <w:color w:val="auto"/>
              </w:rPr>
            </w:pPr>
            <w:r>
              <w:rPr>
                <w:rFonts w:ascii="Arial" w:cs="Arial" w:eastAsia="Arial" w:hAnsi="Arial"/>
                <w:sz w:val="16"/>
                <w:szCs w:val="16"/>
                <w:color w:val="auto"/>
              </w:rPr>
              <w:t>International</w:t>
            </w:r>
          </w:p>
        </w:tc>
        <w:tc>
          <w:tcPr>
            <w:tcW w:w="1040" w:type="dxa"/>
            <w:vAlign w:val="bottom"/>
          </w:tcPr>
          <w:p>
            <w:pPr>
              <w:ind w:left="200"/>
              <w:spacing w:after="0"/>
              <w:rPr>
                <w:sz w:val="20"/>
                <w:szCs w:val="20"/>
                <w:color w:val="auto"/>
              </w:rPr>
            </w:pPr>
            <w:r>
              <w:rPr>
                <w:rFonts w:ascii="Arial" w:cs="Arial" w:eastAsia="Arial" w:hAnsi="Arial"/>
                <w:sz w:val="16"/>
                <w:szCs w:val="16"/>
                <w:color w:val="auto"/>
                <w:w w:val="87"/>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5868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5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5868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41" w:orient="portrait"/>
          <w:cols w:equalWidth="0" w:num="1">
            <w:col w:w="11422"/>
          </w:cols>
          <w:pgMar w:left="238" w:top="131" w:right="239" w:bottom="0" w:gutter="0" w:footer="0" w:header="0"/>
        </w:sectPr>
      </w:pP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color w:val="auto"/>
        </w:rPr>
        <w:t>Revenues</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Bad debt</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Depreciation</w:t>
      </w:r>
    </w:p>
    <w:p>
      <w:pPr>
        <w:ind w:left="2"/>
        <w:spacing w:after="0" w:line="229" w:lineRule="auto"/>
        <w:rPr>
          <w:sz w:val="20"/>
          <w:szCs w:val="20"/>
          <w:color w:val="auto"/>
        </w:rPr>
      </w:pPr>
      <w:r>
        <w:rPr>
          <w:rFonts w:ascii="Arial" w:cs="Arial" w:eastAsia="Arial" w:hAnsi="Arial"/>
          <w:sz w:val="16"/>
          <w:szCs w:val="16"/>
          <w:color w:val="auto"/>
        </w:rPr>
        <w:t>Amortization</w:t>
      </w:r>
      <w:r>
        <w:rPr>
          <w:rFonts w:ascii="Arial" w:cs="Arial" w:eastAsia="Arial" w:hAnsi="Arial"/>
          <w:sz w:val="26"/>
          <w:szCs w:val="26"/>
          <w:color w:val="auto"/>
          <w:vertAlign w:val="superscript"/>
        </w:rPr>
        <w:t>(2)</w:t>
      </w:r>
    </w:p>
    <w:p>
      <w:pPr>
        <w:ind w:left="2"/>
        <w:spacing w:after="0"/>
        <w:rPr>
          <w:sz w:val="20"/>
          <w:szCs w:val="20"/>
          <w:color w:val="auto"/>
        </w:rPr>
      </w:pPr>
      <w:r>
        <w:rPr>
          <w:rFonts w:ascii="Arial" w:cs="Arial" w:eastAsia="Arial" w:hAnsi="Arial"/>
          <w:sz w:val="16"/>
          <w:szCs w:val="16"/>
          <w:color w:val="auto"/>
        </w:rPr>
        <w:t>Royalty advances expensed</w:t>
      </w:r>
    </w:p>
    <w:p>
      <w:pPr>
        <w:ind w:left="2"/>
        <w:spacing w:after="0" w:line="217" w:lineRule="auto"/>
        <w:rPr>
          <w:sz w:val="20"/>
          <w:szCs w:val="20"/>
          <w:color w:val="auto"/>
        </w:rPr>
      </w:pPr>
      <w:r>
        <w:rPr>
          <w:rFonts w:ascii="Arial" w:cs="Arial" w:eastAsia="Arial" w:hAnsi="Arial"/>
          <w:sz w:val="16"/>
          <w:szCs w:val="16"/>
          <w:color w:val="auto"/>
        </w:rPr>
        <w:t>Segment profit (loss)</w:t>
      </w:r>
      <w:r>
        <w:rPr>
          <w:rFonts w:ascii="Arial" w:cs="Arial" w:eastAsia="Arial" w:hAnsi="Arial"/>
          <w:sz w:val="26"/>
          <w:szCs w:val="26"/>
          <w:color w:val="auto"/>
          <w:vertAlign w:val="superscript"/>
        </w:rPr>
        <w:t>(3)</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Segment assets</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p>
    <w:p>
      <w:pPr>
        <w:ind w:left="2"/>
        <w:spacing w:after="0"/>
        <w:rPr>
          <w:sz w:val="20"/>
          <w:szCs w:val="20"/>
          <w:color w:val="auto"/>
        </w:rPr>
      </w:pPr>
      <w:r>
        <w:rPr>
          <w:rFonts w:ascii="Arial" w:cs="Arial" w:eastAsia="Arial" w:hAnsi="Arial"/>
          <w:sz w:val="14"/>
          <w:szCs w:val="14"/>
          <w:color w:val="auto"/>
        </w:rPr>
        <w:t>Expenditures for long-lived assets</w:t>
      </w:r>
      <w:r>
        <w:rPr>
          <w:rFonts w:ascii="Arial" w:cs="Arial" w:eastAsia="Arial" w:hAnsi="Arial"/>
          <w:sz w:val="23"/>
          <w:szCs w:val="23"/>
          <w:color w:val="auto"/>
          <w:vertAlign w:val="superscript"/>
        </w:rPr>
        <w:t>(4)</w:t>
      </w:r>
    </w:p>
    <w:p>
      <w:pPr>
        <w:ind w:left="2"/>
        <w:spacing w:after="0"/>
        <w:rPr>
          <w:sz w:val="20"/>
          <w:szCs w:val="20"/>
          <w:color w:val="auto"/>
        </w:rPr>
      </w:pPr>
      <w:r>
        <w:rPr>
          <w:rFonts w:ascii="Arial" w:cs="Arial" w:eastAsia="Arial" w:hAnsi="Arial"/>
          <w:sz w:val="16"/>
          <w:szCs w:val="16"/>
          <w:color w:val="auto"/>
        </w:rPr>
        <w:t>Long-lived assets</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Pr>
          <w:p>
            <w:pPr>
              <w:jc w:val="right"/>
              <w:ind w:right="240"/>
              <w:spacing w:after="0"/>
              <w:rPr>
                <w:sz w:val="20"/>
                <w:szCs w:val="20"/>
                <w:color w:val="auto"/>
              </w:rPr>
            </w:pPr>
            <w:r>
              <w:rPr>
                <w:rFonts w:ascii="Arial" w:cs="Arial" w:eastAsia="Arial" w:hAnsi="Arial"/>
                <w:sz w:val="16"/>
                <w:szCs w:val="16"/>
                <w:color w:val="auto"/>
                <w:w w:val="86"/>
              </w:rPr>
              <w:t>$ 1,189.9</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$ 325.9</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$ 123.5</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$ 0.0</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$ 1,639.3</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$ 319.0</w:t>
            </w:r>
          </w:p>
        </w:tc>
        <w:tc>
          <w:tcPr>
            <w:tcW w:w="920" w:type="dxa"/>
            <w:vAlign w:val="bottom"/>
          </w:tcPr>
          <w:p>
            <w:pPr>
              <w:jc w:val="right"/>
              <w:spacing w:after="0"/>
              <w:rPr>
                <w:sz w:val="20"/>
                <w:szCs w:val="20"/>
                <w:color w:val="auto"/>
              </w:rPr>
            </w:pPr>
            <w:r>
              <w:rPr>
                <w:rFonts w:ascii="Arial" w:cs="Arial" w:eastAsia="Arial" w:hAnsi="Arial"/>
                <w:sz w:val="16"/>
                <w:szCs w:val="16"/>
                <w:color w:val="auto"/>
              </w:rPr>
              <w:t>$ 1,958.3</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64.1</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0.8</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1.0</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65.9</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6.4</w:t>
            </w:r>
          </w:p>
        </w:tc>
        <w:tc>
          <w:tcPr>
            <w:tcW w:w="92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10.1</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3.9</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3.1</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25.3</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42.4</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3.2</w:t>
            </w:r>
          </w:p>
        </w:tc>
        <w:tc>
          <w:tcPr>
            <w:tcW w:w="92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16.9</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27.8</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16.3</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61.0</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0.5</w:t>
            </w:r>
          </w:p>
        </w:tc>
        <w:tc>
          <w:tcPr>
            <w:tcW w:w="92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34"/>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25.8</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2.5</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0.9</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29.2</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2.4</w:t>
            </w:r>
          </w:p>
        </w:tc>
        <w:tc>
          <w:tcPr>
            <w:tcW w:w="9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137.1</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41.7</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(5.4)</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(74.1)</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99.3</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19.4</w:t>
            </w:r>
          </w:p>
        </w:tc>
        <w:tc>
          <w:tcPr>
            <w:tcW w:w="92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34"/>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745.6</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300.2</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66.3</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416.6</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1,528.7</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272.3</w:t>
            </w:r>
          </w:p>
        </w:tc>
        <w:tc>
          <w:tcPr>
            <w:tcW w:w="920" w:type="dxa"/>
            <w:vAlign w:val="bottom"/>
          </w:tcPr>
          <w:p>
            <w:pPr>
              <w:jc w:val="right"/>
              <w:spacing w:after="0"/>
              <w:rPr>
                <w:sz w:val="20"/>
                <w:szCs w:val="20"/>
                <w:color w:val="auto"/>
              </w:rPr>
            </w:pPr>
            <w:r>
              <w:rPr>
                <w:rFonts w:ascii="Arial" w:cs="Arial" w:eastAsia="Arial" w:hAnsi="Arial"/>
                <w:sz w:val="16"/>
                <w:szCs w:val="16"/>
                <w:color w:val="auto"/>
              </w:rPr>
              <w:t>1,801.0</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126.3</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82.3</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10.2</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218.8</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27.2</w:t>
            </w:r>
          </w:p>
        </w:tc>
        <w:tc>
          <w:tcPr>
            <w:tcW w:w="920" w:type="dxa"/>
            <w:vAlign w:val="bottom"/>
          </w:tcPr>
          <w:p>
            <w:pPr>
              <w:jc w:val="right"/>
              <w:spacing w:after="0"/>
              <w:rPr>
                <w:sz w:val="20"/>
                <w:szCs w:val="20"/>
                <w:color w:val="auto"/>
              </w:rPr>
            </w:pPr>
            <w:r>
              <w:rPr>
                <w:rFonts w:ascii="Arial" w:cs="Arial" w:eastAsia="Arial" w:hAnsi="Arial"/>
                <w:sz w:val="16"/>
                <w:szCs w:val="16"/>
                <w:color w:val="auto"/>
              </w:rPr>
              <w:t>246.0</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73.5</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38.1</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24.9</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49.1</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185.6</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33.3</w:t>
            </w:r>
          </w:p>
        </w:tc>
        <w:tc>
          <w:tcPr>
            <w:tcW w:w="920" w:type="dxa"/>
            <w:vAlign w:val="bottom"/>
          </w:tcPr>
          <w:p>
            <w:pPr>
              <w:jc w:val="right"/>
              <w:spacing w:after="0"/>
              <w:rPr>
                <w:sz w:val="20"/>
                <w:szCs w:val="20"/>
                <w:color w:val="auto"/>
              </w:rPr>
            </w:pPr>
            <w:r>
              <w:rPr>
                <w:rFonts w:ascii="Arial" w:cs="Arial" w:eastAsia="Arial" w:hAnsi="Arial"/>
                <w:sz w:val="16"/>
                <w:szCs w:val="16"/>
                <w:color w:val="auto"/>
              </w:rPr>
              <w:t>218.9</w:t>
            </w:r>
          </w:p>
        </w:tc>
      </w:tr>
      <w:tr>
        <w:trPr>
          <w:trHeight w:val="234"/>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299.3</w:t>
            </w: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191.7</w:t>
            </w:r>
          </w:p>
        </w:tc>
        <w:tc>
          <w:tcPr>
            <w:tcW w:w="1280" w:type="dxa"/>
            <w:vAlign w:val="bottom"/>
          </w:tcPr>
          <w:p>
            <w:pPr>
              <w:jc w:val="right"/>
              <w:ind w:right="340"/>
              <w:spacing w:after="0"/>
              <w:rPr>
                <w:sz w:val="20"/>
                <w:szCs w:val="20"/>
                <w:color w:val="auto"/>
              </w:rPr>
            </w:pPr>
            <w:r>
              <w:rPr>
                <w:rFonts w:ascii="Arial" w:cs="Arial" w:eastAsia="Arial" w:hAnsi="Arial"/>
                <w:sz w:val="16"/>
                <w:szCs w:val="16"/>
                <w:color w:val="auto"/>
              </w:rPr>
              <w:t>39.9</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250.5</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781.4</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99.9</w:t>
            </w:r>
          </w:p>
        </w:tc>
        <w:tc>
          <w:tcPr>
            <w:tcW w:w="920" w:type="dxa"/>
            <w:vAlign w:val="bottom"/>
          </w:tcPr>
          <w:p>
            <w:pPr>
              <w:jc w:val="right"/>
              <w:spacing w:after="0"/>
              <w:rPr>
                <w:sz w:val="20"/>
                <w:szCs w:val="20"/>
                <w:color w:val="auto"/>
              </w:rPr>
            </w:pPr>
            <w:r>
              <w:rPr>
                <w:rFonts w:ascii="Arial" w:cs="Arial" w:eastAsia="Arial" w:hAnsi="Arial"/>
                <w:sz w:val="16"/>
                <w:szCs w:val="16"/>
                <w:color w:val="auto"/>
              </w:rPr>
              <w:t>881.3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-1271905</wp:posOffset>
            </wp:positionV>
            <wp:extent cx="7258685" cy="140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8685" cy="14033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-990600</wp:posOffset>
            </wp:positionV>
            <wp:extent cx="7258685" cy="148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8685" cy="148590"/>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-701675</wp:posOffset>
            </wp:positionV>
            <wp:extent cx="7258685" cy="148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8685" cy="148590"/>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-412750</wp:posOffset>
            </wp:positionV>
            <wp:extent cx="7258685" cy="140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8685" cy="14033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-123825</wp:posOffset>
            </wp:positionV>
            <wp:extent cx="7258685" cy="148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8685" cy="148590"/>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86995</wp:posOffset>
            </wp:positionV>
            <wp:extent cx="725868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2" w:lineRule="exact"/>
        <w:rPr>
          <w:sz w:val="20"/>
          <w:szCs w:val="20"/>
          <w:color w:val="auto"/>
        </w:rPr>
      </w:pPr>
    </w:p>
    <w:p>
      <w:pPr>
        <w:sectPr>
          <w:pgSz w:w="11900" w:h="16841" w:orient="portrait"/>
          <w:cols w:equalWidth="0" w:num="2">
            <w:col w:w="2982" w:space="720"/>
            <w:col w:w="7720"/>
          </w:cols>
          <w:pgMar w:left="238" w:top="131" w:right="239" w:bottom="0" w:gutter="0" w:footer="0" w:header="0"/>
          <w:type w:val="continuous"/>
        </w:sectPr>
      </w:pPr>
    </w:p>
    <w:p>
      <w:pPr>
        <w:ind w:left="2"/>
        <w:spacing w:after="0"/>
        <w:rPr>
          <w:sz w:val="20"/>
          <w:szCs w:val="20"/>
          <w:color w:val="auto"/>
        </w:rPr>
      </w:pPr>
      <w:r>
        <w:rPr>
          <w:rFonts w:ascii="Arial" w:cs="Arial" w:eastAsia="Arial" w:hAnsi="Arial"/>
          <w:sz w:val="20"/>
          <w:szCs w:val="20"/>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5868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2160" w:type="dxa"/>
            <w:vAlign w:val="bottom"/>
            <w:shd w:val="clear" w:color="auto" w:fill="DDDDDD"/>
          </w:tcPr>
          <w:p>
            <w:pPr>
              <w:spacing w:after="0"/>
              <w:rPr>
                <w:sz w:val="20"/>
                <w:szCs w:val="20"/>
                <w:color w:val="auto"/>
              </w:rPr>
            </w:pPr>
            <w:r>
              <w:rPr>
                <w:rFonts w:ascii="Arial" w:cs="Arial" w:eastAsia="Arial" w:hAnsi="Arial"/>
                <w:sz w:val="16"/>
                <w:szCs w:val="16"/>
                <w:color w:val="auto"/>
              </w:rPr>
              <w:t>Revenues</w:t>
            </w:r>
          </w:p>
        </w:tc>
        <w:tc>
          <w:tcPr>
            <w:tcW w:w="2460" w:type="dxa"/>
            <w:vAlign w:val="bottom"/>
            <w:shd w:val="clear" w:color="auto" w:fill="DDDDDD"/>
          </w:tcPr>
          <w:p>
            <w:pPr>
              <w:jc w:val="right"/>
              <w:ind w:right="240"/>
              <w:spacing w:after="0"/>
              <w:rPr>
                <w:sz w:val="20"/>
                <w:szCs w:val="20"/>
                <w:color w:val="auto"/>
              </w:rPr>
            </w:pPr>
            <w:r>
              <w:rPr>
                <w:rFonts w:ascii="Arial" w:cs="Arial" w:eastAsia="Arial" w:hAnsi="Arial"/>
                <w:sz w:val="16"/>
                <w:szCs w:val="16"/>
                <w:color w:val="auto"/>
              </w:rPr>
              <w:t>$ 1,168.6</w:t>
            </w:r>
          </w:p>
        </w:tc>
        <w:tc>
          <w:tcPr>
            <w:tcW w:w="120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$ 316.9</w:t>
            </w:r>
          </w:p>
        </w:tc>
        <w:tc>
          <w:tcPr>
            <w:tcW w:w="126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$ 129.8</w:t>
            </w:r>
          </w:p>
        </w:tc>
        <w:tc>
          <w:tcPr>
            <w:tcW w:w="880" w:type="dxa"/>
            <w:vAlign w:val="bottom"/>
            <w:shd w:val="clear" w:color="auto" w:fill="DDDDDD"/>
          </w:tcPr>
          <w:p>
            <w:pPr>
              <w:jc w:val="right"/>
              <w:ind w:right="60"/>
              <w:spacing w:after="0"/>
              <w:rPr>
                <w:sz w:val="20"/>
                <w:szCs w:val="20"/>
                <w:color w:val="auto"/>
              </w:rPr>
            </w:pPr>
            <w:r>
              <w:rPr>
                <w:rFonts w:ascii="Arial" w:cs="Arial" w:eastAsia="Arial" w:hAnsi="Arial"/>
                <w:sz w:val="16"/>
                <w:szCs w:val="16"/>
                <w:color w:val="auto"/>
              </w:rPr>
              <w:t>$ 0.0</w:t>
            </w:r>
          </w:p>
        </w:tc>
        <w:tc>
          <w:tcPr>
            <w:tcW w:w="1140" w:type="dxa"/>
            <w:vAlign w:val="bottom"/>
            <w:shd w:val="clear" w:color="auto" w:fill="DDDDDD"/>
          </w:tcPr>
          <w:p>
            <w:pPr>
              <w:jc w:val="right"/>
              <w:ind w:right="300"/>
              <w:spacing w:after="0"/>
              <w:rPr>
                <w:sz w:val="20"/>
                <w:szCs w:val="20"/>
                <w:color w:val="auto"/>
              </w:rPr>
            </w:pPr>
            <w:r>
              <w:rPr>
                <w:rFonts w:ascii="Arial" w:cs="Arial" w:eastAsia="Arial" w:hAnsi="Arial"/>
                <w:sz w:val="16"/>
                <w:szCs w:val="16"/>
                <w:color w:val="auto"/>
              </w:rPr>
              <w:t>$ 1,615.3</w:t>
            </w:r>
          </w:p>
        </w:tc>
        <w:tc>
          <w:tcPr>
            <w:tcW w:w="1180" w:type="dxa"/>
            <w:vAlign w:val="bottom"/>
            <w:shd w:val="clear" w:color="auto" w:fill="DDDDDD"/>
          </w:tcPr>
          <w:p>
            <w:pPr>
              <w:jc w:val="right"/>
              <w:ind w:right="240"/>
              <w:spacing w:after="0"/>
              <w:rPr>
                <w:sz w:val="20"/>
                <w:szCs w:val="20"/>
                <w:color w:val="auto"/>
              </w:rPr>
            </w:pPr>
            <w:r>
              <w:rPr>
                <w:rFonts w:ascii="Arial" w:cs="Arial" w:eastAsia="Arial" w:hAnsi="Arial"/>
                <w:sz w:val="16"/>
                <w:szCs w:val="16"/>
                <w:color w:val="auto"/>
              </w:rPr>
              <w:t>$ 301.7</w:t>
            </w:r>
          </w:p>
        </w:tc>
        <w:tc>
          <w:tcPr>
            <w:tcW w:w="114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$ 1,917.0</w:t>
            </w:r>
          </w:p>
        </w:tc>
      </w:tr>
    </w:tbl>
    <w:p>
      <w:pPr>
        <w:sectPr>
          <w:pgSz w:w="11900" w:h="16841" w:orient="portrait"/>
          <w:cols w:equalWidth="0" w:num="1">
            <w:col w:w="11422"/>
          </w:cols>
          <w:pgMar w:left="238" w:top="131" w:right="239" w:bottom="0" w:gutter="0" w:footer="0" w:header="0"/>
          <w:type w:val="continuous"/>
        </w:sectPr>
      </w:pPr>
    </w:p>
    <w:bookmarkStart w:id="25" w:name="page26"/>
    <w:bookmarkEnd w:id="25"/>
    <w:p>
      <w:pPr>
        <w:ind w:left="2"/>
        <w:spacing w:after="0"/>
        <w:rPr>
          <w:sz w:val="20"/>
          <w:szCs w:val="20"/>
          <w:color w:val="auto"/>
        </w:rPr>
      </w:pPr>
      <w:r>
        <w:rPr>
          <w:rFonts w:ascii="Arial" w:cs="Arial" w:eastAsia="Arial" w:hAnsi="Arial"/>
          <w:sz w:val="16"/>
          <w:szCs w:val="16"/>
          <w:color w:val="auto"/>
        </w:rPr>
        <w:t>Bad debt</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Depreciation</w:t>
      </w:r>
    </w:p>
    <w:p>
      <w:pPr>
        <w:ind w:left="2"/>
        <w:spacing w:after="0" w:line="229" w:lineRule="auto"/>
        <w:rPr>
          <w:sz w:val="20"/>
          <w:szCs w:val="20"/>
          <w:color w:val="auto"/>
        </w:rPr>
      </w:pPr>
      <w:r>
        <w:rPr>
          <w:rFonts w:ascii="Arial" w:cs="Arial" w:eastAsia="Arial" w:hAnsi="Arial"/>
          <w:sz w:val="16"/>
          <w:szCs w:val="16"/>
          <w:color w:val="auto"/>
        </w:rPr>
        <w:t>Amortization</w:t>
      </w:r>
      <w:r>
        <w:rPr>
          <w:rFonts w:ascii="Arial" w:cs="Arial" w:eastAsia="Arial" w:hAnsi="Arial"/>
          <w:sz w:val="26"/>
          <w:szCs w:val="26"/>
          <w:color w:val="auto"/>
          <w:vertAlign w:val="superscript"/>
        </w:rPr>
        <w:t>(2)</w:t>
      </w:r>
    </w:p>
    <w:p>
      <w:pPr>
        <w:ind w:left="2"/>
        <w:spacing w:after="0"/>
        <w:rPr>
          <w:sz w:val="20"/>
          <w:szCs w:val="20"/>
          <w:color w:val="auto"/>
        </w:rPr>
      </w:pPr>
      <w:r>
        <w:rPr>
          <w:rFonts w:ascii="Arial" w:cs="Arial" w:eastAsia="Arial" w:hAnsi="Arial"/>
          <w:sz w:val="16"/>
          <w:szCs w:val="16"/>
          <w:color w:val="auto"/>
        </w:rPr>
        <w:t>Royalty advances expensed</w:t>
      </w:r>
    </w:p>
    <w:p>
      <w:pPr>
        <w:ind w:left="2"/>
        <w:spacing w:after="0" w:line="217" w:lineRule="auto"/>
        <w:rPr>
          <w:sz w:val="20"/>
          <w:szCs w:val="20"/>
          <w:color w:val="auto"/>
        </w:rPr>
      </w:pPr>
      <w:r>
        <w:rPr>
          <w:rFonts w:ascii="Arial" w:cs="Arial" w:eastAsia="Arial" w:hAnsi="Arial"/>
          <w:sz w:val="16"/>
          <w:szCs w:val="16"/>
          <w:color w:val="auto"/>
        </w:rPr>
        <w:t>Segment profit (loss)</w:t>
      </w:r>
      <w:r>
        <w:rPr>
          <w:rFonts w:ascii="Arial" w:cs="Arial" w:eastAsia="Arial" w:hAnsi="Arial"/>
          <w:sz w:val="26"/>
          <w:szCs w:val="26"/>
          <w:color w:val="auto"/>
          <w:vertAlign w:val="superscript"/>
        </w:rPr>
        <w:t>(3)</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Segment assets</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p>
    <w:p>
      <w:pPr>
        <w:ind w:left="2"/>
        <w:spacing w:after="0"/>
        <w:rPr>
          <w:sz w:val="20"/>
          <w:szCs w:val="20"/>
          <w:color w:val="auto"/>
        </w:rPr>
      </w:pPr>
      <w:r>
        <w:rPr>
          <w:rFonts w:ascii="Arial" w:cs="Arial" w:eastAsia="Arial" w:hAnsi="Arial"/>
          <w:sz w:val="14"/>
          <w:szCs w:val="14"/>
          <w:color w:val="auto"/>
        </w:rPr>
        <w:t>Expenditures for long-lived assets</w:t>
      </w:r>
      <w:r>
        <w:rPr>
          <w:rFonts w:ascii="Arial" w:cs="Arial" w:eastAsia="Arial" w:hAnsi="Arial"/>
          <w:sz w:val="23"/>
          <w:szCs w:val="23"/>
          <w:color w:val="auto"/>
          <w:vertAlign w:val="superscript"/>
        </w:rPr>
        <w:t>(4)</w:t>
      </w:r>
    </w:p>
    <w:p>
      <w:pPr>
        <w:ind w:left="2"/>
        <w:spacing w:after="0"/>
        <w:rPr>
          <w:sz w:val="20"/>
          <w:szCs w:val="20"/>
          <w:color w:val="auto"/>
        </w:rPr>
      </w:pPr>
      <w:r>
        <w:rPr>
          <w:rFonts w:ascii="Arial" w:cs="Arial" w:eastAsia="Arial" w:hAnsi="Arial"/>
          <w:sz w:val="16"/>
          <w:szCs w:val="16"/>
          <w:color w:val="auto"/>
        </w:rPr>
        <w:t>Long-lived assets</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740" w:type="dxa"/>
            <w:vAlign w:val="bottom"/>
          </w:tcPr>
          <w:p>
            <w:pPr>
              <w:jc w:val="right"/>
              <w:ind w:right="300"/>
              <w:spacing w:after="0"/>
              <w:rPr>
                <w:sz w:val="20"/>
                <w:szCs w:val="20"/>
                <w:color w:val="auto"/>
              </w:rPr>
            </w:pPr>
            <w:r>
              <w:rPr>
                <w:rFonts w:ascii="Arial" w:cs="Arial" w:eastAsia="Arial" w:hAnsi="Arial"/>
                <w:sz w:val="16"/>
                <w:szCs w:val="16"/>
                <w:color w:val="auto"/>
              </w:rPr>
              <w:t>58.5</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0.9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2.1</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61.5</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7.2</w:t>
            </w:r>
          </w:p>
        </w:tc>
        <w:tc>
          <w:tcPr>
            <w:tcW w:w="86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21"/>
        </w:trPr>
        <w:tc>
          <w:tcPr>
            <w:tcW w:w="740" w:type="dxa"/>
            <w:vAlign w:val="bottom"/>
          </w:tcPr>
          <w:p>
            <w:pPr>
              <w:jc w:val="right"/>
              <w:ind w:right="300"/>
              <w:spacing w:after="0"/>
              <w:rPr>
                <w:sz w:val="20"/>
                <w:szCs w:val="20"/>
                <w:color w:val="auto"/>
              </w:rPr>
            </w:pPr>
            <w:r>
              <w:rPr>
                <w:rFonts w:ascii="Arial" w:cs="Arial" w:eastAsia="Arial" w:hAnsi="Arial"/>
                <w:sz w:val="16"/>
                <w:szCs w:val="16"/>
                <w:color w:val="auto"/>
              </w:rPr>
              <w:t>8.0</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3.4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1.5</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18.3</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31.2</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4.4</w:t>
            </w:r>
          </w:p>
        </w:tc>
        <w:tc>
          <w:tcPr>
            <w:tcW w:w="86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21"/>
        </w:trPr>
        <w:tc>
          <w:tcPr>
            <w:tcW w:w="740" w:type="dxa"/>
            <w:vAlign w:val="bottom"/>
          </w:tcPr>
          <w:p>
            <w:pPr>
              <w:jc w:val="right"/>
              <w:ind w:right="300"/>
              <w:spacing w:after="0"/>
              <w:rPr>
                <w:sz w:val="20"/>
                <w:szCs w:val="20"/>
                <w:color w:val="auto"/>
              </w:rPr>
            </w:pPr>
            <w:r>
              <w:rPr>
                <w:rFonts w:ascii="Arial" w:cs="Arial" w:eastAsia="Arial" w:hAnsi="Arial"/>
                <w:sz w:val="16"/>
                <w:szCs w:val="16"/>
                <w:color w:val="auto"/>
              </w:rPr>
              <w:t>16.0</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22.8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11.4</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50.2</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86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34"/>
        </w:trPr>
        <w:tc>
          <w:tcPr>
            <w:tcW w:w="740" w:type="dxa"/>
            <w:vAlign w:val="bottom"/>
          </w:tcPr>
          <w:p>
            <w:pPr>
              <w:jc w:val="right"/>
              <w:ind w:right="300"/>
              <w:spacing w:after="0"/>
              <w:rPr>
                <w:sz w:val="20"/>
                <w:szCs w:val="20"/>
                <w:color w:val="auto"/>
              </w:rPr>
            </w:pPr>
            <w:r>
              <w:rPr>
                <w:rFonts w:ascii="Arial" w:cs="Arial" w:eastAsia="Arial" w:hAnsi="Arial"/>
                <w:sz w:val="16"/>
                <w:szCs w:val="16"/>
                <w:color w:val="auto"/>
              </w:rPr>
              <w:t>23.6</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1.6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0.8</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26.0</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0.6</w:t>
            </w: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21"/>
        </w:trPr>
        <w:tc>
          <w:tcPr>
            <w:tcW w:w="740" w:type="dxa"/>
            <w:vAlign w:val="bottom"/>
          </w:tcPr>
          <w:p>
            <w:pPr>
              <w:jc w:val="right"/>
              <w:ind w:right="300"/>
              <w:spacing w:after="0"/>
              <w:rPr>
                <w:sz w:val="20"/>
                <w:szCs w:val="20"/>
                <w:color w:val="auto"/>
              </w:rPr>
            </w:pPr>
            <w:r>
              <w:rPr>
                <w:rFonts w:ascii="Arial" w:cs="Arial" w:eastAsia="Arial" w:hAnsi="Arial"/>
                <w:sz w:val="16"/>
                <w:szCs w:val="16"/>
                <w:color w:val="auto"/>
                <w:w w:val="84"/>
              </w:rPr>
              <w:t>178.4</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44.1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(0.2)</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(60.2)</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162.1</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24.6</w:t>
            </w:r>
          </w:p>
        </w:tc>
        <w:tc>
          <w:tcPr>
            <w:tcW w:w="860" w:type="dxa"/>
            <w:vAlign w:val="bottom"/>
          </w:tcPr>
          <w:p>
            <w:pPr>
              <w:jc w:val="right"/>
              <w:spacing w:after="0"/>
              <w:rPr>
                <w:sz w:val="20"/>
                <w:szCs w:val="20"/>
                <w:color w:val="auto"/>
              </w:rPr>
            </w:pPr>
            <w:r>
              <w:rPr>
                <w:rFonts w:ascii="Arial" w:cs="Arial" w:eastAsia="Arial" w:hAnsi="Arial"/>
                <w:sz w:val="16"/>
                <w:szCs w:val="16"/>
                <w:color w:val="auto"/>
              </w:rPr>
              <w:t>186.7</w:t>
            </w:r>
          </w:p>
        </w:tc>
      </w:tr>
      <w:tr>
        <w:trPr>
          <w:trHeight w:val="234"/>
        </w:trPr>
        <w:tc>
          <w:tcPr>
            <w:tcW w:w="740" w:type="dxa"/>
            <w:vAlign w:val="bottom"/>
          </w:tcPr>
          <w:p>
            <w:pPr>
              <w:jc w:val="right"/>
              <w:ind w:right="300"/>
              <w:spacing w:after="0"/>
              <w:rPr>
                <w:sz w:val="20"/>
                <w:szCs w:val="20"/>
                <w:color w:val="auto"/>
              </w:rPr>
            </w:pPr>
            <w:r>
              <w:rPr>
                <w:rFonts w:ascii="Arial" w:cs="Arial" w:eastAsia="Arial" w:hAnsi="Arial"/>
                <w:sz w:val="16"/>
                <w:szCs w:val="16"/>
                <w:color w:val="auto"/>
                <w:w w:val="84"/>
              </w:rPr>
              <w:t>685.5</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303.8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55.3</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362.1</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1,406.7</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222.9</w:t>
            </w:r>
          </w:p>
        </w:tc>
        <w:tc>
          <w:tcPr>
            <w:tcW w:w="860" w:type="dxa"/>
            <w:vAlign w:val="bottom"/>
          </w:tcPr>
          <w:p>
            <w:pPr>
              <w:jc w:val="right"/>
              <w:spacing w:after="0"/>
              <w:rPr>
                <w:sz w:val="20"/>
                <w:szCs w:val="20"/>
                <w:color w:val="auto"/>
              </w:rPr>
            </w:pPr>
            <w:r>
              <w:rPr>
                <w:rFonts w:ascii="Arial" w:cs="Arial" w:eastAsia="Arial" w:hAnsi="Arial"/>
                <w:sz w:val="16"/>
                <w:szCs w:val="16"/>
                <w:color w:val="auto"/>
              </w:rPr>
              <w:t>1,629.6</w:t>
            </w:r>
          </w:p>
        </w:tc>
      </w:tr>
      <w:tr>
        <w:trPr>
          <w:trHeight w:val="221"/>
        </w:trPr>
        <w:tc>
          <w:tcPr>
            <w:tcW w:w="740" w:type="dxa"/>
            <w:vAlign w:val="bottom"/>
          </w:tcPr>
          <w:p>
            <w:pPr>
              <w:jc w:val="right"/>
              <w:ind w:right="300"/>
              <w:spacing w:after="0"/>
              <w:rPr>
                <w:sz w:val="20"/>
                <w:szCs w:val="20"/>
                <w:color w:val="auto"/>
              </w:rPr>
            </w:pPr>
            <w:r>
              <w:rPr>
                <w:rFonts w:ascii="Arial" w:cs="Arial" w:eastAsia="Arial" w:hAnsi="Arial"/>
                <w:sz w:val="16"/>
                <w:szCs w:val="16"/>
                <w:color w:val="auto"/>
                <w:w w:val="84"/>
              </w:rPr>
              <w:t>129.5</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82.9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10.0</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0.0</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222.4</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33.8</w:t>
            </w:r>
          </w:p>
        </w:tc>
        <w:tc>
          <w:tcPr>
            <w:tcW w:w="860" w:type="dxa"/>
            <w:vAlign w:val="bottom"/>
          </w:tcPr>
          <w:p>
            <w:pPr>
              <w:jc w:val="right"/>
              <w:spacing w:after="0"/>
              <w:rPr>
                <w:sz w:val="20"/>
                <w:szCs w:val="20"/>
                <w:color w:val="auto"/>
              </w:rPr>
            </w:pPr>
            <w:r>
              <w:rPr>
                <w:rFonts w:ascii="Arial" w:cs="Arial" w:eastAsia="Arial" w:hAnsi="Arial"/>
                <w:sz w:val="16"/>
                <w:szCs w:val="16"/>
                <w:color w:val="auto"/>
              </w:rPr>
              <w:t>256.2</w:t>
            </w:r>
          </w:p>
        </w:tc>
      </w:tr>
      <w:tr>
        <w:trPr>
          <w:trHeight w:val="221"/>
        </w:trPr>
        <w:tc>
          <w:tcPr>
            <w:tcW w:w="740" w:type="dxa"/>
            <w:vAlign w:val="bottom"/>
          </w:tcPr>
          <w:p>
            <w:pPr>
              <w:jc w:val="right"/>
              <w:ind w:right="300"/>
              <w:spacing w:after="0"/>
              <w:rPr>
                <w:sz w:val="20"/>
                <w:szCs w:val="20"/>
                <w:color w:val="auto"/>
              </w:rPr>
            </w:pPr>
            <w:r>
              <w:rPr>
                <w:rFonts w:ascii="Arial" w:cs="Arial" w:eastAsia="Arial" w:hAnsi="Arial"/>
                <w:sz w:val="16"/>
                <w:szCs w:val="16"/>
                <w:color w:val="auto"/>
                <w:w w:val="84"/>
              </w:rPr>
              <w:t>112.5</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51.9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22.4</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47.8</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234.6</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8.7</w:t>
            </w:r>
          </w:p>
        </w:tc>
        <w:tc>
          <w:tcPr>
            <w:tcW w:w="860" w:type="dxa"/>
            <w:vAlign w:val="bottom"/>
          </w:tcPr>
          <w:p>
            <w:pPr>
              <w:jc w:val="right"/>
              <w:spacing w:after="0"/>
              <w:rPr>
                <w:sz w:val="20"/>
                <w:szCs w:val="20"/>
                <w:color w:val="auto"/>
              </w:rPr>
            </w:pPr>
            <w:r>
              <w:rPr>
                <w:rFonts w:ascii="Arial" w:cs="Arial" w:eastAsia="Arial" w:hAnsi="Arial"/>
                <w:sz w:val="16"/>
                <w:szCs w:val="16"/>
                <w:color w:val="auto"/>
              </w:rPr>
              <w:t>243.3</w:t>
            </w:r>
          </w:p>
        </w:tc>
      </w:tr>
      <w:tr>
        <w:trPr>
          <w:trHeight w:val="234"/>
        </w:trPr>
        <w:tc>
          <w:tcPr>
            <w:tcW w:w="740" w:type="dxa"/>
            <w:vAlign w:val="bottom"/>
          </w:tcPr>
          <w:p>
            <w:pPr>
              <w:jc w:val="right"/>
              <w:ind w:right="300"/>
              <w:spacing w:after="0"/>
              <w:rPr>
                <w:sz w:val="20"/>
                <w:szCs w:val="20"/>
                <w:color w:val="auto"/>
              </w:rPr>
            </w:pPr>
            <w:r>
              <w:rPr>
                <w:rFonts w:ascii="Arial" w:cs="Arial" w:eastAsia="Arial" w:hAnsi="Arial"/>
                <w:sz w:val="16"/>
                <w:szCs w:val="16"/>
                <w:color w:val="auto"/>
                <w:w w:val="84"/>
              </w:rPr>
              <w:t>283.2</w:t>
            </w:r>
          </w:p>
        </w:tc>
        <w:tc>
          <w:tcPr>
            <w:tcW w:w="1240" w:type="dxa"/>
            <w:vAlign w:val="bottom"/>
          </w:tcPr>
          <w:p>
            <w:pPr>
              <w:jc w:val="right"/>
              <w:ind w:right="420"/>
              <w:spacing w:after="0"/>
              <w:rPr>
                <w:sz w:val="20"/>
                <w:szCs w:val="20"/>
                <w:color w:val="auto"/>
              </w:rPr>
            </w:pPr>
            <w:r>
              <w:rPr>
                <w:rFonts w:ascii="Arial" w:cs="Arial" w:eastAsia="Arial" w:hAnsi="Arial"/>
                <w:sz w:val="16"/>
                <w:szCs w:val="16"/>
                <w:color w:val="auto"/>
              </w:rPr>
              <w:t>187.6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33.6</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227.2</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731.6</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72.8</w:t>
            </w:r>
          </w:p>
        </w:tc>
        <w:tc>
          <w:tcPr>
            <w:tcW w:w="860" w:type="dxa"/>
            <w:vAlign w:val="bottom"/>
          </w:tcPr>
          <w:p>
            <w:pPr>
              <w:jc w:val="right"/>
              <w:spacing w:after="0"/>
              <w:rPr>
                <w:sz w:val="20"/>
                <w:szCs w:val="20"/>
                <w:color w:val="auto"/>
              </w:rPr>
            </w:pPr>
            <w:r>
              <w:rPr>
                <w:rFonts w:ascii="Arial" w:cs="Arial" w:eastAsia="Arial" w:hAnsi="Arial"/>
                <w:sz w:val="16"/>
                <w:szCs w:val="16"/>
                <w:color w:val="auto"/>
              </w:rPr>
              <w:t>804.4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-1131570</wp:posOffset>
            </wp:positionV>
            <wp:extent cx="7258685" cy="140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8685" cy="14033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-842645</wp:posOffset>
            </wp:positionV>
            <wp:extent cx="7258685" cy="140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8685" cy="14033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-553085</wp:posOffset>
            </wp:positionV>
            <wp:extent cx="7258685" cy="140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685" cy="14033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-271780</wp:posOffset>
            </wp:positionV>
            <wp:extent cx="7258685" cy="148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8685" cy="14859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86995</wp:posOffset>
            </wp:positionV>
            <wp:extent cx="725868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3222" w:space="720"/>
            <w:col w:w="7500"/>
          </w:cols>
          <w:pgMar w:left="238" w:top="131" w:right="219" w:bottom="0" w:gutter="0" w:footer="0" w:header="0"/>
        </w:sectPr>
      </w:pPr>
    </w:p>
    <w:p>
      <w:pPr>
        <w:ind w:left="2"/>
        <w:spacing w:after="0"/>
        <w:rPr>
          <w:sz w:val="20"/>
          <w:szCs w:val="20"/>
          <w:color w:val="auto"/>
        </w:rPr>
      </w:pPr>
      <w:r>
        <w:rPr>
          <w:rFonts w:ascii="Arial" w:cs="Arial" w:eastAsia="Arial" w:hAnsi="Arial"/>
          <w:sz w:val="16"/>
          <w:szCs w:val="16"/>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5868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42"/>
          </w:cols>
          <w:pgMar w:left="238" w:top="131" w:right="219" w:bottom="0" w:gutter="0" w:footer="0" w:header="0"/>
          <w:type w:val="continuous"/>
        </w:sectPr>
      </w:pPr>
    </w:p>
    <w:p>
      <w:pPr>
        <w:spacing w:after="0" w:line="263" w:lineRule="exact"/>
        <w:rPr>
          <w:sz w:val="20"/>
          <w:szCs w:val="20"/>
          <w:color w:val="auto"/>
        </w:rPr>
      </w:pPr>
    </w:p>
    <w:p>
      <w:pPr>
        <w:ind w:left="2"/>
        <w:spacing w:after="0"/>
        <w:rPr>
          <w:sz w:val="20"/>
          <w:szCs w:val="20"/>
          <w:color w:val="auto"/>
        </w:rPr>
      </w:pPr>
      <w:r>
        <w:rPr>
          <w:rFonts w:ascii="Arial" w:cs="Arial" w:eastAsia="Arial" w:hAnsi="Arial"/>
          <w:sz w:val="16"/>
          <w:szCs w:val="16"/>
          <w:color w:val="auto"/>
        </w:rPr>
        <w:t>Revenues</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Bad debt</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Depreciation</w:t>
      </w:r>
    </w:p>
    <w:p>
      <w:pPr>
        <w:ind w:left="2"/>
        <w:spacing w:after="0" w:line="229" w:lineRule="auto"/>
        <w:rPr>
          <w:sz w:val="20"/>
          <w:szCs w:val="20"/>
          <w:color w:val="auto"/>
        </w:rPr>
      </w:pPr>
      <w:r>
        <w:rPr>
          <w:rFonts w:ascii="Arial" w:cs="Arial" w:eastAsia="Arial" w:hAnsi="Arial"/>
          <w:sz w:val="16"/>
          <w:szCs w:val="16"/>
          <w:color w:val="auto"/>
        </w:rPr>
        <w:t>Amortization</w:t>
      </w:r>
      <w:r>
        <w:rPr>
          <w:rFonts w:ascii="Arial" w:cs="Arial" w:eastAsia="Arial" w:hAnsi="Arial"/>
          <w:sz w:val="26"/>
          <w:szCs w:val="26"/>
          <w:color w:val="auto"/>
          <w:vertAlign w:val="superscript"/>
        </w:rPr>
        <w:t>(2)</w:t>
      </w:r>
    </w:p>
    <w:p>
      <w:pPr>
        <w:ind w:left="2"/>
        <w:spacing w:after="0"/>
        <w:rPr>
          <w:sz w:val="20"/>
          <w:szCs w:val="20"/>
          <w:color w:val="auto"/>
        </w:rPr>
      </w:pPr>
      <w:r>
        <w:rPr>
          <w:rFonts w:ascii="Arial" w:cs="Arial" w:eastAsia="Arial" w:hAnsi="Arial"/>
          <w:sz w:val="16"/>
          <w:szCs w:val="16"/>
          <w:color w:val="auto"/>
        </w:rPr>
        <w:t>Royalty advances expensed</w:t>
      </w:r>
    </w:p>
    <w:p>
      <w:pPr>
        <w:ind w:left="2"/>
        <w:spacing w:after="0" w:line="217" w:lineRule="auto"/>
        <w:rPr>
          <w:sz w:val="20"/>
          <w:szCs w:val="20"/>
          <w:color w:val="auto"/>
        </w:rPr>
      </w:pPr>
      <w:r>
        <w:rPr>
          <w:rFonts w:ascii="Arial" w:cs="Arial" w:eastAsia="Arial" w:hAnsi="Arial"/>
          <w:sz w:val="16"/>
          <w:szCs w:val="16"/>
          <w:color w:val="auto"/>
        </w:rPr>
        <w:t>Segment profit (loss)</w:t>
      </w:r>
      <w:r>
        <w:rPr>
          <w:rFonts w:ascii="Arial" w:cs="Arial" w:eastAsia="Arial" w:hAnsi="Arial"/>
          <w:sz w:val="26"/>
          <w:szCs w:val="26"/>
          <w:color w:val="auto"/>
          <w:vertAlign w:val="superscript"/>
        </w:rPr>
        <w:t>(3)</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Segment assets</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p>
    <w:p>
      <w:pPr>
        <w:ind w:left="2"/>
        <w:spacing w:after="0"/>
        <w:rPr>
          <w:sz w:val="20"/>
          <w:szCs w:val="20"/>
          <w:color w:val="auto"/>
        </w:rPr>
      </w:pPr>
      <w:r>
        <w:rPr>
          <w:rFonts w:ascii="Arial" w:cs="Arial" w:eastAsia="Arial" w:hAnsi="Arial"/>
          <w:sz w:val="14"/>
          <w:szCs w:val="14"/>
          <w:color w:val="auto"/>
        </w:rPr>
        <w:t>Expenditures for long-lived assets</w:t>
      </w:r>
      <w:r>
        <w:rPr>
          <w:rFonts w:ascii="Arial" w:cs="Arial" w:eastAsia="Arial" w:hAnsi="Arial"/>
          <w:sz w:val="23"/>
          <w:szCs w:val="23"/>
          <w:color w:val="auto"/>
          <w:vertAlign w:val="superscript"/>
        </w:rPr>
        <w:t>(4)</w:t>
      </w:r>
    </w:p>
    <w:p>
      <w:pPr>
        <w:ind w:left="2"/>
        <w:spacing w:after="0"/>
        <w:rPr>
          <w:sz w:val="20"/>
          <w:szCs w:val="20"/>
          <w:color w:val="auto"/>
        </w:rPr>
      </w:pPr>
      <w:r>
        <w:rPr>
          <w:rFonts w:ascii="Arial" w:cs="Arial" w:eastAsia="Arial" w:hAnsi="Arial"/>
          <w:sz w:val="16"/>
          <w:szCs w:val="16"/>
          <w:color w:val="auto"/>
        </w:rPr>
        <w:t>Long-lived assets</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Pr>
          <w:p>
            <w:pPr>
              <w:jc w:val="right"/>
              <w:ind w:right="240"/>
              <w:spacing w:after="0"/>
              <w:rPr>
                <w:sz w:val="20"/>
                <w:szCs w:val="20"/>
                <w:color w:val="auto"/>
              </w:rPr>
            </w:pPr>
            <w:r>
              <w:rPr>
                <w:rFonts w:ascii="Arial" w:cs="Arial" w:eastAsia="Arial" w:hAnsi="Arial"/>
                <w:sz w:val="16"/>
                <w:szCs w:val="16"/>
                <w:color w:val="auto"/>
                <w:w w:val="86"/>
              </w:rPr>
              <w:t>$ 1,221.9</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$ 311.2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$ 132.5</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$ 0.0</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$ 1,665.6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$ 296.7</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$ 1,962.3</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62.8</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1.2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2.5</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0.0</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66.5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9.0</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75.5</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6.4</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3.4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0.2</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13.9</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23.9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4.3</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28.2</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16.6</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46.6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17.2</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0.3</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80.7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2.3</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83.0</w:t>
            </w:r>
          </w:p>
        </w:tc>
      </w:tr>
      <w:tr>
        <w:trPr>
          <w:trHeight w:val="234"/>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22.9</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0.9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3.4</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0.0</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27.2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28.7</w:t>
            </w:r>
          </w:p>
        </w:tc>
      </w:tr>
      <w:tr>
        <w:trPr>
          <w:trHeight w:val="234"/>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202.9</w:t>
            </w: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(67.1)</w:t>
            </w:r>
            <w:r>
              <w:rPr>
                <w:rFonts w:ascii="Arial" w:cs="Arial" w:eastAsia="Arial" w:hAnsi="Arial"/>
                <w:sz w:val="12"/>
                <w:szCs w:val="12"/>
                <w:color w:val="auto"/>
              </w:rPr>
              <w:t>(6)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(3.5)</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(58.4)</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73.9</w:t>
            </w:r>
            <w:r>
              <w:rPr>
                <w:rFonts w:ascii="Arial" w:cs="Arial" w:eastAsia="Arial" w:hAnsi="Arial"/>
                <w:sz w:val="12"/>
                <w:szCs w:val="12"/>
                <w:color w:val="auto"/>
              </w:rPr>
              <w:t>(6)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24.8</w:t>
            </w:r>
          </w:p>
        </w:tc>
        <w:tc>
          <w:tcPr>
            <w:tcW w:w="1080" w:type="dxa"/>
            <w:vAlign w:val="bottom"/>
          </w:tcPr>
          <w:p>
            <w:pPr>
              <w:jc w:val="right"/>
              <w:spacing w:after="0"/>
              <w:rPr>
                <w:sz w:val="20"/>
                <w:szCs w:val="20"/>
                <w:color w:val="auto"/>
              </w:rPr>
            </w:pPr>
            <w:r>
              <w:rPr>
                <w:rFonts w:ascii="Arial" w:cs="Arial" w:eastAsia="Arial" w:hAnsi="Arial"/>
                <w:sz w:val="16"/>
                <w:szCs w:val="16"/>
                <w:color w:val="auto"/>
              </w:rPr>
              <w:t>98.7</w:t>
            </w:r>
            <w:r>
              <w:rPr>
                <w:rFonts w:ascii="Arial" w:cs="Arial" w:eastAsia="Arial" w:hAnsi="Arial"/>
                <w:sz w:val="12"/>
                <w:szCs w:val="12"/>
                <w:color w:val="auto"/>
              </w:rPr>
              <w:t>(6)</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640.0</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263.5</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56.9</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322.6</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1,283.0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218.8</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1,501.8</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109.2</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71.1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8.4</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0.0</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188.7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33.2</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221.9</w:t>
            </w:r>
          </w:p>
        </w:tc>
      </w:tr>
      <w:tr>
        <w:trPr>
          <w:trHeight w:val="221"/>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271.4</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187.6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18.9</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74.6</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552.5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28.1</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580.6</w:t>
            </w:r>
          </w:p>
        </w:tc>
      </w:tr>
      <w:tr>
        <w:trPr>
          <w:trHeight w:val="234"/>
        </w:trPr>
        <w:tc>
          <w:tcPr>
            <w:tcW w:w="920" w:type="dxa"/>
            <w:vAlign w:val="bottom"/>
          </w:tcPr>
          <w:p>
            <w:pPr>
              <w:jc w:val="right"/>
              <w:ind w:right="240"/>
              <w:spacing w:after="0"/>
              <w:rPr>
                <w:sz w:val="20"/>
                <w:szCs w:val="20"/>
                <w:color w:val="auto"/>
              </w:rPr>
            </w:pPr>
            <w:r>
              <w:rPr>
                <w:rFonts w:ascii="Arial" w:cs="Arial" w:eastAsia="Arial" w:hAnsi="Arial"/>
                <w:sz w:val="16"/>
                <w:szCs w:val="16"/>
                <w:color w:val="auto"/>
              </w:rPr>
              <w:t>268.3</w:t>
            </w: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178.6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34.6</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168.2</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649.7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68.3</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-1271905</wp:posOffset>
            </wp:positionV>
            <wp:extent cx="7258685" cy="140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8685" cy="14033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-990600</wp:posOffset>
            </wp:positionV>
            <wp:extent cx="7258685" cy="148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8685" cy="148590"/>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-701675</wp:posOffset>
            </wp:positionV>
            <wp:extent cx="7258685" cy="148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8685" cy="148590"/>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-412750</wp:posOffset>
            </wp:positionV>
            <wp:extent cx="7258685" cy="140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8685" cy="14033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-123825</wp:posOffset>
            </wp:positionV>
            <wp:extent cx="7263765" cy="297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29718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2982" w:space="720"/>
            <w:col w:w="7740"/>
          </w:cols>
          <w:pgMar w:left="238" w:top="131" w:right="219" w:bottom="0" w:gutter="0" w:footer="0" w:header="0"/>
          <w:type w:val="continuous"/>
        </w:sectPr>
      </w:pPr>
    </w:p>
    <w:p>
      <w:pPr>
        <w:spacing w:after="0" w:line="152" w:lineRule="exact"/>
        <w:rPr>
          <w:sz w:val="20"/>
          <w:szCs w:val="20"/>
          <w:color w:val="auto"/>
        </w:rPr>
      </w:pPr>
    </w:p>
    <w:p>
      <w:pPr>
        <w:ind w:left="382" w:right="140" w:hanging="382"/>
        <w:spacing w:after="0" w:line="239" w:lineRule="auto"/>
        <w:tabs>
          <w:tab w:leader="none" w:pos="382" w:val="left"/>
        </w:tabs>
        <w:numPr>
          <w:ilvl w:val="0"/>
          <w:numId w:val="7"/>
        </w:numPr>
        <w:rPr>
          <w:rFonts w:ascii="Arial" w:cs="Arial" w:eastAsia="Arial" w:hAnsi="Arial"/>
          <w:sz w:val="12"/>
          <w:szCs w:val="12"/>
          <w:color w:val="auto"/>
        </w:rPr>
      </w:pPr>
      <w:r>
        <w:rPr>
          <w:rFonts w:ascii="Arial" w:cs="Arial" w:eastAsia="Arial" w:hAnsi="Arial"/>
          <w:sz w:val="12"/>
          <w:szCs w:val="12"/>
          <w:color w:val="auto"/>
        </w:rPr>
        <w:t>Overhead includes all domestic corporate amounts not allocated to reportable segments, which includes unallocated expenses and costs related to the management of corporate assets. For fiscal 2003, includes $1.9 for the settlement of a securities lawsuit initiated in 1997. For fiscal 2002, includes $1.2 regarding the settlement of a litigation and related costs. Unallocated assets are principally comprised of deferred income taxes and property, plant and equipment related to the Company’s headquarters in the metropolitan New York area, its fulfillment and distribution facilities located in Missouri and Arkansas, and an industrial/office building complex in Connecticut.</w:t>
      </w:r>
    </w:p>
    <w:p>
      <w:pPr>
        <w:spacing w:after="0" w:line="1" w:lineRule="exact"/>
        <w:rPr>
          <w:rFonts w:ascii="Arial" w:cs="Arial" w:eastAsia="Arial" w:hAnsi="Arial"/>
          <w:sz w:val="12"/>
          <w:szCs w:val="12"/>
          <w:color w:val="auto"/>
        </w:rPr>
      </w:pPr>
    </w:p>
    <w:p>
      <w:pPr>
        <w:ind w:left="382" w:right="180" w:hanging="382"/>
        <w:spacing w:after="0" w:line="235" w:lineRule="auto"/>
        <w:tabs>
          <w:tab w:leader="none" w:pos="38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fiscal 2003 and 2002, includes amortization of prepublication costs, production costs and other intangibles with definite lives. In fiscal 2001, includes amortization of prepublication costs, production costs, goodwill and other intangibles.</w:t>
      </w:r>
    </w:p>
    <w:p>
      <w:pPr>
        <w:ind w:left="382" w:right="120" w:hanging="382"/>
        <w:spacing w:after="0" w:line="256" w:lineRule="auto"/>
        <w:tabs>
          <w:tab w:leader="none" w:pos="382" w:val="left"/>
        </w:tabs>
        <w:numPr>
          <w:ilvl w:val="0"/>
          <w:numId w:val="7"/>
        </w:numPr>
        <w:rPr>
          <w:rFonts w:ascii="Arial" w:cs="Arial" w:eastAsia="Arial" w:hAnsi="Arial"/>
          <w:sz w:val="11"/>
          <w:szCs w:val="11"/>
          <w:color w:val="auto"/>
        </w:rPr>
      </w:pPr>
      <w:r>
        <w:rPr>
          <w:rFonts w:ascii="Arial" w:cs="Arial" w:eastAsia="Arial" w:hAnsi="Arial"/>
          <w:sz w:val="11"/>
          <w:szCs w:val="11"/>
          <w:color w:val="auto"/>
        </w:rPr>
        <w:t xml:space="preserve">Segment profit/(loss) represents earnings before other income (expense), interest and income taxes. In fiscal 2002, it excludes the cumulative effect of accounting change of $5.2 net of tax, or $0.13 per diluted share, related to the </w:t>
      </w:r>
      <w:r>
        <w:rPr>
          <w:rFonts w:ascii="Arial" w:cs="Arial" w:eastAsia="Arial" w:hAnsi="Arial"/>
          <w:sz w:val="11"/>
          <w:szCs w:val="11"/>
          <w:i w:val="1"/>
          <w:iCs w:val="1"/>
          <w:color w:val="auto"/>
        </w:rPr>
        <w:t>Media, Licensing and Advertising</w:t>
      </w:r>
      <w:r>
        <w:rPr>
          <w:rFonts w:ascii="Arial" w:cs="Arial" w:eastAsia="Arial" w:hAnsi="Arial"/>
          <w:sz w:val="11"/>
          <w:szCs w:val="11"/>
          <w:color w:val="auto"/>
        </w:rPr>
        <w:t xml:space="preserve"> segment. The impact on segment profit (loss) of the reclassification of Internet revenues and expenses was: a decrease in </w:t>
      </w:r>
      <w:r>
        <w:rPr>
          <w:rFonts w:ascii="Arial" w:cs="Arial" w:eastAsia="Arial" w:hAnsi="Arial"/>
          <w:sz w:val="11"/>
          <w:szCs w:val="11"/>
          <w:i w:val="1"/>
          <w:iCs w:val="1"/>
          <w:color w:val="auto"/>
        </w:rPr>
        <w:t>Children’s Book Publishing and Distribution</w:t>
      </w:r>
      <w:r>
        <w:rPr>
          <w:rFonts w:ascii="Arial" w:cs="Arial" w:eastAsia="Arial" w:hAnsi="Arial"/>
          <w:sz w:val="11"/>
          <w:szCs w:val="11"/>
          <w:color w:val="auto"/>
        </w:rPr>
        <w:t xml:space="preserve"> segment profit of $12.8, $8.6 and $10.4 in fiscal 2003, 2002 and 2001, respectively; a decrease in </w:t>
      </w:r>
      <w:r>
        <w:rPr>
          <w:rFonts w:ascii="Arial" w:cs="Arial" w:eastAsia="Arial" w:hAnsi="Arial"/>
          <w:sz w:val="11"/>
          <w:szCs w:val="11"/>
          <w:i w:val="1"/>
          <w:iCs w:val="1"/>
          <w:color w:val="auto"/>
        </w:rPr>
        <w:t>Educational Publishing</w:t>
      </w:r>
      <w:r>
        <w:rPr>
          <w:rFonts w:ascii="Arial" w:cs="Arial" w:eastAsia="Arial" w:hAnsi="Arial"/>
          <w:sz w:val="11"/>
          <w:szCs w:val="11"/>
          <w:color w:val="auto"/>
        </w:rPr>
        <w:t xml:space="preserve"> segment profit of $4.7 and $7.4 in fiscal 2003 and 2002, respectively, and an increase in </w:t>
      </w:r>
      <w:r>
        <w:rPr>
          <w:rFonts w:ascii="Arial" w:cs="Arial" w:eastAsia="Arial" w:hAnsi="Arial"/>
          <w:sz w:val="11"/>
          <w:szCs w:val="11"/>
          <w:i w:val="1"/>
          <w:iCs w:val="1"/>
          <w:color w:val="auto"/>
        </w:rPr>
        <w:t>Educational Publishing</w:t>
      </w:r>
      <w:r>
        <w:rPr>
          <w:rFonts w:ascii="Arial" w:cs="Arial" w:eastAsia="Arial" w:hAnsi="Arial"/>
          <w:sz w:val="11"/>
          <w:szCs w:val="11"/>
          <w:color w:val="auto"/>
        </w:rPr>
        <w:t xml:space="preserve"> segment loss of $9.0 in fiscal 2001; offset by a decrease in the </w:t>
      </w:r>
      <w:r>
        <w:rPr>
          <w:rFonts w:ascii="Arial" w:cs="Arial" w:eastAsia="Arial" w:hAnsi="Arial"/>
          <w:sz w:val="11"/>
          <w:szCs w:val="11"/>
          <w:i w:val="1"/>
          <w:iCs w:val="1"/>
          <w:color w:val="auto"/>
        </w:rPr>
        <w:t>Media, Licensing and Advertising</w:t>
      </w:r>
      <w:r>
        <w:rPr>
          <w:rFonts w:ascii="Arial" w:cs="Arial" w:eastAsia="Arial" w:hAnsi="Arial"/>
          <w:sz w:val="11"/>
          <w:szCs w:val="11"/>
          <w:color w:val="auto"/>
        </w:rPr>
        <w:t xml:space="preserve"> segment loss of $17.5, $16.0 and $19.4 in fiscal 2003, 2002 and 2001, respectively.</w:t>
      </w:r>
    </w:p>
    <w:p>
      <w:pPr>
        <w:spacing w:after="0" w:line="1" w:lineRule="exact"/>
        <w:rPr>
          <w:rFonts w:ascii="Arial" w:cs="Arial" w:eastAsia="Arial" w:hAnsi="Arial"/>
          <w:sz w:val="11"/>
          <w:szCs w:val="11"/>
          <w:color w:val="auto"/>
        </w:rPr>
      </w:pPr>
    </w:p>
    <w:p>
      <w:pPr>
        <w:ind w:left="382" w:hanging="382"/>
        <w:spacing w:after="0"/>
        <w:tabs>
          <w:tab w:leader="none" w:pos="38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expenditures for property, plant and equipment, investments in prepublication and production costs, royalty advances and acquisitions of, and investments in, businesses.</w:t>
      </w:r>
    </w:p>
    <w:p>
      <w:pPr>
        <w:spacing w:after="0" w:line="73" w:lineRule="exact"/>
        <w:rPr>
          <w:rFonts w:ascii="Arial" w:cs="Arial" w:eastAsia="Arial" w:hAnsi="Arial"/>
          <w:sz w:val="12"/>
          <w:szCs w:val="12"/>
          <w:color w:val="auto"/>
        </w:rPr>
      </w:pPr>
    </w:p>
    <w:p>
      <w:pPr>
        <w:ind w:left="382" w:hanging="382"/>
        <w:spacing w:after="0"/>
        <w:tabs>
          <w:tab w:leader="none" w:pos="38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property, plant and equipment, prepublication costs, goodwill, other intangibles, royalty advances, production costs and long-term investments.</w:t>
      </w:r>
    </w:p>
    <w:p>
      <w:pPr>
        <w:spacing w:after="0" w:line="58" w:lineRule="exact"/>
        <w:rPr>
          <w:rFonts w:ascii="Arial" w:cs="Arial" w:eastAsia="Arial" w:hAnsi="Arial"/>
          <w:sz w:val="12"/>
          <w:szCs w:val="12"/>
          <w:color w:val="auto"/>
        </w:rPr>
      </w:pPr>
    </w:p>
    <w:p>
      <w:pPr>
        <w:ind w:left="382" w:hanging="382"/>
        <w:spacing w:after="0"/>
        <w:tabs>
          <w:tab w:leader="none" w:pos="382" w:val="left"/>
        </w:tabs>
        <w:numPr>
          <w:ilvl w:val="0"/>
          <w:numId w:val="7"/>
        </w:numPr>
        <w:rPr>
          <w:rFonts w:ascii="Arial" w:cs="Arial" w:eastAsia="Arial" w:hAnsi="Arial"/>
          <w:sz w:val="25"/>
          <w:szCs w:val="25"/>
          <w:color w:val="auto"/>
          <w:vertAlign w:val="superscript"/>
        </w:rPr>
      </w:pPr>
      <w:r>
        <w:rPr>
          <w:rFonts w:ascii="Arial" w:cs="Arial" w:eastAsia="Arial" w:hAnsi="Arial"/>
          <w:sz w:val="12"/>
          <w:szCs w:val="12"/>
          <w:i w:val="1"/>
          <w:iCs w:val="1"/>
          <w:color w:val="auto"/>
        </w:rPr>
        <w:t xml:space="preserve">Educational Publishing </w:t>
      </w:r>
      <w:r>
        <w:rPr>
          <w:rFonts w:ascii="Arial" w:cs="Arial" w:eastAsia="Arial" w:hAnsi="Arial"/>
          <w:sz w:val="12"/>
          <w:szCs w:val="12"/>
          <w:color w:val="auto"/>
        </w:rPr>
        <w:t>segment loss for fiscal 2001 reflects the Company’s decision not to update</w:t>
      </w:r>
      <w:r>
        <w:rPr>
          <w:rFonts w:ascii="Arial" w:cs="Arial" w:eastAsia="Arial" w:hAnsi="Arial"/>
          <w:sz w:val="12"/>
          <w:szCs w:val="12"/>
          <w:i w:val="1"/>
          <w:iCs w:val="1"/>
          <w:color w:val="auto"/>
        </w:rPr>
        <w:t xml:space="preserve"> Scholastic Literacy Place</w:t>
      </w:r>
      <w:r>
        <w:rPr>
          <w:rFonts w:ascii="Arial" w:cs="Arial" w:eastAsia="Arial" w:hAnsi="Arial"/>
          <w:sz w:val="20"/>
          <w:szCs w:val="20"/>
          <w:i w:val="1"/>
          <w:iCs w:val="1"/>
          <w:color w:val="auto"/>
          <w:vertAlign w:val="superscript"/>
        </w:rPr>
        <w:t>®</w:t>
      </w:r>
      <w:r>
        <w:rPr>
          <w:rFonts w:ascii="Arial" w:cs="Arial" w:eastAsia="Arial" w:hAnsi="Arial"/>
          <w:sz w:val="12"/>
          <w:szCs w:val="12"/>
          <w:color w:val="auto"/>
        </w:rPr>
        <w:t>, which resulted in a $72.9 special charge to cost of goods sold.</w:t>
      </w:r>
    </w:p>
    <w:p>
      <w:pPr>
        <w:spacing w:after="0" w:line="378"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 w:right="420"/>
        <w:spacing w:after="0" w:line="270" w:lineRule="auto"/>
        <w:rPr>
          <w:sz w:val="20"/>
          <w:szCs w:val="20"/>
          <w:color w:val="auto"/>
        </w:rPr>
      </w:pPr>
      <w:r>
        <w:rPr>
          <w:rFonts w:ascii="Arial" w:cs="Arial" w:eastAsia="Arial" w:hAnsi="Arial"/>
          <w:sz w:val="16"/>
          <w:szCs w:val="16"/>
          <w:color w:val="auto"/>
        </w:rPr>
        <w:t xml:space="preserve">The following table separately sets forth information for the three fiscal years ended May 31 for the U.S. direct-to-home continuity programs, which consist primarily of the business formerly operated by Grolier Incorporated (“Grolier”), and are included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and for all other businesses included in the segment:</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380" w:type="dxa"/>
            <w:vAlign w:val="bottom"/>
            <w:gridSpan w:val="2"/>
          </w:tcPr>
          <w:p>
            <w:pPr>
              <w:jc w:val="right"/>
              <w:spacing w:after="0"/>
              <w:rPr>
                <w:sz w:val="20"/>
                <w:szCs w:val="20"/>
                <w:color w:val="auto"/>
              </w:rPr>
            </w:pPr>
            <w:r>
              <w:rPr>
                <w:rFonts w:ascii="Arial" w:cs="Arial" w:eastAsia="Arial" w:hAnsi="Arial"/>
                <w:sz w:val="20"/>
                <w:szCs w:val="20"/>
                <w:b w:val="1"/>
                <w:bCs w:val="1"/>
                <w:color w:val="auto"/>
              </w:rPr>
              <w:t>Direct-to-home</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jc w:val="right"/>
              <w:ind w:right="97"/>
              <w:spacing w:after="0"/>
              <w:rPr>
                <w:sz w:val="20"/>
                <w:szCs w:val="20"/>
                <w:color w:val="auto"/>
              </w:rPr>
            </w:pPr>
            <w:r>
              <w:rPr>
                <w:rFonts w:ascii="Arial" w:cs="Arial" w:eastAsia="Arial" w:hAnsi="Arial"/>
                <w:sz w:val="20"/>
                <w:szCs w:val="20"/>
                <w:b w:val="1"/>
                <w:bCs w:val="1"/>
                <w:color w:val="auto"/>
              </w:rPr>
              <w:t>All Other</w:t>
            </w: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jc w:val="right"/>
              <w:ind w:right="437"/>
              <w:spacing w:after="0"/>
              <w:rPr>
                <w:sz w:val="20"/>
                <w:szCs w:val="20"/>
                <w:color w:val="auto"/>
              </w:rPr>
            </w:pPr>
            <w:r>
              <w:rPr>
                <w:rFonts w:ascii="Arial" w:cs="Arial" w:eastAsia="Arial" w:hAnsi="Arial"/>
                <w:sz w:val="20"/>
                <w:szCs w:val="20"/>
                <w:b w:val="1"/>
                <w:bCs w:val="1"/>
                <w:color w:val="auto"/>
              </w:rPr>
              <w:t>Total</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tcPr>
          <w:p>
            <w:pPr>
              <w:jc w:val="right"/>
              <w:ind w:right="97"/>
              <w:spacing w:after="0"/>
              <w:rPr>
                <w:sz w:val="20"/>
                <w:szCs w:val="20"/>
                <w:color w:val="auto"/>
              </w:rPr>
            </w:pPr>
            <w:r>
              <w:rPr>
                <w:rFonts w:ascii="Arial" w:cs="Arial" w:eastAsia="Arial" w:hAnsi="Arial"/>
                <w:sz w:val="20"/>
                <w:szCs w:val="20"/>
                <w:b w:val="1"/>
                <w:bCs w:val="1"/>
                <w:color w:val="auto"/>
              </w:rPr>
              <w:t>2003</w:t>
            </w:r>
          </w:p>
        </w:tc>
        <w:tc>
          <w:tcPr>
            <w:tcW w:w="980" w:type="dxa"/>
            <w:vAlign w:val="bottom"/>
          </w:tcPr>
          <w:p>
            <w:pPr>
              <w:jc w:val="right"/>
              <w:ind w:right="218"/>
              <w:spacing w:after="0"/>
              <w:rPr>
                <w:sz w:val="20"/>
                <w:szCs w:val="20"/>
                <w:color w:val="auto"/>
              </w:rPr>
            </w:pPr>
            <w:r>
              <w:rPr>
                <w:rFonts w:ascii="Arial" w:cs="Arial" w:eastAsia="Arial" w:hAnsi="Arial"/>
                <w:sz w:val="20"/>
                <w:szCs w:val="20"/>
                <w:b w:val="1"/>
                <w:bCs w:val="1"/>
                <w:color w:val="auto"/>
              </w:rPr>
              <w:t>2002</w:t>
            </w:r>
          </w:p>
        </w:tc>
        <w:tc>
          <w:tcPr>
            <w:tcW w:w="740" w:type="dxa"/>
            <w:vAlign w:val="bottom"/>
          </w:tcPr>
          <w:p>
            <w:pPr>
              <w:jc w:val="right"/>
              <w:ind w:right="98"/>
              <w:spacing w:after="0"/>
              <w:rPr>
                <w:sz w:val="20"/>
                <w:szCs w:val="20"/>
                <w:color w:val="auto"/>
              </w:rPr>
            </w:pPr>
            <w:r>
              <w:rPr>
                <w:rFonts w:ascii="Arial" w:cs="Arial" w:eastAsia="Arial" w:hAnsi="Arial"/>
                <w:sz w:val="20"/>
                <w:szCs w:val="20"/>
                <w:b w:val="1"/>
                <w:bCs w:val="1"/>
                <w:color w:val="auto"/>
              </w:rPr>
              <w:t>2001</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2003</w:t>
            </w:r>
          </w:p>
        </w:tc>
        <w:tc>
          <w:tcPr>
            <w:tcW w:w="1080" w:type="dxa"/>
            <w:vAlign w:val="bottom"/>
          </w:tcPr>
          <w:p>
            <w:pPr>
              <w:jc w:val="right"/>
              <w:ind w:right="217"/>
              <w:spacing w:after="0"/>
              <w:rPr>
                <w:sz w:val="20"/>
                <w:szCs w:val="20"/>
                <w:color w:val="auto"/>
              </w:rPr>
            </w:pPr>
            <w:r>
              <w:rPr>
                <w:rFonts w:ascii="Arial" w:cs="Arial" w:eastAsia="Arial" w:hAnsi="Arial"/>
                <w:sz w:val="20"/>
                <w:szCs w:val="20"/>
                <w:b w:val="1"/>
                <w:bCs w:val="1"/>
                <w:color w:val="auto"/>
              </w:rPr>
              <w:t>2002</w:t>
            </w:r>
          </w:p>
        </w:tc>
        <w:tc>
          <w:tcPr>
            <w:tcW w:w="1020" w:type="dxa"/>
            <w:vAlign w:val="bottom"/>
          </w:tcPr>
          <w:p>
            <w:pPr>
              <w:jc w:val="right"/>
              <w:ind w:right="158"/>
              <w:spacing w:after="0"/>
              <w:rPr>
                <w:sz w:val="20"/>
                <w:szCs w:val="20"/>
                <w:color w:val="auto"/>
              </w:rPr>
            </w:pPr>
            <w:r>
              <w:rPr>
                <w:rFonts w:ascii="Arial" w:cs="Arial" w:eastAsia="Arial" w:hAnsi="Arial"/>
                <w:sz w:val="20"/>
                <w:szCs w:val="20"/>
                <w:b w:val="1"/>
                <w:bCs w:val="1"/>
                <w:color w:val="auto"/>
              </w:rPr>
              <w:t>2001</w:t>
            </w:r>
          </w:p>
        </w:tc>
        <w:tc>
          <w:tcPr>
            <w:tcW w:w="1020" w:type="dxa"/>
            <w:vAlign w:val="bottom"/>
          </w:tcPr>
          <w:p>
            <w:pPr>
              <w:jc w:val="right"/>
              <w:ind w:right="98"/>
              <w:spacing w:after="0"/>
              <w:rPr>
                <w:sz w:val="20"/>
                <w:szCs w:val="20"/>
                <w:color w:val="auto"/>
              </w:rPr>
            </w:pPr>
            <w:r>
              <w:rPr>
                <w:rFonts w:ascii="Arial" w:cs="Arial" w:eastAsia="Arial" w:hAnsi="Arial"/>
                <w:sz w:val="20"/>
                <w:szCs w:val="20"/>
                <w:b w:val="1"/>
                <w:bCs w:val="1"/>
                <w:color w:val="auto"/>
              </w:rPr>
              <w:t>2003</w:t>
            </w:r>
          </w:p>
        </w:tc>
        <w:tc>
          <w:tcPr>
            <w:tcW w:w="1140" w:type="dxa"/>
            <w:vAlign w:val="bottom"/>
          </w:tcPr>
          <w:p>
            <w:pPr>
              <w:jc w:val="right"/>
              <w:ind w:right="157"/>
              <w:spacing w:after="0"/>
              <w:rPr>
                <w:sz w:val="20"/>
                <w:szCs w:val="20"/>
                <w:color w:val="auto"/>
              </w:rPr>
            </w:pPr>
            <w:r>
              <w:rPr>
                <w:rFonts w:ascii="Arial" w:cs="Arial" w:eastAsia="Arial" w:hAnsi="Arial"/>
                <w:sz w:val="20"/>
                <w:szCs w:val="20"/>
                <w:b w:val="1"/>
                <w:bCs w:val="1"/>
                <w:color w:val="auto"/>
              </w:rPr>
              <w:t>2002</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23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1400" w:type="dxa"/>
            <w:vAlign w:val="bottom"/>
          </w:tcPr>
          <w:p>
            <w:pPr>
              <w:jc w:val="right"/>
              <w:ind w:right="97"/>
              <w:spacing w:after="0"/>
              <w:rPr>
                <w:sz w:val="20"/>
                <w:szCs w:val="20"/>
                <w:color w:val="auto"/>
              </w:rPr>
            </w:pPr>
            <w:r>
              <w:rPr>
                <w:rFonts w:ascii="Arial" w:cs="Arial" w:eastAsia="Arial" w:hAnsi="Arial"/>
                <w:sz w:val="16"/>
                <w:szCs w:val="16"/>
                <w:color w:val="auto"/>
              </w:rPr>
              <w:t>$ 212.3</w:t>
            </w:r>
          </w:p>
        </w:tc>
        <w:tc>
          <w:tcPr>
            <w:tcW w:w="980" w:type="dxa"/>
            <w:vAlign w:val="bottom"/>
          </w:tcPr>
          <w:p>
            <w:pPr>
              <w:jc w:val="right"/>
              <w:ind w:right="218"/>
              <w:spacing w:after="0"/>
              <w:rPr>
                <w:sz w:val="20"/>
                <w:szCs w:val="20"/>
                <w:color w:val="auto"/>
              </w:rPr>
            </w:pPr>
            <w:r>
              <w:rPr>
                <w:rFonts w:ascii="Arial" w:cs="Arial" w:eastAsia="Arial" w:hAnsi="Arial"/>
                <w:sz w:val="16"/>
                <w:szCs w:val="16"/>
                <w:color w:val="auto"/>
              </w:rPr>
              <w:t>$ 209.0</w:t>
            </w:r>
          </w:p>
        </w:tc>
        <w:tc>
          <w:tcPr>
            <w:tcW w:w="740" w:type="dxa"/>
            <w:vAlign w:val="bottom"/>
          </w:tcPr>
          <w:p>
            <w:pPr>
              <w:jc w:val="right"/>
              <w:ind w:right="98"/>
              <w:spacing w:after="0"/>
              <w:rPr>
                <w:sz w:val="20"/>
                <w:szCs w:val="20"/>
                <w:color w:val="auto"/>
              </w:rPr>
            </w:pPr>
            <w:r>
              <w:rPr>
                <w:rFonts w:ascii="Arial" w:cs="Arial" w:eastAsia="Arial" w:hAnsi="Arial"/>
                <w:sz w:val="16"/>
                <w:szCs w:val="16"/>
                <w:color w:val="auto"/>
              </w:rPr>
              <w:t>$ 217.9</w:t>
            </w:r>
          </w:p>
        </w:tc>
        <w:tc>
          <w:tcPr>
            <w:tcW w:w="760" w:type="dxa"/>
            <w:vAlign w:val="bottom"/>
          </w:tcPr>
          <w:p>
            <w:pPr>
              <w:jc w:val="right"/>
              <w:spacing w:after="0"/>
              <w:rPr>
                <w:sz w:val="20"/>
                <w:szCs w:val="20"/>
                <w:color w:val="auto"/>
              </w:rPr>
            </w:pPr>
            <w:r>
              <w:rPr>
                <w:rFonts w:ascii="Arial" w:cs="Arial" w:eastAsia="Arial" w:hAnsi="Arial"/>
                <w:sz w:val="16"/>
                <w:szCs w:val="16"/>
                <w:color w:val="auto"/>
              </w:rPr>
              <w:t>$ 977.6</w:t>
            </w:r>
          </w:p>
        </w:tc>
        <w:tc>
          <w:tcPr>
            <w:tcW w:w="1080" w:type="dxa"/>
            <w:vAlign w:val="bottom"/>
          </w:tcPr>
          <w:p>
            <w:pPr>
              <w:jc w:val="right"/>
              <w:ind w:right="217"/>
              <w:spacing w:after="0"/>
              <w:rPr>
                <w:sz w:val="20"/>
                <w:szCs w:val="20"/>
                <w:color w:val="auto"/>
              </w:rPr>
            </w:pPr>
            <w:r>
              <w:rPr>
                <w:rFonts w:ascii="Arial" w:cs="Arial" w:eastAsia="Arial" w:hAnsi="Arial"/>
                <w:sz w:val="16"/>
                <w:szCs w:val="16"/>
                <w:color w:val="auto"/>
              </w:rPr>
              <w:t>$ 959.6</w:t>
            </w:r>
          </w:p>
        </w:tc>
        <w:tc>
          <w:tcPr>
            <w:tcW w:w="1020" w:type="dxa"/>
            <w:vAlign w:val="bottom"/>
          </w:tcPr>
          <w:p>
            <w:pPr>
              <w:jc w:val="right"/>
              <w:ind w:right="158"/>
              <w:spacing w:after="0"/>
              <w:rPr>
                <w:sz w:val="20"/>
                <w:szCs w:val="20"/>
                <w:color w:val="auto"/>
              </w:rPr>
            </w:pPr>
            <w:r>
              <w:rPr>
                <w:rFonts w:ascii="Arial" w:cs="Arial" w:eastAsia="Arial" w:hAnsi="Arial"/>
                <w:sz w:val="16"/>
                <w:szCs w:val="16"/>
                <w:color w:val="auto"/>
              </w:rPr>
              <w:t>$ 1,004.0</w:t>
            </w: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$ 1,189.9</w:t>
            </w:r>
          </w:p>
        </w:tc>
        <w:tc>
          <w:tcPr>
            <w:tcW w:w="1140" w:type="dxa"/>
            <w:vAlign w:val="bottom"/>
          </w:tcPr>
          <w:p>
            <w:pPr>
              <w:jc w:val="right"/>
              <w:ind w:right="157"/>
              <w:spacing w:after="0"/>
              <w:rPr>
                <w:sz w:val="20"/>
                <w:szCs w:val="20"/>
                <w:color w:val="auto"/>
              </w:rPr>
            </w:pPr>
            <w:r>
              <w:rPr>
                <w:rFonts w:ascii="Arial" w:cs="Arial" w:eastAsia="Arial" w:hAnsi="Arial"/>
                <w:sz w:val="16"/>
                <w:szCs w:val="16"/>
                <w:color w:val="auto"/>
              </w:rPr>
              <w:t>$ 1,168.6</w:t>
            </w:r>
          </w:p>
        </w:tc>
        <w:tc>
          <w:tcPr>
            <w:tcW w:w="940" w:type="dxa"/>
            <w:vAlign w:val="bottom"/>
          </w:tcPr>
          <w:p>
            <w:pPr>
              <w:jc w:val="right"/>
              <w:spacing w:after="0"/>
              <w:rPr>
                <w:sz w:val="20"/>
                <w:szCs w:val="20"/>
                <w:color w:val="auto"/>
              </w:rPr>
            </w:pPr>
            <w:r>
              <w:rPr>
                <w:rFonts w:ascii="Arial" w:cs="Arial" w:eastAsia="Arial" w:hAnsi="Arial"/>
                <w:sz w:val="16"/>
                <w:szCs w:val="16"/>
                <w:color w:val="auto"/>
              </w:rPr>
              <w:t>$ 1,221.9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320" w:type="dxa"/>
            <w:vAlign w:val="bottom"/>
            <w:shd w:val="clear" w:color="auto" w:fill="DDDDDD"/>
          </w:tcPr>
          <w:p>
            <w:pPr>
              <w:spacing w:after="0"/>
              <w:rPr>
                <w:sz w:val="20"/>
                <w:szCs w:val="20"/>
                <w:color w:val="auto"/>
              </w:rPr>
            </w:pPr>
            <w:r>
              <w:rPr>
                <w:rFonts w:ascii="Arial" w:cs="Arial" w:eastAsia="Arial" w:hAnsi="Arial"/>
                <w:sz w:val="16"/>
                <w:szCs w:val="16"/>
                <w:color w:val="auto"/>
              </w:rPr>
              <w:t>Bad debt</w:t>
            </w:r>
          </w:p>
        </w:tc>
        <w:tc>
          <w:tcPr>
            <w:tcW w:w="140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41.9</w:t>
            </w:r>
          </w:p>
        </w:tc>
        <w:tc>
          <w:tcPr>
            <w:tcW w:w="980" w:type="dxa"/>
            <w:vAlign w:val="bottom"/>
            <w:shd w:val="clear" w:color="auto" w:fill="DDDDDD"/>
          </w:tcPr>
          <w:p>
            <w:pPr>
              <w:jc w:val="right"/>
              <w:ind w:right="218"/>
              <w:spacing w:after="0"/>
              <w:rPr>
                <w:sz w:val="20"/>
                <w:szCs w:val="20"/>
                <w:color w:val="auto"/>
              </w:rPr>
            </w:pPr>
            <w:r>
              <w:rPr>
                <w:rFonts w:ascii="Arial" w:cs="Arial" w:eastAsia="Arial" w:hAnsi="Arial"/>
                <w:sz w:val="16"/>
                <w:szCs w:val="16"/>
                <w:color w:val="auto"/>
              </w:rPr>
              <w:t>39.6</w:t>
            </w:r>
          </w:p>
        </w:tc>
        <w:tc>
          <w:tcPr>
            <w:tcW w:w="7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43.4</w:t>
            </w:r>
          </w:p>
        </w:tc>
        <w:tc>
          <w:tcPr>
            <w:tcW w:w="7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22.2</w:t>
            </w:r>
          </w:p>
        </w:tc>
        <w:tc>
          <w:tcPr>
            <w:tcW w:w="1080" w:type="dxa"/>
            <w:vAlign w:val="bottom"/>
            <w:shd w:val="clear" w:color="auto" w:fill="DDDDDD"/>
          </w:tcPr>
          <w:p>
            <w:pPr>
              <w:jc w:val="right"/>
              <w:ind w:right="217"/>
              <w:spacing w:after="0"/>
              <w:rPr>
                <w:sz w:val="20"/>
                <w:szCs w:val="20"/>
                <w:color w:val="auto"/>
              </w:rPr>
            </w:pPr>
            <w:r>
              <w:rPr>
                <w:rFonts w:ascii="Arial" w:cs="Arial" w:eastAsia="Arial" w:hAnsi="Arial"/>
                <w:sz w:val="16"/>
                <w:szCs w:val="16"/>
                <w:color w:val="auto"/>
              </w:rPr>
              <w:t>18.9</w:t>
            </w:r>
          </w:p>
        </w:tc>
        <w:tc>
          <w:tcPr>
            <w:tcW w:w="1020" w:type="dxa"/>
            <w:vAlign w:val="bottom"/>
            <w:shd w:val="clear" w:color="auto" w:fill="DDDDDD"/>
          </w:tcPr>
          <w:p>
            <w:pPr>
              <w:jc w:val="right"/>
              <w:ind w:right="158"/>
              <w:spacing w:after="0"/>
              <w:rPr>
                <w:sz w:val="20"/>
                <w:szCs w:val="20"/>
                <w:color w:val="auto"/>
              </w:rPr>
            </w:pPr>
            <w:r>
              <w:rPr>
                <w:rFonts w:ascii="Arial" w:cs="Arial" w:eastAsia="Arial" w:hAnsi="Arial"/>
                <w:sz w:val="16"/>
                <w:szCs w:val="16"/>
                <w:color w:val="auto"/>
              </w:rPr>
              <w:t>19.4</w:t>
            </w:r>
          </w:p>
        </w:tc>
        <w:tc>
          <w:tcPr>
            <w:tcW w:w="102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64.1</w:t>
            </w:r>
          </w:p>
        </w:tc>
        <w:tc>
          <w:tcPr>
            <w:tcW w:w="1140" w:type="dxa"/>
            <w:vAlign w:val="bottom"/>
            <w:shd w:val="clear" w:color="auto" w:fill="DDDDDD"/>
          </w:tcPr>
          <w:p>
            <w:pPr>
              <w:jc w:val="right"/>
              <w:ind w:right="157"/>
              <w:spacing w:after="0"/>
              <w:rPr>
                <w:sz w:val="20"/>
                <w:szCs w:val="20"/>
                <w:color w:val="auto"/>
              </w:rPr>
            </w:pPr>
            <w:r>
              <w:rPr>
                <w:rFonts w:ascii="Arial" w:cs="Arial" w:eastAsia="Arial" w:hAnsi="Arial"/>
                <w:sz w:val="16"/>
                <w:szCs w:val="16"/>
                <w:color w:val="auto"/>
              </w:rPr>
              <w:t>58.5</w:t>
            </w:r>
          </w:p>
        </w:tc>
        <w:tc>
          <w:tcPr>
            <w:tcW w:w="9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Depreciation</w:t>
            </w:r>
          </w:p>
        </w:tc>
        <w:tc>
          <w:tcPr>
            <w:tcW w:w="1400" w:type="dxa"/>
            <w:vAlign w:val="bottom"/>
          </w:tcPr>
          <w:p>
            <w:pPr>
              <w:jc w:val="right"/>
              <w:ind w:right="97"/>
              <w:spacing w:after="0"/>
              <w:rPr>
                <w:sz w:val="20"/>
                <w:szCs w:val="20"/>
                <w:color w:val="auto"/>
              </w:rPr>
            </w:pPr>
            <w:r>
              <w:rPr>
                <w:rFonts w:ascii="Arial" w:cs="Arial" w:eastAsia="Arial" w:hAnsi="Arial"/>
                <w:sz w:val="16"/>
                <w:szCs w:val="16"/>
                <w:color w:val="auto"/>
              </w:rPr>
              <w:t>0.3</w:t>
            </w:r>
          </w:p>
        </w:tc>
        <w:tc>
          <w:tcPr>
            <w:tcW w:w="980" w:type="dxa"/>
            <w:vAlign w:val="bottom"/>
          </w:tcPr>
          <w:p>
            <w:pPr>
              <w:jc w:val="right"/>
              <w:ind w:right="218"/>
              <w:spacing w:after="0"/>
              <w:rPr>
                <w:sz w:val="20"/>
                <w:szCs w:val="20"/>
                <w:color w:val="auto"/>
              </w:rPr>
            </w:pPr>
            <w:r>
              <w:rPr>
                <w:rFonts w:ascii="Arial" w:cs="Arial" w:eastAsia="Arial" w:hAnsi="Arial"/>
                <w:sz w:val="16"/>
                <w:szCs w:val="16"/>
                <w:color w:val="auto"/>
              </w:rPr>
              <w:t>0.4</w:t>
            </w:r>
          </w:p>
        </w:tc>
        <w:tc>
          <w:tcPr>
            <w:tcW w:w="740" w:type="dxa"/>
            <w:vAlign w:val="bottom"/>
          </w:tcPr>
          <w:p>
            <w:pPr>
              <w:jc w:val="right"/>
              <w:ind w:right="98"/>
              <w:spacing w:after="0"/>
              <w:rPr>
                <w:sz w:val="20"/>
                <w:szCs w:val="20"/>
                <w:color w:val="auto"/>
              </w:rPr>
            </w:pPr>
            <w:r>
              <w:rPr>
                <w:rFonts w:ascii="Arial" w:cs="Arial" w:eastAsia="Arial" w:hAnsi="Arial"/>
                <w:sz w:val="16"/>
                <w:szCs w:val="16"/>
                <w:color w:val="auto"/>
              </w:rPr>
              <w:t>0.3</w:t>
            </w: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1080" w:type="dxa"/>
            <w:vAlign w:val="bottom"/>
          </w:tcPr>
          <w:p>
            <w:pPr>
              <w:jc w:val="right"/>
              <w:ind w:right="217"/>
              <w:spacing w:after="0"/>
              <w:rPr>
                <w:sz w:val="20"/>
                <w:szCs w:val="20"/>
                <w:color w:val="auto"/>
              </w:rPr>
            </w:pPr>
            <w:r>
              <w:rPr>
                <w:rFonts w:ascii="Arial" w:cs="Arial" w:eastAsia="Arial" w:hAnsi="Arial"/>
                <w:sz w:val="16"/>
                <w:szCs w:val="16"/>
                <w:color w:val="auto"/>
              </w:rPr>
              <w:t>7.6</w:t>
            </w:r>
          </w:p>
        </w:tc>
        <w:tc>
          <w:tcPr>
            <w:tcW w:w="1020" w:type="dxa"/>
            <w:vAlign w:val="bottom"/>
          </w:tcPr>
          <w:p>
            <w:pPr>
              <w:jc w:val="right"/>
              <w:ind w:right="158"/>
              <w:spacing w:after="0"/>
              <w:rPr>
                <w:sz w:val="20"/>
                <w:szCs w:val="20"/>
                <w:color w:val="auto"/>
              </w:rPr>
            </w:pPr>
            <w:r>
              <w:rPr>
                <w:rFonts w:ascii="Arial" w:cs="Arial" w:eastAsia="Arial" w:hAnsi="Arial"/>
                <w:sz w:val="16"/>
                <w:szCs w:val="16"/>
                <w:color w:val="auto"/>
              </w:rPr>
              <w:t>6.1</w:t>
            </w: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10.1</w:t>
            </w:r>
          </w:p>
        </w:tc>
        <w:tc>
          <w:tcPr>
            <w:tcW w:w="1140" w:type="dxa"/>
            <w:vAlign w:val="bottom"/>
          </w:tcPr>
          <w:p>
            <w:pPr>
              <w:jc w:val="right"/>
              <w:ind w:right="157"/>
              <w:spacing w:after="0"/>
              <w:rPr>
                <w:sz w:val="20"/>
                <w:szCs w:val="20"/>
                <w:color w:val="auto"/>
              </w:rPr>
            </w:pPr>
            <w:r>
              <w:rPr>
                <w:rFonts w:ascii="Arial" w:cs="Arial" w:eastAsia="Arial" w:hAnsi="Arial"/>
                <w:sz w:val="16"/>
                <w:szCs w:val="16"/>
                <w:color w:val="auto"/>
              </w:rPr>
              <w:t>8.0</w:t>
            </w: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shd w:val="clear" w:color="auto" w:fill="DDDDDD"/>
          </w:tcPr>
          <w:p>
            <w:pPr>
              <w:spacing w:after="0" w:line="251" w:lineRule="exact"/>
              <w:rPr>
                <w:sz w:val="20"/>
                <w:szCs w:val="20"/>
                <w:color w:val="auto"/>
              </w:rPr>
            </w:pPr>
            <w:r>
              <w:rPr>
                <w:rFonts w:ascii="Arial" w:cs="Arial" w:eastAsia="Arial" w:hAnsi="Arial"/>
                <w:sz w:val="16"/>
                <w:szCs w:val="16"/>
                <w:color w:val="auto"/>
              </w:rPr>
              <w:t>Amortization</w:t>
            </w:r>
            <w:r>
              <w:rPr>
                <w:rFonts w:ascii="Arial" w:cs="Arial" w:eastAsia="Arial" w:hAnsi="Arial"/>
                <w:sz w:val="26"/>
                <w:szCs w:val="26"/>
                <w:color w:val="auto"/>
                <w:vertAlign w:val="superscript"/>
              </w:rPr>
              <w:t>(1)</w:t>
            </w:r>
          </w:p>
        </w:tc>
        <w:tc>
          <w:tcPr>
            <w:tcW w:w="140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1.5</w:t>
            </w:r>
          </w:p>
        </w:tc>
        <w:tc>
          <w:tcPr>
            <w:tcW w:w="980" w:type="dxa"/>
            <w:vAlign w:val="bottom"/>
            <w:shd w:val="clear" w:color="auto" w:fill="DDDDDD"/>
          </w:tcPr>
          <w:p>
            <w:pPr>
              <w:jc w:val="right"/>
              <w:ind w:right="218"/>
              <w:spacing w:after="0"/>
              <w:rPr>
                <w:sz w:val="20"/>
                <w:szCs w:val="20"/>
                <w:color w:val="auto"/>
              </w:rPr>
            </w:pPr>
            <w:r>
              <w:rPr>
                <w:rFonts w:ascii="Arial" w:cs="Arial" w:eastAsia="Arial" w:hAnsi="Arial"/>
                <w:sz w:val="16"/>
                <w:szCs w:val="16"/>
                <w:color w:val="auto"/>
              </w:rPr>
              <w:t>0.7</w:t>
            </w:r>
          </w:p>
        </w:tc>
        <w:tc>
          <w:tcPr>
            <w:tcW w:w="7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3.6</w:t>
            </w:r>
          </w:p>
        </w:tc>
        <w:tc>
          <w:tcPr>
            <w:tcW w:w="7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15.4</w:t>
            </w:r>
          </w:p>
        </w:tc>
        <w:tc>
          <w:tcPr>
            <w:tcW w:w="1080" w:type="dxa"/>
            <w:vAlign w:val="bottom"/>
            <w:shd w:val="clear" w:color="auto" w:fill="DDDDDD"/>
          </w:tcPr>
          <w:p>
            <w:pPr>
              <w:jc w:val="right"/>
              <w:ind w:right="217"/>
              <w:spacing w:after="0"/>
              <w:rPr>
                <w:sz w:val="20"/>
                <w:szCs w:val="20"/>
                <w:color w:val="auto"/>
              </w:rPr>
            </w:pPr>
            <w:r>
              <w:rPr>
                <w:rFonts w:ascii="Arial" w:cs="Arial" w:eastAsia="Arial" w:hAnsi="Arial"/>
                <w:sz w:val="16"/>
                <w:szCs w:val="16"/>
                <w:color w:val="auto"/>
              </w:rPr>
              <w:t>15.3</w:t>
            </w:r>
          </w:p>
        </w:tc>
        <w:tc>
          <w:tcPr>
            <w:tcW w:w="1020" w:type="dxa"/>
            <w:vAlign w:val="bottom"/>
            <w:shd w:val="clear" w:color="auto" w:fill="DDDDDD"/>
          </w:tcPr>
          <w:p>
            <w:pPr>
              <w:jc w:val="right"/>
              <w:ind w:right="158"/>
              <w:spacing w:after="0"/>
              <w:rPr>
                <w:sz w:val="20"/>
                <w:szCs w:val="20"/>
                <w:color w:val="auto"/>
              </w:rPr>
            </w:pPr>
            <w:r>
              <w:rPr>
                <w:rFonts w:ascii="Arial" w:cs="Arial" w:eastAsia="Arial" w:hAnsi="Arial"/>
                <w:sz w:val="16"/>
                <w:szCs w:val="16"/>
                <w:color w:val="auto"/>
              </w:rPr>
              <w:t>13.0</w:t>
            </w:r>
          </w:p>
        </w:tc>
        <w:tc>
          <w:tcPr>
            <w:tcW w:w="102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16.9</w:t>
            </w:r>
          </w:p>
        </w:tc>
        <w:tc>
          <w:tcPr>
            <w:tcW w:w="1140" w:type="dxa"/>
            <w:vAlign w:val="bottom"/>
            <w:shd w:val="clear" w:color="auto" w:fill="DDDDDD"/>
          </w:tcPr>
          <w:p>
            <w:pPr>
              <w:jc w:val="right"/>
              <w:ind w:right="157"/>
              <w:spacing w:after="0"/>
              <w:rPr>
                <w:sz w:val="20"/>
                <w:szCs w:val="20"/>
                <w:color w:val="auto"/>
              </w:rPr>
            </w:pPr>
            <w:r>
              <w:rPr>
                <w:rFonts w:ascii="Arial" w:cs="Arial" w:eastAsia="Arial" w:hAnsi="Arial"/>
                <w:sz w:val="16"/>
                <w:szCs w:val="16"/>
                <w:color w:val="auto"/>
              </w:rPr>
              <w:t>16.0</w:t>
            </w:r>
          </w:p>
        </w:tc>
        <w:tc>
          <w:tcPr>
            <w:tcW w:w="9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Royalty advances</w:t>
            </w:r>
          </w:p>
        </w:tc>
        <w:tc>
          <w:tcPr>
            <w:tcW w:w="1400" w:type="dxa"/>
            <w:vAlign w:val="bottom"/>
          </w:tcPr>
          <w:p>
            <w:pPr>
              <w:jc w:val="right"/>
              <w:ind w:right="97"/>
              <w:spacing w:after="0"/>
              <w:rPr>
                <w:sz w:val="20"/>
                <w:szCs w:val="20"/>
                <w:color w:val="auto"/>
              </w:rPr>
            </w:pPr>
            <w:r>
              <w:rPr>
                <w:rFonts w:ascii="Arial" w:cs="Arial" w:eastAsia="Arial" w:hAnsi="Arial"/>
                <w:sz w:val="16"/>
                <w:szCs w:val="16"/>
                <w:color w:val="auto"/>
              </w:rPr>
              <w:t>4.5</w:t>
            </w:r>
          </w:p>
        </w:tc>
        <w:tc>
          <w:tcPr>
            <w:tcW w:w="980" w:type="dxa"/>
            <w:vAlign w:val="bottom"/>
          </w:tcPr>
          <w:p>
            <w:pPr>
              <w:jc w:val="right"/>
              <w:ind w:right="218"/>
              <w:spacing w:after="0"/>
              <w:rPr>
                <w:sz w:val="20"/>
                <w:szCs w:val="20"/>
                <w:color w:val="auto"/>
              </w:rPr>
            </w:pPr>
            <w:r>
              <w:rPr>
                <w:rFonts w:ascii="Arial" w:cs="Arial" w:eastAsia="Arial" w:hAnsi="Arial"/>
                <w:sz w:val="16"/>
                <w:szCs w:val="16"/>
                <w:color w:val="auto"/>
              </w:rPr>
              <w:t>1.2</w:t>
            </w:r>
          </w:p>
        </w:tc>
        <w:tc>
          <w:tcPr>
            <w:tcW w:w="740" w:type="dxa"/>
            <w:vAlign w:val="bottom"/>
          </w:tcPr>
          <w:p>
            <w:pPr>
              <w:jc w:val="right"/>
              <w:ind w:right="98"/>
              <w:spacing w:after="0"/>
              <w:rPr>
                <w:sz w:val="20"/>
                <w:szCs w:val="20"/>
                <w:color w:val="auto"/>
              </w:rPr>
            </w:pPr>
            <w:r>
              <w:rPr>
                <w:rFonts w:ascii="Arial" w:cs="Arial" w:eastAsia="Arial" w:hAnsi="Arial"/>
                <w:sz w:val="16"/>
                <w:szCs w:val="16"/>
                <w:color w:val="auto"/>
              </w:rPr>
              <w:t>0.2</w:t>
            </w:r>
          </w:p>
        </w:tc>
        <w:tc>
          <w:tcPr>
            <w:tcW w:w="760" w:type="dxa"/>
            <w:vAlign w:val="bottom"/>
          </w:tcPr>
          <w:p>
            <w:pPr>
              <w:jc w:val="right"/>
              <w:spacing w:after="0"/>
              <w:rPr>
                <w:sz w:val="20"/>
                <w:szCs w:val="20"/>
                <w:color w:val="auto"/>
              </w:rPr>
            </w:pPr>
            <w:r>
              <w:rPr>
                <w:rFonts w:ascii="Arial" w:cs="Arial" w:eastAsia="Arial" w:hAnsi="Arial"/>
                <w:sz w:val="16"/>
                <w:szCs w:val="16"/>
                <w:color w:val="auto"/>
              </w:rPr>
              <w:t>21.3</w:t>
            </w:r>
          </w:p>
        </w:tc>
        <w:tc>
          <w:tcPr>
            <w:tcW w:w="1080" w:type="dxa"/>
            <w:vAlign w:val="bottom"/>
          </w:tcPr>
          <w:p>
            <w:pPr>
              <w:jc w:val="right"/>
              <w:ind w:right="217"/>
              <w:spacing w:after="0"/>
              <w:rPr>
                <w:sz w:val="20"/>
                <w:szCs w:val="20"/>
                <w:color w:val="auto"/>
              </w:rPr>
            </w:pPr>
            <w:r>
              <w:rPr>
                <w:rFonts w:ascii="Arial" w:cs="Arial" w:eastAsia="Arial" w:hAnsi="Arial"/>
                <w:sz w:val="16"/>
                <w:szCs w:val="16"/>
                <w:color w:val="auto"/>
              </w:rPr>
              <w:t>22.4</w:t>
            </w:r>
          </w:p>
        </w:tc>
        <w:tc>
          <w:tcPr>
            <w:tcW w:w="1020" w:type="dxa"/>
            <w:vAlign w:val="bottom"/>
          </w:tcPr>
          <w:p>
            <w:pPr>
              <w:jc w:val="right"/>
              <w:ind w:right="158"/>
              <w:spacing w:after="0"/>
              <w:rPr>
                <w:sz w:val="20"/>
                <w:szCs w:val="20"/>
                <w:color w:val="auto"/>
              </w:rPr>
            </w:pPr>
            <w:r>
              <w:rPr>
                <w:rFonts w:ascii="Arial" w:cs="Arial" w:eastAsia="Arial" w:hAnsi="Arial"/>
                <w:sz w:val="16"/>
                <w:szCs w:val="16"/>
                <w:color w:val="auto"/>
              </w:rPr>
              <w:t>22.7</w:t>
            </w: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25.8</w:t>
            </w:r>
          </w:p>
        </w:tc>
        <w:tc>
          <w:tcPr>
            <w:tcW w:w="1140" w:type="dxa"/>
            <w:vAlign w:val="bottom"/>
          </w:tcPr>
          <w:p>
            <w:pPr>
              <w:jc w:val="right"/>
              <w:ind w:right="157"/>
              <w:spacing w:after="0"/>
              <w:rPr>
                <w:sz w:val="20"/>
                <w:szCs w:val="20"/>
                <w:color w:val="auto"/>
              </w:rPr>
            </w:pPr>
            <w:r>
              <w:rPr>
                <w:rFonts w:ascii="Arial" w:cs="Arial" w:eastAsia="Arial" w:hAnsi="Arial"/>
                <w:sz w:val="16"/>
                <w:szCs w:val="16"/>
                <w:color w:val="auto"/>
              </w:rPr>
              <w:t>23.6</w:t>
            </w: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ind w:left="380"/>
              <w:spacing w:after="0"/>
              <w:rPr>
                <w:sz w:val="20"/>
                <w:szCs w:val="20"/>
                <w:color w:val="auto"/>
              </w:rPr>
            </w:pPr>
            <w:r>
              <w:rPr>
                <w:rFonts w:ascii="Arial" w:cs="Arial" w:eastAsia="Arial" w:hAnsi="Arial"/>
                <w:sz w:val="16"/>
                <w:szCs w:val="16"/>
                <w:color w:val="auto"/>
              </w:rPr>
              <w:t>expensed</w:t>
            </w: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320" w:type="dxa"/>
            <w:vAlign w:val="bottom"/>
            <w:shd w:val="clear" w:color="auto" w:fill="DDDDDD"/>
          </w:tcPr>
          <w:p>
            <w:pPr>
              <w:spacing w:after="0" w:line="235" w:lineRule="exact"/>
              <w:rPr>
                <w:sz w:val="20"/>
                <w:szCs w:val="20"/>
                <w:color w:val="auto"/>
              </w:rPr>
            </w:pPr>
            <w:r>
              <w:rPr>
                <w:rFonts w:ascii="Arial" w:cs="Arial" w:eastAsia="Arial" w:hAnsi="Arial"/>
                <w:sz w:val="16"/>
                <w:szCs w:val="16"/>
                <w:color w:val="auto"/>
              </w:rPr>
              <w:t>Business profit</w:t>
            </w:r>
            <w:r>
              <w:rPr>
                <w:rFonts w:ascii="Arial" w:cs="Arial" w:eastAsia="Arial" w:hAnsi="Arial"/>
                <w:sz w:val="26"/>
                <w:szCs w:val="26"/>
                <w:color w:val="auto"/>
                <w:vertAlign w:val="superscript"/>
              </w:rPr>
              <w:t>(2)</w:t>
            </w:r>
          </w:p>
        </w:tc>
        <w:tc>
          <w:tcPr>
            <w:tcW w:w="140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30.7</w:t>
            </w:r>
          </w:p>
        </w:tc>
        <w:tc>
          <w:tcPr>
            <w:tcW w:w="980" w:type="dxa"/>
            <w:vAlign w:val="bottom"/>
            <w:shd w:val="clear" w:color="auto" w:fill="DDDDDD"/>
          </w:tcPr>
          <w:p>
            <w:pPr>
              <w:jc w:val="right"/>
              <w:ind w:right="218"/>
              <w:spacing w:after="0"/>
              <w:rPr>
                <w:sz w:val="20"/>
                <w:szCs w:val="20"/>
                <w:color w:val="auto"/>
              </w:rPr>
            </w:pPr>
            <w:r>
              <w:rPr>
                <w:rFonts w:ascii="Arial" w:cs="Arial" w:eastAsia="Arial" w:hAnsi="Arial"/>
                <w:sz w:val="16"/>
                <w:szCs w:val="16"/>
                <w:color w:val="auto"/>
              </w:rPr>
              <w:t>39.7</w:t>
            </w:r>
          </w:p>
        </w:tc>
        <w:tc>
          <w:tcPr>
            <w:tcW w:w="7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13.5</w:t>
            </w:r>
          </w:p>
        </w:tc>
        <w:tc>
          <w:tcPr>
            <w:tcW w:w="7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106.4</w:t>
            </w:r>
          </w:p>
        </w:tc>
        <w:tc>
          <w:tcPr>
            <w:tcW w:w="1080" w:type="dxa"/>
            <w:vAlign w:val="bottom"/>
            <w:shd w:val="clear" w:color="auto" w:fill="DDDDDD"/>
          </w:tcPr>
          <w:p>
            <w:pPr>
              <w:jc w:val="right"/>
              <w:ind w:right="217"/>
              <w:spacing w:after="0"/>
              <w:rPr>
                <w:sz w:val="20"/>
                <w:szCs w:val="20"/>
                <w:color w:val="auto"/>
              </w:rPr>
            </w:pPr>
            <w:r>
              <w:rPr>
                <w:rFonts w:ascii="Arial" w:cs="Arial" w:eastAsia="Arial" w:hAnsi="Arial"/>
                <w:sz w:val="16"/>
                <w:szCs w:val="16"/>
                <w:color w:val="auto"/>
              </w:rPr>
              <w:t>138.7</w:t>
            </w:r>
          </w:p>
        </w:tc>
        <w:tc>
          <w:tcPr>
            <w:tcW w:w="1020" w:type="dxa"/>
            <w:vAlign w:val="bottom"/>
            <w:shd w:val="clear" w:color="auto" w:fill="DDDDDD"/>
          </w:tcPr>
          <w:p>
            <w:pPr>
              <w:jc w:val="right"/>
              <w:ind w:right="158"/>
              <w:spacing w:after="0"/>
              <w:rPr>
                <w:sz w:val="20"/>
                <w:szCs w:val="20"/>
                <w:color w:val="auto"/>
              </w:rPr>
            </w:pPr>
            <w:r>
              <w:rPr>
                <w:rFonts w:ascii="Arial" w:cs="Arial" w:eastAsia="Arial" w:hAnsi="Arial"/>
                <w:sz w:val="16"/>
                <w:szCs w:val="16"/>
                <w:color w:val="auto"/>
              </w:rPr>
              <w:t>189.4</w:t>
            </w:r>
          </w:p>
        </w:tc>
        <w:tc>
          <w:tcPr>
            <w:tcW w:w="102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137.1</w:t>
            </w:r>
          </w:p>
        </w:tc>
        <w:tc>
          <w:tcPr>
            <w:tcW w:w="1140" w:type="dxa"/>
            <w:vAlign w:val="bottom"/>
            <w:shd w:val="clear" w:color="auto" w:fill="DDDDDD"/>
          </w:tcPr>
          <w:p>
            <w:pPr>
              <w:jc w:val="right"/>
              <w:ind w:right="157"/>
              <w:spacing w:after="0"/>
              <w:rPr>
                <w:sz w:val="20"/>
                <w:szCs w:val="20"/>
                <w:color w:val="auto"/>
              </w:rPr>
            </w:pPr>
            <w:r>
              <w:rPr>
                <w:rFonts w:ascii="Arial" w:cs="Arial" w:eastAsia="Arial" w:hAnsi="Arial"/>
                <w:sz w:val="16"/>
                <w:szCs w:val="16"/>
                <w:color w:val="auto"/>
              </w:rPr>
              <w:t>178.4</w:t>
            </w:r>
          </w:p>
        </w:tc>
        <w:tc>
          <w:tcPr>
            <w:tcW w:w="9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Business assets</w:t>
            </w:r>
          </w:p>
        </w:tc>
        <w:tc>
          <w:tcPr>
            <w:tcW w:w="1400" w:type="dxa"/>
            <w:vAlign w:val="bottom"/>
          </w:tcPr>
          <w:p>
            <w:pPr>
              <w:jc w:val="right"/>
              <w:ind w:right="97"/>
              <w:spacing w:after="0"/>
              <w:rPr>
                <w:sz w:val="20"/>
                <w:szCs w:val="20"/>
                <w:color w:val="auto"/>
              </w:rPr>
            </w:pPr>
            <w:r>
              <w:rPr>
                <w:rFonts w:ascii="Arial" w:cs="Arial" w:eastAsia="Arial" w:hAnsi="Arial"/>
                <w:sz w:val="16"/>
                <w:szCs w:val="16"/>
                <w:color w:val="auto"/>
              </w:rPr>
              <w:t>258.4</w:t>
            </w:r>
          </w:p>
        </w:tc>
        <w:tc>
          <w:tcPr>
            <w:tcW w:w="980" w:type="dxa"/>
            <w:vAlign w:val="bottom"/>
          </w:tcPr>
          <w:p>
            <w:pPr>
              <w:jc w:val="right"/>
              <w:ind w:right="218"/>
              <w:spacing w:after="0"/>
              <w:rPr>
                <w:sz w:val="20"/>
                <w:szCs w:val="20"/>
                <w:color w:val="auto"/>
              </w:rPr>
            </w:pPr>
            <w:r>
              <w:rPr>
                <w:rFonts w:ascii="Arial" w:cs="Arial" w:eastAsia="Arial" w:hAnsi="Arial"/>
                <w:sz w:val="16"/>
                <w:szCs w:val="16"/>
                <w:color w:val="auto"/>
              </w:rPr>
              <w:t>241.8</w:t>
            </w:r>
          </w:p>
        </w:tc>
        <w:tc>
          <w:tcPr>
            <w:tcW w:w="740" w:type="dxa"/>
            <w:vAlign w:val="bottom"/>
          </w:tcPr>
          <w:p>
            <w:pPr>
              <w:jc w:val="right"/>
              <w:ind w:right="98"/>
              <w:spacing w:after="0"/>
              <w:rPr>
                <w:sz w:val="20"/>
                <w:szCs w:val="20"/>
                <w:color w:val="auto"/>
              </w:rPr>
            </w:pPr>
            <w:r>
              <w:rPr>
                <w:rFonts w:ascii="Arial" w:cs="Arial" w:eastAsia="Arial" w:hAnsi="Arial"/>
                <w:sz w:val="16"/>
                <w:szCs w:val="16"/>
                <w:color w:val="auto"/>
              </w:rPr>
              <w:t>243.1</w:t>
            </w:r>
          </w:p>
        </w:tc>
        <w:tc>
          <w:tcPr>
            <w:tcW w:w="760" w:type="dxa"/>
            <w:vAlign w:val="bottom"/>
          </w:tcPr>
          <w:p>
            <w:pPr>
              <w:jc w:val="right"/>
              <w:spacing w:after="0"/>
              <w:rPr>
                <w:sz w:val="20"/>
                <w:szCs w:val="20"/>
                <w:color w:val="auto"/>
              </w:rPr>
            </w:pPr>
            <w:r>
              <w:rPr>
                <w:rFonts w:ascii="Arial" w:cs="Arial" w:eastAsia="Arial" w:hAnsi="Arial"/>
                <w:sz w:val="16"/>
                <w:szCs w:val="16"/>
                <w:color w:val="auto"/>
              </w:rPr>
              <w:t>487.2</w:t>
            </w:r>
          </w:p>
        </w:tc>
        <w:tc>
          <w:tcPr>
            <w:tcW w:w="1080" w:type="dxa"/>
            <w:vAlign w:val="bottom"/>
          </w:tcPr>
          <w:p>
            <w:pPr>
              <w:jc w:val="right"/>
              <w:ind w:right="217"/>
              <w:spacing w:after="0"/>
              <w:rPr>
                <w:sz w:val="20"/>
                <w:szCs w:val="20"/>
                <w:color w:val="auto"/>
              </w:rPr>
            </w:pPr>
            <w:r>
              <w:rPr>
                <w:rFonts w:ascii="Arial" w:cs="Arial" w:eastAsia="Arial" w:hAnsi="Arial"/>
                <w:sz w:val="16"/>
                <w:szCs w:val="16"/>
                <w:color w:val="auto"/>
              </w:rPr>
              <w:t>443.7</w:t>
            </w:r>
          </w:p>
        </w:tc>
        <w:tc>
          <w:tcPr>
            <w:tcW w:w="1020" w:type="dxa"/>
            <w:vAlign w:val="bottom"/>
          </w:tcPr>
          <w:p>
            <w:pPr>
              <w:jc w:val="right"/>
              <w:ind w:right="158"/>
              <w:spacing w:after="0"/>
              <w:rPr>
                <w:sz w:val="20"/>
                <w:szCs w:val="20"/>
                <w:color w:val="auto"/>
              </w:rPr>
            </w:pPr>
            <w:r>
              <w:rPr>
                <w:rFonts w:ascii="Arial" w:cs="Arial" w:eastAsia="Arial" w:hAnsi="Arial"/>
                <w:sz w:val="16"/>
                <w:szCs w:val="16"/>
                <w:color w:val="auto"/>
              </w:rPr>
              <w:t>396.9</w:t>
            </w: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745.6</w:t>
            </w:r>
          </w:p>
        </w:tc>
        <w:tc>
          <w:tcPr>
            <w:tcW w:w="1140" w:type="dxa"/>
            <w:vAlign w:val="bottom"/>
          </w:tcPr>
          <w:p>
            <w:pPr>
              <w:jc w:val="right"/>
              <w:ind w:right="157"/>
              <w:spacing w:after="0"/>
              <w:rPr>
                <w:sz w:val="20"/>
                <w:szCs w:val="20"/>
                <w:color w:val="auto"/>
              </w:rPr>
            </w:pPr>
            <w:r>
              <w:rPr>
                <w:rFonts w:ascii="Arial" w:cs="Arial" w:eastAsia="Arial" w:hAnsi="Arial"/>
                <w:sz w:val="16"/>
                <w:szCs w:val="16"/>
                <w:color w:val="auto"/>
              </w:rPr>
              <w:t>685.5</w:t>
            </w:r>
          </w:p>
        </w:tc>
        <w:tc>
          <w:tcPr>
            <w:tcW w:w="940" w:type="dxa"/>
            <w:vAlign w:val="bottom"/>
          </w:tcPr>
          <w:p>
            <w:pPr>
              <w:jc w:val="right"/>
              <w:spacing w:after="0"/>
              <w:rPr>
                <w:sz w:val="20"/>
                <w:szCs w:val="20"/>
                <w:color w:val="auto"/>
              </w:rPr>
            </w:pPr>
            <w:r>
              <w:rPr>
                <w:rFonts w:ascii="Arial" w:cs="Arial" w:eastAsia="Arial" w:hAnsi="Arial"/>
                <w:sz w:val="16"/>
                <w:szCs w:val="16"/>
                <w:color w:val="auto"/>
              </w:rPr>
              <w:t>640.0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shd w:val="clear" w:color="auto" w:fill="DDDDDD"/>
          </w:tcPr>
          <w:p>
            <w:pPr>
              <w:spacing w:after="0"/>
              <w:rPr>
                <w:sz w:val="20"/>
                <w:szCs w:val="20"/>
                <w:color w:val="auto"/>
              </w:rPr>
            </w:pPr>
            <w:r>
              <w:rPr>
                <w:rFonts w:ascii="Arial" w:cs="Arial" w:eastAsia="Arial" w:hAnsi="Arial"/>
                <w:sz w:val="16"/>
                <w:szCs w:val="16"/>
                <w:color w:val="auto"/>
              </w:rPr>
              <w:t>Goodwill</w:t>
            </w:r>
          </w:p>
        </w:tc>
        <w:tc>
          <w:tcPr>
            <w:tcW w:w="140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93.0</w:t>
            </w:r>
          </w:p>
        </w:tc>
        <w:tc>
          <w:tcPr>
            <w:tcW w:w="980" w:type="dxa"/>
            <w:vAlign w:val="bottom"/>
            <w:shd w:val="clear" w:color="auto" w:fill="DDDDDD"/>
          </w:tcPr>
          <w:p>
            <w:pPr>
              <w:jc w:val="right"/>
              <w:ind w:right="218"/>
              <w:spacing w:after="0"/>
              <w:rPr>
                <w:sz w:val="20"/>
                <w:szCs w:val="20"/>
                <w:color w:val="auto"/>
              </w:rPr>
            </w:pPr>
            <w:r>
              <w:rPr>
                <w:rFonts w:ascii="Arial" w:cs="Arial" w:eastAsia="Arial" w:hAnsi="Arial"/>
                <w:sz w:val="16"/>
                <w:szCs w:val="16"/>
                <w:color w:val="auto"/>
              </w:rPr>
              <w:t>93.4</w:t>
            </w:r>
          </w:p>
        </w:tc>
        <w:tc>
          <w:tcPr>
            <w:tcW w:w="7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88.4</w:t>
            </w:r>
          </w:p>
        </w:tc>
        <w:tc>
          <w:tcPr>
            <w:tcW w:w="7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33.3</w:t>
            </w:r>
          </w:p>
        </w:tc>
        <w:tc>
          <w:tcPr>
            <w:tcW w:w="1080" w:type="dxa"/>
            <w:vAlign w:val="bottom"/>
            <w:shd w:val="clear" w:color="auto" w:fill="DDDDDD"/>
          </w:tcPr>
          <w:p>
            <w:pPr>
              <w:jc w:val="right"/>
              <w:ind w:right="217"/>
              <w:spacing w:after="0"/>
              <w:rPr>
                <w:sz w:val="20"/>
                <w:szCs w:val="20"/>
                <w:color w:val="auto"/>
              </w:rPr>
            </w:pPr>
            <w:r>
              <w:rPr>
                <w:rFonts w:ascii="Arial" w:cs="Arial" w:eastAsia="Arial" w:hAnsi="Arial"/>
                <w:sz w:val="16"/>
                <w:szCs w:val="16"/>
                <w:color w:val="auto"/>
              </w:rPr>
              <w:t>36.1</w:t>
            </w:r>
          </w:p>
        </w:tc>
        <w:tc>
          <w:tcPr>
            <w:tcW w:w="1020" w:type="dxa"/>
            <w:vAlign w:val="bottom"/>
            <w:shd w:val="clear" w:color="auto" w:fill="DDDDDD"/>
          </w:tcPr>
          <w:p>
            <w:pPr>
              <w:jc w:val="right"/>
              <w:ind w:right="158"/>
              <w:spacing w:after="0"/>
              <w:rPr>
                <w:sz w:val="20"/>
                <w:szCs w:val="20"/>
                <w:color w:val="auto"/>
              </w:rPr>
            </w:pPr>
            <w:r>
              <w:rPr>
                <w:rFonts w:ascii="Arial" w:cs="Arial" w:eastAsia="Arial" w:hAnsi="Arial"/>
                <w:sz w:val="16"/>
                <w:szCs w:val="16"/>
                <w:color w:val="auto"/>
              </w:rPr>
              <w:t>20.8</w:t>
            </w:r>
          </w:p>
        </w:tc>
        <w:tc>
          <w:tcPr>
            <w:tcW w:w="102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126.3</w:t>
            </w:r>
          </w:p>
        </w:tc>
        <w:tc>
          <w:tcPr>
            <w:tcW w:w="1140" w:type="dxa"/>
            <w:vAlign w:val="bottom"/>
            <w:shd w:val="clear" w:color="auto" w:fill="DDDDDD"/>
          </w:tcPr>
          <w:p>
            <w:pPr>
              <w:jc w:val="right"/>
              <w:ind w:right="157"/>
              <w:spacing w:after="0"/>
              <w:rPr>
                <w:sz w:val="20"/>
                <w:szCs w:val="20"/>
                <w:color w:val="auto"/>
              </w:rPr>
            </w:pPr>
            <w:r>
              <w:rPr>
                <w:rFonts w:ascii="Arial" w:cs="Arial" w:eastAsia="Arial" w:hAnsi="Arial"/>
                <w:sz w:val="16"/>
                <w:szCs w:val="16"/>
                <w:color w:val="auto"/>
              </w:rPr>
              <w:t>129.5</w:t>
            </w:r>
          </w:p>
        </w:tc>
        <w:tc>
          <w:tcPr>
            <w:tcW w:w="9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Expenditures for</w:t>
            </w:r>
          </w:p>
        </w:tc>
        <w:tc>
          <w:tcPr>
            <w:tcW w:w="1400" w:type="dxa"/>
            <w:vAlign w:val="bottom"/>
          </w:tcPr>
          <w:p>
            <w:pPr>
              <w:jc w:val="right"/>
              <w:ind w:right="97"/>
              <w:spacing w:after="0"/>
              <w:rPr>
                <w:sz w:val="20"/>
                <w:szCs w:val="20"/>
                <w:color w:val="auto"/>
              </w:rPr>
            </w:pPr>
            <w:r>
              <w:rPr>
                <w:rFonts w:ascii="Arial" w:cs="Arial" w:eastAsia="Arial" w:hAnsi="Arial"/>
                <w:sz w:val="16"/>
                <w:szCs w:val="16"/>
                <w:color w:val="auto"/>
              </w:rPr>
              <w:t>6.8</w:t>
            </w:r>
          </w:p>
        </w:tc>
        <w:tc>
          <w:tcPr>
            <w:tcW w:w="980" w:type="dxa"/>
            <w:vAlign w:val="bottom"/>
          </w:tcPr>
          <w:p>
            <w:pPr>
              <w:jc w:val="right"/>
              <w:ind w:right="218"/>
              <w:spacing w:after="0"/>
              <w:rPr>
                <w:sz w:val="20"/>
                <w:szCs w:val="20"/>
                <w:color w:val="auto"/>
              </w:rPr>
            </w:pPr>
            <w:r>
              <w:rPr>
                <w:rFonts w:ascii="Arial" w:cs="Arial" w:eastAsia="Arial" w:hAnsi="Arial"/>
                <w:sz w:val="16"/>
                <w:szCs w:val="16"/>
                <w:color w:val="auto"/>
              </w:rPr>
              <w:t>9.5</w:t>
            </w:r>
          </w:p>
        </w:tc>
        <w:tc>
          <w:tcPr>
            <w:tcW w:w="740" w:type="dxa"/>
            <w:vAlign w:val="bottom"/>
          </w:tcPr>
          <w:p>
            <w:pPr>
              <w:jc w:val="right"/>
              <w:ind w:right="98"/>
              <w:spacing w:after="0"/>
              <w:rPr>
                <w:sz w:val="20"/>
                <w:szCs w:val="20"/>
                <w:color w:val="auto"/>
              </w:rPr>
            </w:pPr>
            <w:r>
              <w:rPr>
                <w:rFonts w:ascii="Arial" w:cs="Arial" w:eastAsia="Arial" w:hAnsi="Arial"/>
                <w:sz w:val="16"/>
                <w:szCs w:val="16"/>
                <w:color w:val="auto"/>
              </w:rPr>
              <w:t>213.9</w:t>
            </w:r>
          </w:p>
        </w:tc>
        <w:tc>
          <w:tcPr>
            <w:tcW w:w="760" w:type="dxa"/>
            <w:vAlign w:val="bottom"/>
          </w:tcPr>
          <w:p>
            <w:pPr>
              <w:jc w:val="right"/>
              <w:spacing w:after="0"/>
              <w:rPr>
                <w:sz w:val="20"/>
                <w:szCs w:val="20"/>
                <w:color w:val="auto"/>
              </w:rPr>
            </w:pPr>
            <w:r>
              <w:rPr>
                <w:rFonts w:ascii="Arial" w:cs="Arial" w:eastAsia="Arial" w:hAnsi="Arial"/>
                <w:sz w:val="16"/>
                <w:szCs w:val="16"/>
                <w:color w:val="auto"/>
              </w:rPr>
              <w:t>66.7</w:t>
            </w:r>
          </w:p>
        </w:tc>
        <w:tc>
          <w:tcPr>
            <w:tcW w:w="1080" w:type="dxa"/>
            <w:vAlign w:val="bottom"/>
          </w:tcPr>
          <w:p>
            <w:pPr>
              <w:jc w:val="right"/>
              <w:ind w:right="217"/>
              <w:spacing w:after="0"/>
              <w:rPr>
                <w:sz w:val="20"/>
                <w:szCs w:val="20"/>
                <w:color w:val="auto"/>
              </w:rPr>
            </w:pPr>
            <w:r>
              <w:rPr>
                <w:rFonts w:ascii="Arial" w:cs="Arial" w:eastAsia="Arial" w:hAnsi="Arial"/>
                <w:sz w:val="16"/>
                <w:szCs w:val="16"/>
                <w:color w:val="auto"/>
              </w:rPr>
              <w:t>103.0</w:t>
            </w:r>
          </w:p>
        </w:tc>
        <w:tc>
          <w:tcPr>
            <w:tcW w:w="1020" w:type="dxa"/>
            <w:vAlign w:val="bottom"/>
          </w:tcPr>
          <w:p>
            <w:pPr>
              <w:jc w:val="right"/>
              <w:ind w:right="158"/>
              <w:spacing w:after="0"/>
              <w:rPr>
                <w:sz w:val="20"/>
                <w:szCs w:val="20"/>
                <w:color w:val="auto"/>
              </w:rPr>
            </w:pPr>
            <w:r>
              <w:rPr>
                <w:rFonts w:ascii="Arial" w:cs="Arial" w:eastAsia="Arial" w:hAnsi="Arial"/>
                <w:sz w:val="16"/>
                <w:szCs w:val="16"/>
                <w:color w:val="auto"/>
              </w:rPr>
              <w:t>57.5</w:t>
            </w: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73.5</w:t>
            </w:r>
          </w:p>
        </w:tc>
        <w:tc>
          <w:tcPr>
            <w:tcW w:w="1140" w:type="dxa"/>
            <w:vAlign w:val="bottom"/>
          </w:tcPr>
          <w:p>
            <w:pPr>
              <w:jc w:val="right"/>
              <w:ind w:right="157"/>
              <w:spacing w:after="0"/>
              <w:rPr>
                <w:sz w:val="20"/>
                <w:szCs w:val="20"/>
                <w:color w:val="auto"/>
              </w:rPr>
            </w:pPr>
            <w:r>
              <w:rPr>
                <w:rFonts w:ascii="Arial" w:cs="Arial" w:eastAsia="Arial" w:hAnsi="Arial"/>
                <w:sz w:val="16"/>
                <w:szCs w:val="16"/>
                <w:color w:val="auto"/>
              </w:rPr>
              <w:t>112.5</w:t>
            </w:r>
          </w:p>
        </w:tc>
        <w:tc>
          <w:tcPr>
            <w:tcW w:w="940" w:type="dxa"/>
            <w:vAlign w:val="bottom"/>
          </w:tcPr>
          <w:p>
            <w:pPr>
              <w:jc w:val="right"/>
              <w:spacing w:after="0"/>
              <w:rPr>
                <w:sz w:val="20"/>
                <w:szCs w:val="20"/>
                <w:color w:val="auto"/>
              </w:rPr>
            </w:pPr>
            <w:r>
              <w:rPr>
                <w:rFonts w:ascii="Arial" w:cs="Arial" w:eastAsia="Arial" w:hAnsi="Arial"/>
                <w:sz w:val="16"/>
                <w:szCs w:val="16"/>
                <w:color w:val="auto"/>
              </w:rPr>
              <w:t>271.4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320" w:type="dxa"/>
            <w:vAlign w:val="bottom"/>
          </w:tcPr>
          <w:p>
            <w:pPr>
              <w:ind w:left="380"/>
              <w:spacing w:after="0" w:line="240" w:lineRule="exact"/>
              <w:rPr>
                <w:sz w:val="20"/>
                <w:szCs w:val="20"/>
                <w:color w:val="auto"/>
              </w:rPr>
            </w:pPr>
            <w:r>
              <w:rPr>
                <w:rFonts w:ascii="Arial" w:cs="Arial" w:eastAsia="Arial" w:hAnsi="Arial"/>
                <w:sz w:val="16"/>
                <w:szCs w:val="16"/>
                <w:color w:val="auto"/>
              </w:rPr>
              <w:t>long-lived assets</w:t>
            </w:r>
            <w:r>
              <w:rPr>
                <w:rFonts w:ascii="Arial" w:cs="Arial" w:eastAsia="Arial" w:hAnsi="Arial"/>
                <w:sz w:val="26"/>
                <w:szCs w:val="26"/>
                <w:color w:val="auto"/>
                <w:vertAlign w:val="superscript"/>
              </w:rPr>
              <w:t>(3)</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DDDDDD"/>
          </w:tcPr>
          <w:p>
            <w:pPr>
              <w:spacing w:after="0" w:line="233" w:lineRule="exact"/>
              <w:rPr>
                <w:sz w:val="20"/>
                <w:szCs w:val="20"/>
                <w:color w:val="auto"/>
              </w:rPr>
            </w:pPr>
            <w:r>
              <w:rPr>
                <w:rFonts w:ascii="Arial" w:cs="Arial" w:eastAsia="Arial" w:hAnsi="Arial"/>
                <w:sz w:val="16"/>
                <w:szCs w:val="16"/>
                <w:color w:val="auto"/>
              </w:rPr>
              <w:t>Long-lived assets</w:t>
            </w:r>
            <w:r>
              <w:rPr>
                <w:rFonts w:ascii="Arial" w:cs="Arial" w:eastAsia="Arial" w:hAnsi="Arial"/>
                <w:sz w:val="26"/>
                <w:szCs w:val="26"/>
                <w:color w:val="auto"/>
                <w:vertAlign w:val="superscript"/>
              </w:rPr>
              <w:t>(4)</w:t>
            </w:r>
          </w:p>
        </w:tc>
        <w:tc>
          <w:tcPr>
            <w:tcW w:w="140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142.5</w:t>
            </w:r>
          </w:p>
        </w:tc>
        <w:tc>
          <w:tcPr>
            <w:tcW w:w="980" w:type="dxa"/>
            <w:vAlign w:val="bottom"/>
            <w:shd w:val="clear" w:color="auto" w:fill="DDDDDD"/>
          </w:tcPr>
          <w:p>
            <w:pPr>
              <w:jc w:val="right"/>
              <w:ind w:right="218"/>
              <w:spacing w:after="0"/>
              <w:rPr>
                <w:sz w:val="20"/>
                <w:szCs w:val="20"/>
                <w:color w:val="auto"/>
              </w:rPr>
            </w:pPr>
            <w:r>
              <w:rPr>
                <w:rFonts w:ascii="Arial" w:cs="Arial" w:eastAsia="Arial" w:hAnsi="Arial"/>
                <w:sz w:val="16"/>
                <w:szCs w:val="16"/>
                <w:color w:val="auto"/>
              </w:rPr>
              <w:t>142.6</w:t>
            </w:r>
          </w:p>
        </w:tc>
        <w:tc>
          <w:tcPr>
            <w:tcW w:w="7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137.9</w:t>
            </w:r>
          </w:p>
        </w:tc>
        <w:tc>
          <w:tcPr>
            <w:tcW w:w="7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156.8</w:t>
            </w:r>
          </w:p>
        </w:tc>
        <w:tc>
          <w:tcPr>
            <w:tcW w:w="1080" w:type="dxa"/>
            <w:vAlign w:val="bottom"/>
            <w:shd w:val="clear" w:color="auto" w:fill="DDDDDD"/>
          </w:tcPr>
          <w:p>
            <w:pPr>
              <w:jc w:val="right"/>
              <w:ind w:right="217"/>
              <w:spacing w:after="0"/>
              <w:rPr>
                <w:sz w:val="20"/>
                <w:szCs w:val="20"/>
                <w:color w:val="auto"/>
              </w:rPr>
            </w:pPr>
            <w:r>
              <w:rPr>
                <w:rFonts w:ascii="Arial" w:cs="Arial" w:eastAsia="Arial" w:hAnsi="Arial"/>
                <w:sz w:val="16"/>
                <w:szCs w:val="16"/>
                <w:color w:val="auto"/>
              </w:rPr>
              <w:t>140.6</w:t>
            </w:r>
          </w:p>
        </w:tc>
        <w:tc>
          <w:tcPr>
            <w:tcW w:w="1020" w:type="dxa"/>
            <w:vAlign w:val="bottom"/>
            <w:shd w:val="clear" w:color="auto" w:fill="DDDDDD"/>
          </w:tcPr>
          <w:p>
            <w:pPr>
              <w:jc w:val="right"/>
              <w:ind w:right="158"/>
              <w:spacing w:after="0"/>
              <w:rPr>
                <w:sz w:val="20"/>
                <w:szCs w:val="20"/>
                <w:color w:val="auto"/>
              </w:rPr>
            </w:pPr>
            <w:r>
              <w:rPr>
                <w:rFonts w:ascii="Arial" w:cs="Arial" w:eastAsia="Arial" w:hAnsi="Arial"/>
                <w:sz w:val="16"/>
                <w:szCs w:val="16"/>
                <w:color w:val="auto"/>
              </w:rPr>
              <w:t>130.4</w:t>
            </w:r>
          </w:p>
        </w:tc>
        <w:tc>
          <w:tcPr>
            <w:tcW w:w="102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299.3</w:t>
            </w:r>
          </w:p>
        </w:tc>
        <w:tc>
          <w:tcPr>
            <w:tcW w:w="1140" w:type="dxa"/>
            <w:vAlign w:val="bottom"/>
            <w:shd w:val="clear" w:color="auto" w:fill="DDDDDD"/>
          </w:tcPr>
          <w:p>
            <w:pPr>
              <w:jc w:val="right"/>
              <w:ind w:right="157"/>
              <w:spacing w:after="0"/>
              <w:rPr>
                <w:sz w:val="20"/>
                <w:szCs w:val="20"/>
                <w:color w:val="auto"/>
              </w:rPr>
            </w:pPr>
            <w:r>
              <w:rPr>
                <w:rFonts w:ascii="Arial" w:cs="Arial" w:eastAsia="Arial" w:hAnsi="Arial"/>
                <w:sz w:val="16"/>
                <w:szCs w:val="16"/>
                <w:color w:val="auto"/>
              </w:rPr>
              <w:t>283.2</w:t>
            </w:r>
          </w:p>
        </w:tc>
        <w:tc>
          <w:tcPr>
            <w:tcW w:w="9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-27940</wp:posOffset>
            </wp:positionV>
            <wp:extent cx="12700" cy="28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7" w:lineRule="exact"/>
        <w:rPr>
          <w:sz w:val="20"/>
          <w:szCs w:val="20"/>
          <w:color w:val="auto"/>
        </w:rPr>
      </w:pPr>
    </w:p>
    <w:p>
      <w:pPr>
        <w:ind w:left="202" w:hanging="202"/>
        <w:spacing w:after="0"/>
        <w:tabs>
          <w:tab w:leader="none" w:pos="202"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fiscal 2003 and 2002, includes amortization of prepublication costs and other intangibles with definite lives. In fiscal 2001, includes amortization of prepublication costs, goodwill and other intangibles.</w:t>
      </w:r>
    </w:p>
    <w:p>
      <w:pPr>
        <w:spacing w:after="0" w:line="83" w:lineRule="exact"/>
        <w:rPr>
          <w:rFonts w:ascii="Arial" w:cs="Arial" w:eastAsia="Arial" w:hAnsi="Arial"/>
          <w:sz w:val="12"/>
          <w:szCs w:val="12"/>
          <w:color w:val="auto"/>
        </w:rPr>
      </w:pPr>
    </w:p>
    <w:p>
      <w:pPr>
        <w:ind w:left="202" w:hanging="202"/>
        <w:spacing w:after="0"/>
        <w:tabs>
          <w:tab w:leader="none" w:pos="202" w:val="left"/>
        </w:tabs>
        <w:numPr>
          <w:ilvl w:val="0"/>
          <w:numId w:val="8"/>
        </w:numPr>
        <w:rPr>
          <w:rFonts w:ascii="Arial" w:cs="Arial" w:eastAsia="Arial" w:hAnsi="Arial"/>
          <w:sz w:val="12"/>
          <w:szCs w:val="12"/>
          <w:color w:val="auto"/>
        </w:rPr>
      </w:pPr>
      <w:r>
        <w:rPr>
          <w:rFonts w:ascii="Arial" w:cs="Arial" w:eastAsia="Arial" w:hAnsi="Arial"/>
          <w:sz w:val="12"/>
          <w:szCs w:val="12"/>
          <w:color w:val="auto"/>
        </w:rPr>
        <w:t>Business profit represents earnings before other income (expense), interest and income taxes.</w:t>
      </w:r>
    </w:p>
    <w:p>
      <w:pPr>
        <w:spacing w:after="0" w:line="83" w:lineRule="exact"/>
        <w:rPr>
          <w:rFonts w:ascii="Arial" w:cs="Arial" w:eastAsia="Arial" w:hAnsi="Arial"/>
          <w:sz w:val="12"/>
          <w:szCs w:val="12"/>
          <w:color w:val="auto"/>
        </w:rPr>
      </w:pPr>
    </w:p>
    <w:p>
      <w:pPr>
        <w:ind w:left="202" w:hanging="202"/>
        <w:spacing w:after="0"/>
        <w:tabs>
          <w:tab w:leader="none" w:pos="202"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expenditures for property, plant and equipment, investments in prepublication costs, royalty advances and acquisitions of businesses.</w:t>
      </w:r>
    </w:p>
    <w:p>
      <w:pPr>
        <w:spacing w:after="0" w:line="83" w:lineRule="exact"/>
        <w:rPr>
          <w:rFonts w:ascii="Arial" w:cs="Arial" w:eastAsia="Arial" w:hAnsi="Arial"/>
          <w:sz w:val="12"/>
          <w:szCs w:val="12"/>
          <w:color w:val="auto"/>
        </w:rPr>
      </w:pPr>
    </w:p>
    <w:p>
      <w:pPr>
        <w:ind w:left="202" w:hanging="202"/>
        <w:spacing w:after="0"/>
        <w:tabs>
          <w:tab w:leader="none" w:pos="202"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property, plant and equipment, prepublication costs, goodwill, other intangibles and royalty advances.</w:t>
      </w:r>
    </w:p>
    <w:p>
      <w:pPr>
        <w:spacing w:after="0" w:line="200" w:lineRule="exact"/>
        <w:rPr>
          <w:sz w:val="20"/>
          <w:szCs w:val="20"/>
          <w:color w:val="auto"/>
        </w:rPr>
      </w:pPr>
    </w:p>
    <w:p>
      <w:pPr>
        <w:spacing w:after="0" w:line="28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3. DEBT</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summarizes debt as of May 31:</w:t>
      </w:r>
    </w:p>
    <w:tbl>
      <w:tblPr>
        <w:tblLayout w:type="fixed"/>
        <w:tblInd w:w="2" w:type="dxa"/>
        <w:tblCellMar>
          <w:top w:w="0" w:type="dxa"/>
          <w:left w:w="0" w:type="dxa"/>
          <w:bottom w:w="0" w:type="dxa"/>
          <w:right w:w="0" w:type="dxa"/>
        </w:tblCellMar>
      </w:tblPr>
      <w:tr>
        <w:trPr>
          <w:trHeight w:val="218"/>
        </w:trPr>
        <w:tc>
          <w:tcPr>
            <w:tcW w:w="7900" w:type="dxa"/>
            <w:vAlign w:val="bottom"/>
          </w:tcPr>
          <w:p>
            <w:pPr>
              <w:jc w:val="right"/>
              <w:ind w:right="222"/>
              <w:spacing w:after="0" w:line="218" w:lineRule="exact"/>
              <w:rPr>
                <w:sz w:val="20"/>
                <w:szCs w:val="20"/>
                <w:color w:val="auto"/>
              </w:rPr>
            </w:pPr>
            <w:r>
              <w:rPr>
                <w:rFonts w:ascii="Arial" w:cs="Arial" w:eastAsia="Arial" w:hAnsi="Arial"/>
                <w:sz w:val="20"/>
                <w:szCs w:val="20"/>
                <w:b w:val="1"/>
                <w:bCs w:val="1"/>
                <w:color w:val="auto"/>
              </w:rPr>
              <w:t>Carrying</w:t>
            </w:r>
          </w:p>
        </w:tc>
        <w:tc>
          <w:tcPr>
            <w:tcW w:w="1040" w:type="dxa"/>
            <w:vAlign w:val="bottom"/>
          </w:tcPr>
          <w:p>
            <w:pPr>
              <w:jc w:val="right"/>
              <w:ind w:right="122"/>
              <w:spacing w:after="0" w:line="218" w:lineRule="exact"/>
              <w:rPr>
                <w:sz w:val="20"/>
                <w:szCs w:val="20"/>
                <w:color w:val="auto"/>
              </w:rPr>
            </w:pPr>
            <w:r>
              <w:rPr>
                <w:rFonts w:ascii="Arial" w:cs="Arial" w:eastAsia="Arial" w:hAnsi="Arial"/>
                <w:sz w:val="20"/>
                <w:szCs w:val="20"/>
                <w:b w:val="1"/>
                <w:bCs w:val="1"/>
                <w:color w:val="auto"/>
              </w:rPr>
              <w:t>Fair</w:t>
            </w:r>
          </w:p>
        </w:tc>
        <w:tc>
          <w:tcPr>
            <w:tcW w:w="1460" w:type="dxa"/>
            <w:vAlign w:val="bottom"/>
          </w:tcPr>
          <w:p>
            <w:pPr>
              <w:jc w:val="right"/>
              <w:ind w:right="342"/>
              <w:spacing w:after="0" w:line="218" w:lineRule="exact"/>
              <w:rPr>
                <w:sz w:val="20"/>
                <w:szCs w:val="20"/>
                <w:color w:val="auto"/>
              </w:rPr>
            </w:pPr>
            <w:r>
              <w:rPr>
                <w:rFonts w:ascii="Arial" w:cs="Arial" w:eastAsia="Arial" w:hAnsi="Arial"/>
                <w:sz w:val="20"/>
                <w:szCs w:val="20"/>
                <w:b w:val="1"/>
                <w:bCs w:val="1"/>
                <w:color w:val="auto"/>
              </w:rPr>
              <w:t>Carrying</w:t>
            </w:r>
          </w:p>
        </w:tc>
        <w:tc>
          <w:tcPr>
            <w:tcW w:w="1020" w:type="dxa"/>
            <w:vAlign w:val="bottom"/>
          </w:tcPr>
          <w:p>
            <w:pPr>
              <w:jc w:val="right"/>
              <w:ind w:right="2"/>
              <w:spacing w:after="0" w:line="218" w:lineRule="exact"/>
              <w:rPr>
                <w:sz w:val="20"/>
                <w:szCs w:val="20"/>
                <w:color w:val="auto"/>
              </w:rPr>
            </w:pPr>
            <w:r>
              <w:rPr>
                <w:rFonts w:ascii="Arial" w:cs="Arial" w:eastAsia="Arial" w:hAnsi="Arial"/>
                <w:sz w:val="20"/>
                <w:szCs w:val="20"/>
                <w:b w:val="1"/>
                <w:bCs w:val="1"/>
                <w:color w:val="auto"/>
              </w:rPr>
              <w:t>Fair</w:t>
            </w:r>
          </w:p>
        </w:tc>
      </w:tr>
      <w:tr>
        <w:trPr>
          <w:trHeight w:val="255"/>
        </w:trPr>
        <w:tc>
          <w:tcPr>
            <w:tcW w:w="7900" w:type="dxa"/>
            <w:vAlign w:val="bottom"/>
          </w:tcPr>
          <w:p>
            <w:pPr>
              <w:jc w:val="right"/>
              <w:ind w:right="222"/>
              <w:spacing w:after="0"/>
              <w:rPr>
                <w:sz w:val="20"/>
                <w:szCs w:val="20"/>
                <w:color w:val="auto"/>
              </w:rPr>
            </w:pPr>
            <w:r>
              <w:rPr>
                <w:rFonts w:ascii="Arial" w:cs="Arial" w:eastAsia="Arial" w:hAnsi="Arial"/>
                <w:sz w:val="20"/>
                <w:szCs w:val="20"/>
                <w:b w:val="1"/>
                <w:bCs w:val="1"/>
                <w:color w:val="auto"/>
              </w:rPr>
              <w:t>Value</w:t>
            </w:r>
          </w:p>
        </w:tc>
        <w:tc>
          <w:tcPr>
            <w:tcW w:w="1040" w:type="dxa"/>
            <w:vAlign w:val="bottom"/>
          </w:tcPr>
          <w:p>
            <w:pPr>
              <w:jc w:val="right"/>
              <w:ind w:right="122"/>
              <w:spacing w:after="0"/>
              <w:rPr>
                <w:sz w:val="20"/>
                <w:szCs w:val="20"/>
                <w:color w:val="auto"/>
              </w:rPr>
            </w:pPr>
            <w:r>
              <w:rPr>
                <w:rFonts w:ascii="Arial" w:cs="Arial" w:eastAsia="Arial" w:hAnsi="Arial"/>
                <w:sz w:val="20"/>
                <w:szCs w:val="20"/>
                <w:b w:val="1"/>
                <w:bCs w:val="1"/>
                <w:color w:val="auto"/>
              </w:rPr>
              <w:t>Value</w:t>
            </w:r>
          </w:p>
        </w:tc>
        <w:tc>
          <w:tcPr>
            <w:tcW w:w="1460" w:type="dxa"/>
            <w:vAlign w:val="bottom"/>
          </w:tcPr>
          <w:p>
            <w:pPr>
              <w:jc w:val="right"/>
              <w:ind w:right="342"/>
              <w:spacing w:after="0"/>
              <w:rPr>
                <w:sz w:val="20"/>
                <w:szCs w:val="20"/>
                <w:color w:val="auto"/>
              </w:rPr>
            </w:pPr>
            <w:r>
              <w:rPr>
                <w:rFonts w:ascii="Arial" w:cs="Arial" w:eastAsia="Arial" w:hAnsi="Arial"/>
                <w:sz w:val="20"/>
                <w:szCs w:val="20"/>
                <w:b w:val="1"/>
                <w:bCs w:val="1"/>
                <w:color w:val="auto"/>
              </w:rPr>
              <w:t>Value</w:t>
            </w:r>
          </w:p>
        </w:tc>
        <w:tc>
          <w:tcPr>
            <w:tcW w:w="1020" w:type="dxa"/>
            <w:vAlign w:val="bottom"/>
          </w:tcPr>
          <w:p>
            <w:pPr>
              <w:jc w:val="right"/>
              <w:ind w:right="2"/>
              <w:spacing w:after="0"/>
              <w:rPr>
                <w:sz w:val="20"/>
                <w:szCs w:val="20"/>
                <w:color w:val="auto"/>
              </w:rPr>
            </w:pPr>
            <w:r>
              <w:rPr>
                <w:rFonts w:ascii="Arial" w:cs="Arial" w:eastAsia="Arial" w:hAnsi="Arial"/>
                <w:sz w:val="20"/>
                <w:szCs w:val="20"/>
                <w:b w:val="1"/>
                <w:bCs w:val="1"/>
                <w:color w:val="auto"/>
              </w:rPr>
              <w:t>Value</w:t>
            </w:r>
          </w:p>
        </w:tc>
      </w:tr>
      <w:tr>
        <w:trPr>
          <w:trHeight w:val="90"/>
        </w:trPr>
        <w:tc>
          <w:tcPr>
            <w:tcW w:w="79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r>
    </w:tbl>
    <w:p>
      <w:pPr>
        <w:sectPr>
          <w:pgSz w:w="11900" w:h="16838" w:orient="portrait"/>
          <w:cols w:equalWidth="0" w:num="1">
            <w:col w:w="11442"/>
          </w:cols>
          <w:pgMar w:left="238" w:top="131" w:right="219" w:bottom="0"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840" w:type="dxa"/>
            <w:vAlign w:val="bottom"/>
          </w:tcPr>
          <w:p>
            <w:pPr>
              <w:jc w:val="right"/>
              <w:ind w:right="98"/>
              <w:spacing w:after="0"/>
              <w:rPr>
                <w:sz w:val="20"/>
                <w:szCs w:val="20"/>
                <w:color w:val="auto"/>
              </w:rPr>
            </w:pPr>
            <w:r>
              <w:rPr>
                <w:rFonts w:ascii="Arial" w:cs="Arial" w:eastAsia="Arial" w:hAnsi="Arial"/>
                <w:sz w:val="20"/>
                <w:szCs w:val="20"/>
                <w:b w:val="1"/>
                <w:bCs w:val="1"/>
                <w:color w:val="auto"/>
              </w:rPr>
              <w:t>2003</w:t>
            </w: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jc w:val="right"/>
              <w:ind w:right="918"/>
              <w:spacing w:after="0"/>
              <w:rPr>
                <w:sz w:val="20"/>
                <w:szCs w:val="20"/>
                <w:color w:val="auto"/>
              </w:rPr>
            </w:pPr>
            <w:r>
              <w:rPr>
                <w:rFonts w:ascii="Arial" w:cs="Arial" w:eastAsia="Arial" w:hAnsi="Arial"/>
                <w:sz w:val="20"/>
                <w:szCs w:val="20"/>
                <w:b w:val="1"/>
                <w:bCs w:val="1"/>
                <w:color w:val="auto"/>
                <w:w w:val="85"/>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5200" w:type="dxa"/>
            <w:vAlign w:val="bottom"/>
            <w:gridSpan w:val="2"/>
          </w:tcPr>
          <w:p>
            <w:pPr>
              <w:spacing w:after="0"/>
              <w:rPr>
                <w:sz w:val="7"/>
                <w:szCs w:val="7"/>
                <w:color w:val="auto"/>
              </w:rPr>
            </w:pPr>
          </w:p>
        </w:tc>
        <w:tc>
          <w:tcPr>
            <w:tcW w:w="2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180" w:type="dxa"/>
            <w:vAlign w:val="bottom"/>
            <w:tcBorders>
              <w:top w:val="single" w:sz="8" w:color="808080"/>
            </w:tcBorders>
          </w:tcPr>
          <w:p>
            <w:pPr>
              <w:spacing w:after="0"/>
              <w:rPr>
                <w:sz w:val="7"/>
                <w:szCs w:val="7"/>
                <w:color w:val="auto"/>
              </w:rPr>
            </w:pPr>
          </w:p>
        </w:tc>
        <w:tc>
          <w:tcPr>
            <w:tcW w:w="2840" w:type="dxa"/>
            <w:vAlign w:val="bottom"/>
            <w:tcBorders>
              <w:top w:val="single" w:sz="8" w:color="808080"/>
            </w:tcBorders>
          </w:tcPr>
          <w:p>
            <w:pPr>
              <w:spacing w:after="0"/>
              <w:rPr>
                <w:sz w:val="7"/>
                <w:szCs w:val="7"/>
                <w:color w:val="auto"/>
              </w:rPr>
            </w:pPr>
          </w:p>
        </w:tc>
        <w:tc>
          <w:tcPr>
            <w:tcW w:w="1080" w:type="dxa"/>
            <w:vAlign w:val="bottom"/>
            <w:tcBorders>
              <w:top w:val="single" w:sz="8" w:color="808080"/>
            </w:tcBorders>
          </w:tcPr>
          <w:p>
            <w:pPr>
              <w:spacing w:after="0"/>
              <w:rPr>
                <w:sz w:val="7"/>
                <w:szCs w:val="7"/>
                <w:color w:val="auto"/>
              </w:rPr>
            </w:pPr>
          </w:p>
        </w:tc>
        <w:tc>
          <w:tcPr>
            <w:tcW w:w="900" w:type="dxa"/>
            <w:vAlign w:val="bottom"/>
            <w:tcBorders>
              <w:top w:val="single" w:sz="8" w:color="808080"/>
            </w:tcBorders>
          </w:tcPr>
          <w:p>
            <w:pPr>
              <w:spacing w:after="0"/>
              <w:rPr>
                <w:sz w:val="7"/>
                <w:szCs w:val="7"/>
                <w:color w:val="auto"/>
              </w:rPr>
            </w:pPr>
          </w:p>
        </w:tc>
        <w:tc>
          <w:tcPr>
            <w:tcW w:w="14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180" w:type="dxa"/>
            <w:vAlign w:val="bottom"/>
            <w:shd w:val="clear" w:color="auto" w:fill="DDDDDD"/>
          </w:tcPr>
          <w:p>
            <w:pPr>
              <w:spacing w:after="0"/>
              <w:rPr>
                <w:sz w:val="20"/>
                <w:szCs w:val="20"/>
                <w:color w:val="auto"/>
              </w:rPr>
            </w:pPr>
            <w:r>
              <w:rPr>
                <w:rFonts w:ascii="Arial" w:cs="Arial" w:eastAsia="Arial" w:hAnsi="Arial"/>
                <w:sz w:val="16"/>
                <w:szCs w:val="16"/>
                <w:color w:val="auto"/>
              </w:rPr>
              <w:t>Lines of Credit</w:t>
            </w:r>
          </w:p>
        </w:tc>
        <w:tc>
          <w:tcPr>
            <w:tcW w:w="2840" w:type="dxa"/>
            <w:vAlign w:val="bottom"/>
            <w:shd w:val="clear" w:color="auto" w:fill="DDDDDD"/>
          </w:tcPr>
          <w:p>
            <w:pPr>
              <w:jc w:val="right"/>
              <w:ind w:right="378"/>
              <w:spacing w:after="0"/>
              <w:rPr>
                <w:sz w:val="20"/>
                <w:szCs w:val="20"/>
                <w:color w:val="auto"/>
              </w:rPr>
            </w:pPr>
            <w:r>
              <w:rPr>
                <w:rFonts w:ascii="Arial" w:cs="Arial" w:eastAsia="Arial" w:hAnsi="Arial"/>
                <w:sz w:val="16"/>
                <w:szCs w:val="16"/>
                <w:color w:val="auto"/>
              </w:rPr>
              <w:t>$ 28.5</w:t>
            </w:r>
          </w:p>
        </w:tc>
        <w:tc>
          <w:tcPr>
            <w:tcW w:w="108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$ 28.5</w:t>
            </w: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$ 23.3</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$ 23.3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Grolier Facility</w:t>
            </w:r>
          </w:p>
        </w:tc>
        <w:tc>
          <w:tcPr>
            <w:tcW w:w="284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w:t>
            </w:r>
          </w:p>
        </w:tc>
        <w:tc>
          <w:tcPr>
            <w:tcW w:w="1400" w:type="dxa"/>
            <w:vAlign w:val="bottom"/>
          </w:tcPr>
          <w:p>
            <w:pPr>
              <w:jc w:val="right"/>
              <w:ind w:right="18"/>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shd w:val="clear" w:color="auto" w:fill="DDDDDD"/>
          </w:tcPr>
          <w:p>
            <w:pPr>
              <w:spacing w:after="0"/>
              <w:rPr>
                <w:sz w:val="20"/>
                <w:szCs w:val="20"/>
                <w:color w:val="auto"/>
              </w:rPr>
            </w:pPr>
            <w:r>
              <w:rPr>
                <w:rFonts w:ascii="Arial" w:cs="Arial" w:eastAsia="Arial" w:hAnsi="Arial"/>
                <w:sz w:val="16"/>
                <w:szCs w:val="16"/>
                <w:color w:val="auto"/>
              </w:rPr>
              <w:t>Loan Agreement and Revolver</w:t>
            </w:r>
          </w:p>
        </w:tc>
        <w:tc>
          <w:tcPr>
            <w:tcW w:w="2840" w:type="dxa"/>
            <w:vAlign w:val="bottom"/>
            <w:shd w:val="clear" w:color="auto" w:fill="DDDDDD"/>
          </w:tcPr>
          <w:p>
            <w:pPr>
              <w:jc w:val="right"/>
              <w:ind w:right="378"/>
              <w:spacing w:after="0"/>
              <w:rPr>
                <w:sz w:val="20"/>
                <w:szCs w:val="20"/>
                <w:color w:val="auto"/>
              </w:rPr>
            </w:pPr>
            <w:r>
              <w:rPr>
                <w:rFonts w:ascii="Arial" w:cs="Arial" w:eastAsia="Arial" w:hAnsi="Arial"/>
                <w:sz w:val="16"/>
                <w:szCs w:val="16"/>
                <w:color w:val="auto"/>
              </w:rPr>
              <w:t>—</w:t>
            </w:r>
          </w:p>
        </w:tc>
        <w:tc>
          <w:tcPr>
            <w:tcW w:w="108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50.0</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7% Notes due 2003, net of discount</w:t>
            </w:r>
          </w:p>
        </w:tc>
        <w:tc>
          <w:tcPr>
            <w:tcW w:w="2840" w:type="dxa"/>
            <w:vAlign w:val="bottom"/>
          </w:tcPr>
          <w:p>
            <w:pPr>
              <w:jc w:val="right"/>
              <w:ind w:right="378"/>
              <w:spacing w:after="0"/>
              <w:rPr>
                <w:sz w:val="20"/>
                <w:szCs w:val="20"/>
                <w:color w:val="auto"/>
              </w:rPr>
            </w:pPr>
            <w:r>
              <w:rPr>
                <w:rFonts w:ascii="Arial" w:cs="Arial" w:eastAsia="Arial" w:hAnsi="Arial"/>
                <w:sz w:val="16"/>
                <w:szCs w:val="16"/>
                <w:color w:val="auto"/>
              </w:rPr>
              <w:t>125.0</w:t>
            </w:r>
          </w:p>
        </w:tc>
        <w:tc>
          <w:tcPr>
            <w:tcW w:w="1080" w:type="dxa"/>
            <w:vAlign w:val="bottom"/>
          </w:tcPr>
          <w:p>
            <w:pPr>
              <w:jc w:val="right"/>
              <w:ind w:right="320"/>
              <w:spacing w:after="0"/>
              <w:rPr>
                <w:sz w:val="20"/>
                <w:szCs w:val="20"/>
                <w:color w:val="auto"/>
              </w:rPr>
            </w:pPr>
            <w:r>
              <w:rPr>
                <w:rFonts w:ascii="Arial" w:cs="Arial" w:eastAsia="Arial" w:hAnsi="Arial"/>
                <w:sz w:val="16"/>
                <w:szCs w:val="16"/>
                <w:color w:val="auto"/>
              </w:rPr>
              <w:t>128.5</w:t>
            </w:r>
          </w:p>
        </w:tc>
        <w:tc>
          <w:tcPr>
            <w:tcW w:w="900" w:type="dxa"/>
            <w:vAlign w:val="bottom"/>
          </w:tcPr>
          <w:p>
            <w:pPr>
              <w:jc w:val="right"/>
              <w:spacing w:after="0"/>
              <w:rPr>
                <w:sz w:val="20"/>
                <w:szCs w:val="20"/>
                <w:color w:val="auto"/>
              </w:rPr>
            </w:pPr>
            <w:r>
              <w:rPr>
                <w:rFonts w:ascii="Arial" w:cs="Arial" w:eastAsia="Arial" w:hAnsi="Arial"/>
                <w:sz w:val="16"/>
                <w:szCs w:val="16"/>
                <w:color w:val="auto"/>
              </w:rPr>
              <w:t>124.9</w:t>
            </w:r>
          </w:p>
        </w:tc>
        <w:tc>
          <w:tcPr>
            <w:tcW w:w="1400" w:type="dxa"/>
            <w:vAlign w:val="bottom"/>
          </w:tcPr>
          <w:p>
            <w:pPr>
              <w:jc w:val="right"/>
              <w:ind w:right="18"/>
              <w:spacing w:after="0"/>
              <w:rPr>
                <w:sz w:val="20"/>
                <w:szCs w:val="20"/>
                <w:color w:val="auto"/>
              </w:rPr>
            </w:pPr>
            <w:r>
              <w:rPr>
                <w:rFonts w:ascii="Arial" w:cs="Arial" w:eastAsia="Arial" w:hAnsi="Arial"/>
                <w:sz w:val="16"/>
                <w:szCs w:val="16"/>
                <w:color w:val="auto"/>
              </w:rPr>
              <w:t>130.4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shd w:val="clear" w:color="auto" w:fill="DDDDDD"/>
          </w:tcPr>
          <w:p>
            <w:pPr>
              <w:spacing w:after="0"/>
              <w:rPr>
                <w:sz w:val="20"/>
                <w:szCs w:val="20"/>
                <w:color w:val="auto"/>
              </w:rPr>
            </w:pPr>
            <w:r>
              <w:rPr>
                <w:rFonts w:ascii="Arial" w:cs="Arial" w:eastAsia="Arial" w:hAnsi="Arial"/>
                <w:sz w:val="16"/>
                <w:szCs w:val="16"/>
                <w:color w:val="auto"/>
              </w:rPr>
              <w:t>5.75% Notes due 2007, net of premium/discount</w:t>
            </w:r>
          </w:p>
        </w:tc>
        <w:tc>
          <w:tcPr>
            <w:tcW w:w="2840" w:type="dxa"/>
            <w:vAlign w:val="bottom"/>
            <w:shd w:val="clear" w:color="auto" w:fill="DDDDDD"/>
          </w:tcPr>
          <w:p>
            <w:pPr>
              <w:jc w:val="right"/>
              <w:ind w:right="378"/>
              <w:spacing w:after="0"/>
              <w:rPr>
                <w:sz w:val="20"/>
                <w:szCs w:val="20"/>
                <w:color w:val="auto"/>
              </w:rPr>
            </w:pPr>
            <w:r>
              <w:rPr>
                <w:rFonts w:ascii="Arial" w:cs="Arial" w:eastAsia="Arial" w:hAnsi="Arial"/>
                <w:sz w:val="16"/>
                <w:szCs w:val="16"/>
                <w:color w:val="auto"/>
              </w:rPr>
              <w:t>303.8</w:t>
            </w:r>
          </w:p>
        </w:tc>
        <w:tc>
          <w:tcPr>
            <w:tcW w:w="108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322.4</w:t>
            </w: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298.9</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297.5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5.75% Notes due 2007 - swap valuation adjustment</w:t>
            </w:r>
          </w:p>
        </w:tc>
        <w:tc>
          <w:tcPr>
            <w:tcW w:w="2840" w:type="dxa"/>
            <w:vAlign w:val="bottom"/>
          </w:tcPr>
          <w:p>
            <w:pPr>
              <w:jc w:val="right"/>
              <w:ind w:right="378"/>
              <w:spacing w:after="0"/>
              <w:rPr>
                <w:sz w:val="20"/>
                <w:szCs w:val="20"/>
                <w:color w:val="auto"/>
              </w:rPr>
            </w:pPr>
            <w:r>
              <w:rPr>
                <w:rFonts w:ascii="Arial" w:cs="Arial" w:eastAsia="Arial" w:hAnsi="Arial"/>
                <w:sz w:val="16"/>
                <w:szCs w:val="16"/>
                <w:color w:val="auto"/>
              </w:rPr>
              <w:t>5.6</w:t>
            </w:r>
          </w:p>
        </w:tc>
        <w:tc>
          <w:tcPr>
            <w:tcW w:w="1080" w:type="dxa"/>
            <w:vAlign w:val="bottom"/>
          </w:tcPr>
          <w:p>
            <w:pPr>
              <w:jc w:val="right"/>
              <w:ind w:right="320"/>
              <w:spacing w:after="0"/>
              <w:rPr>
                <w:sz w:val="20"/>
                <w:szCs w:val="20"/>
                <w:color w:val="auto"/>
              </w:rPr>
            </w:pPr>
            <w:r>
              <w:rPr>
                <w:rFonts w:ascii="Arial" w:cs="Arial" w:eastAsia="Arial" w:hAnsi="Arial"/>
                <w:sz w:val="16"/>
                <w:szCs w:val="16"/>
                <w:color w:val="auto"/>
              </w:rPr>
              <w:t>5.6</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400" w:type="dxa"/>
            <w:vAlign w:val="bottom"/>
          </w:tcPr>
          <w:p>
            <w:pPr>
              <w:jc w:val="right"/>
              <w:ind w:right="18"/>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shd w:val="clear" w:color="auto" w:fill="DDDDDD"/>
          </w:tcPr>
          <w:p>
            <w:pPr>
              <w:spacing w:after="0"/>
              <w:rPr>
                <w:sz w:val="20"/>
                <w:szCs w:val="20"/>
                <w:color w:val="auto"/>
              </w:rPr>
            </w:pPr>
            <w:r>
              <w:rPr>
                <w:rFonts w:ascii="Arial" w:cs="Arial" w:eastAsia="Arial" w:hAnsi="Arial"/>
                <w:sz w:val="16"/>
                <w:szCs w:val="16"/>
                <w:color w:val="auto"/>
              </w:rPr>
              <w:t>5% Notes due 2013, net of discount</w:t>
            </w:r>
          </w:p>
        </w:tc>
        <w:tc>
          <w:tcPr>
            <w:tcW w:w="2840" w:type="dxa"/>
            <w:vAlign w:val="bottom"/>
            <w:shd w:val="clear" w:color="auto" w:fill="DDDDDD"/>
          </w:tcPr>
          <w:p>
            <w:pPr>
              <w:jc w:val="right"/>
              <w:ind w:right="378"/>
              <w:spacing w:after="0"/>
              <w:rPr>
                <w:sz w:val="20"/>
                <w:szCs w:val="20"/>
                <w:color w:val="auto"/>
              </w:rPr>
            </w:pPr>
            <w:r>
              <w:rPr>
                <w:rFonts w:ascii="Arial" w:cs="Arial" w:eastAsia="Arial" w:hAnsi="Arial"/>
                <w:sz w:val="16"/>
                <w:szCs w:val="16"/>
                <w:color w:val="auto"/>
              </w:rPr>
              <w:t>172.6</w:t>
            </w:r>
          </w:p>
        </w:tc>
        <w:tc>
          <w:tcPr>
            <w:tcW w:w="108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182.7</w:t>
            </w: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Other debt</w:t>
            </w:r>
          </w:p>
        </w:tc>
        <w:tc>
          <w:tcPr>
            <w:tcW w:w="2840" w:type="dxa"/>
            <w:vAlign w:val="bottom"/>
          </w:tcPr>
          <w:p>
            <w:pPr>
              <w:jc w:val="right"/>
              <w:ind w:right="378"/>
              <w:spacing w:after="0"/>
              <w:rPr>
                <w:sz w:val="20"/>
                <w:szCs w:val="20"/>
                <w:color w:val="auto"/>
              </w:rPr>
            </w:pPr>
            <w:r>
              <w:rPr>
                <w:rFonts w:ascii="Arial" w:cs="Arial" w:eastAsia="Arial" w:hAnsi="Arial"/>
                <w:sz w:val="16"/>
                <w:szCs w:val="16"/>
                <w:color w:val="auto"/>
              </w:rPr>
              <w:t>0.4</w:t>
            </w:r>
          </w:p>
        </w:tc>
        <w:tc>
          <w:tcPr>
            <w:tcW w:w="1080" w:type="dxa"/>
            <w:vAlign w:val="bottom"/>
          </w:tcPr>
          <w:p>
            <w:pPr>
              <w:jc w:val="right"/>
              <w:ind w:right="320"/>
              <w:spacing w:after="0"/>
              <w:rPr>
                <w:sz w:val="20"/>
                <w:szCs w:val="20"/>
                <w:color w:val="auto"/>
              </w:rPr>
            </w:pPr>
            <w:r>
              <w:rPr>
                <w:rFonts w:ascii="Arial" w:cs="Arial" w:eastAsia="Arial" w:hAnsi="Arial"/>
                <w:sz w:val="16"/>
                <w:szCs w:val="16"/>
                <w:color w:val="auto"/>
              </w:rPr>
              <w:t>0.4</w:t>
            </w: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1400" w:type="dxa"/>
            <w:vAlign w:val="bottom"/>
          </w:tcPr>
          <w:p>
            <w:pPr>
              <w:jc w:val="right"/>
              <w:ind w:right="18"/>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DDDDDD"/>
          </w:tcPr>
          <w:p>
            <w:pPr>
              <w:ind w:left="380"/>
              <w:spacing w:after="0"/>
              <w:rPr>
                <w:sz w:val="20"/>
                <w:szCs w:val="20"/>
                <w:color w:val="auto"/>
              </w:rPr>
            </w:pPr>
            <w:r>
              <w:rPr>
                <w:rFonts w:ascii="Arial" w:cs="Arial" w:eastAsia="Arial" w:hAnsi="Arial"/>
                <w:sz w:val="16"/>
                <w:szCs w:val="16"/>
                <w:b w:val="1"/>
                <w:bCs w:val="1"/>
                <w:color w:val="auto"/>
              </w:rPr>
              <w:t>Total debt</w:t>
            </w:r>
          </w:p>
        </w:tc>
        <w:tc>
          <w:tcPr>
            <w:tcW w:w="2840" w:type="dxa"/>
            <w:vAlign w:val="bottom"/>
            <w:shd w:val="clear" w:color="auto" w:fill="DDDDDD"/>
          </w:tcPr>
          <w:p>
            <w:pPr>
              <w:jc w:val="right"/>
              <w:ind w:right="378"/>
              <w:spacing w:after="0"/>
              <w:rPr>
                <w:sz w:val="20"/>
                <w:szCs w:val="20"/>
                <w:color w:val="auto"/>
              </w:rPr>
            </w:pPr>
            <w:r>
              <w:rPr>
                <w:rFonts w:ascii="Arial" w:cs="Arial" w:eastAsia="Arial" w:hAnsi="Arial"/>
                <w:sz w:val="16"/>
                <w:szCs w:val="16"/>
                <w:b w:val="1"/>
                <w:bCs w:val="1"/>
                <w:color w:val="auto"/>
              </w:rPr>
              <w:t>635.9</w:t>
            </w:r>
          </w:p>
        </w:tc>
        <w:tc>
          <w:tcPr>
            <w:tcW w:w="1080" w:type="dxa"/>
            <w:vAlign w:val="bottom"/>
            <w:shd w:val="clear" w:color="auto" w:fill="DDDDDD"/>
          </w:tcPr>
          <w:p>
            <w:pPr>
              <w:jc w:val="right"/>
              <w:ind w:right="320"/>
              <w:spacing w:after="0"/>
              <w:rPr>
                <w:sz w:val="20"/>
                <w:szCs w:val="20"/>
                <w:color w:val="auto"/>
              </w:rPr>
            </w:pPr>
            <w:r>
              <w:rPr>
                <w:rFonts w:ascii="Arial" w:cs="Arial" w:eastAsia="Arial" w:hAnsi="Arial"/>
                <w:sz w:val="16"/>
                <w:szCs w:val="16"/>
                <w:b w:val="1"/>
                <w:bCs w:val="1"/>
                <w:color w:val="auto"/>
              </w:rPr>
              <w:t>668.1</w:t>
            </w: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549.3</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6"/>
                <w:szCs w:val="16"/>
                <w:b w:val="1"/>
                <w:bCs w:val="1"/>
                <w:color w:val="auto"/>
              </w:rPr>
              <w:t>553.4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Less lines of credit and short-term debt</w:t>
            </w:r>
          </w:p>
        </w:tc>
        <w:tc>
          <w:tcPr>
            <w:tcW w:w="2840" w:type="dxa"/>
            <w:vAlign w:val="bottom"/>
          </w:tcPr>
          <w:p>
            <w:pPr>
              <w:jc w:val="right"/>
              <w:ind w:right="318"/>
              <w:spacing w:after="0"/>
              <w:rPr>
                <w:sz w:val="20"/>
                <w:szCs w:val="20"/>
                <w:color w:val="auto"/>
              </w:rPr>
            </w:pPr>
            <w:r>
              <w:rPr>
                <w:rFonts w:ascii="Arial" w:cs="Arial" w:eastAsia="Arial" w:hAnsi="Arial"/>
                <w:sz w:val="16"/>
                <w:szCs w:val="16"/>
                <w:color w:val="auto"/>
              </w:rPr>
              <w:t>(153.7)</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(157.2)</w:t>
            </w:r>
          </w:p>
        </w:tc>
        <w:tc>
          <w:tcPr>
            <w:tcW w:w="900" w:type="dxa"/>
            <w:vAlign w:val="bottom"/>
          </w:tcPr>
          <w:p>
            <w:pPr>
              <w:jc w:val="right"/>
              <w:spacing w:after="0"/>
              <w:rPr>
                <w:sz w:val="20"/>
                <w:szCs w:val="20"/>
                <w:color w:val="auto"/>
              </w:rPr>
            </w:pPr>
            <w:r>
              <w:rPr>
                <w:rFonts w:ascii="Arial" w:cs="Arial" w:eastAsia="Arial" w:hAnsi="Arial"/>
                <w:sz w:val="16"/>
                <w:szCs w:val="16"/>
                <w:color w:val="auto"/>
              </w:rPr>
              <w:t>(23.5)</w:t>
            </w:r>
          </w:p>
        </w:tc>
        <w:tc>
          <w:tcPr>
            <w:tcW w:w="1400" w:type="dxa"/>
            <w:vAlign w:val="bottom"/>
          </w:tcPr>
          <w:p>
            <w:pPr>
              <w:jc w:val="right"/>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808080"/>
            </w:tcBorders>
            <w:gridSpan w:val="2"/>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1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180" w:type="dxa"/>
            <w:vAlign w:val="bottom"/>
            <w:shd w:val="clear" w:color="auto" w:fill="DDDDDD"/>
          </w:tcPr>
          <w:p>
            <w:pPr>
              <w:spacing w:after="0"/>
              <w:rPr>
                <w:sz w:val="20"/>
                <w:szCs w:val="20"/>
                <w:color w:val="auto"/>
              </w:rPr>
            </w:pPr>
            <w:r>
              <w:rPr>
                <w:rFonts w:ascii="Arial" w:cs="Arial" w:eastAsia="Arial" w:hAnsi="Arial"/>
                <w:sz w:val="16"/>
                <w:szCs w:val="16"/>
                <w:color w:val="auto"/>
              </w:rPr>
              <w:t>Total long-term debt</w:t>
            </w:r>
          </w:p>
        </w:tc>
        <w:tc>
          <w:tcPr>
            <w:tcW w:w="2840" w:type="dxa"/>
            <w:vAlign w:val="bottom"/>
            <w:shd w:val="clear" w:color="auto" w:fill="DDDDDD"/>
          </w:tcPr>
          <w:p>
            <w:pPr>
              <w:jc w:val="right"/>
              <w:ind w:right="378"/>
              <w:spacing w:after="0"/>
              <w:rPr>
                <w:sz w:val="20"/>
                <w:szCs w:val="20"/>
                <w:color w:val="auto"/>
              </w:rPr>
            </w:pPr>
            <w:r>
              <w:rPr>
                <w:rFonts w:ascii="Arial" w:cs="Arial" w:eastAsia="Arial" w:hAnsi="Arial"/>
                <w:sz w:val="16"/>
                <w:szCs w:val="16"/>
                <w:color w:val="auto"/>
              </w:rPr>
              <w:t>$ 482.2</w:t>
            </w:r>
          </w:p>
        </w:tc>
        <w:tc>
          <w:tcPr>
            <w:tcW w:w="108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$ 510.9</w:t>
            </w: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$ 525.8</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$ 529.9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auto"/>
        </w:rPr>
        <w:t>Short-term debt is carried at cost which approximates fair value. Fair values were estimated based on market quotes, where available, or dealer quotes.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carrying values of the Company’s debt obligations as of May 31, 2003 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5868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80" w:type="dxa"/>
            <w:vAlign w:val="bottom"/>
            <w:shd w:val="clear" w:color="auto" w:fill="DDDDDD"/>
          </w:tcPr>
          <w:p>
            <w:pPr>
              <w:spacing w:after="0"/>
              <w:rPr>
                <w:sz w:val="20"/>
                <w:szCs w:val="20"/>
                <w:color w:val="auto"/>
              </w:rPr>
            </w:pPr>
            <w:r>
              <w:rPr>
                <w:rFonts w:ascii="Arial" w:cs="Arial" w:eastAsia="Arial" w:hAnsi="Arial"/>
                <w:sz w:val="16"/>
                <w:szCs w:val="16"/>
                <w:color w:val="auto"/>
              </w:rPr>
              <w:t>2004</w:t>
            </w:r>
          </w:p>
        </w:tc>
        <w:tc>
          <w:tcPr>
            <w:tcW w:w="582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$ 153.7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2005</w:t>
            </w:r>
          </w:p>
        </w:tc>
        <w:tc>
          <w:tcPr>
            <w:tcW w:w="5820" w:type="dxa"/>
            <w:vAlign w:val="bottom"/>
          </w:tcPr>
          <w:p>
            <w:pPr>
              <w:jc w:val="right"/>
              <w:ind w:right="360"/>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80" w:type="dxa"/>
            <w:vAlign w:val="bottom"/>
            <w:shd w:val="clear" w:color="auto" w:fill="DDDDDD"/>
          </w:tcPr>
          <w:p>
            <w:pPr>
              <w:spacing w:after="0"/>
              <w:rPr>
                <w:sz w:val="20"/>
                <w:szCs w:val="20"/>
                <w:color w:val="auto"/>
              </w:rPr>
            </w:pPr>
            <w:r>
              <w:rPr>
                <w:rFonts w:ascii="Arial" w:cs="Arial" w:eastAsia="Arial" w:hAnsi="Arial"/>
                <w:sz w:val="16"/>
                <w:szCs w:val="16"/>
                <w:color w:val="auto"/>
              </w:rPr>
              <w:t>2006</w:t>
            </w:r>
          </w:p>
        </w:tc>
        <w:tc>
          <w:tcPr>
            <w:tcW w:w="582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2007</w:t>
            </w:r>
          </w:p>
        </w:tc>
        <w:tc>
          <w:tcPr>
            <w:tcW w:w="5820" w:type="dxa"/>
            <w:vAlign w:val="bottom"/>
          </w:tcPr>
          <w:p>
            <w:pPr>
              <w:jc w:val="right"/>
              <w:ind w:right="360"/>
              <w:spacing w:after="0"/>
              <w:rPr>
                <w:sz w:val="20"/>
                <w:szCs w:val="20"/>
                <w:color w:val="auto"/>
              </w:rPr>
            </w:pPr>
            <w:r>
              <w:rPr>
                <w:rFonts w:ascii="Arial" w:cs="Arial" w:eastAsia="Arial" w:hAnsi="Arial"/>
                <w:sz w:val="16"/>
                <w:szCs w:val="16"/>
                <w:color w:val="auto"/>
              </w:rPr>
              <w:t>309.4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80" w:type="dxa"/>
            <w:vAlign w:val="bottom"/>
            <w:shd w:val="clear" w:color="auto" w:fill="DDDDDD"/>
          </w:tcPr>
          <w:p>
            <w:pPr>
              <w:spacing w:after="0"/>
              <w:rPr>
                <w:sz w:val="20"/>
                <w:szCs w:val="20"/>
                <w:color w:val="auto"/>
              </w:rPr>
            </w:pPr>
            <w:r>
              <w:rPr>
                <w:rFonts w:ascii="Arial" w:cs="Arial" w:eastAsia="Arial" w:hAnsi="Arial"/>
                <w:sz w:val="16"/>
                <w:szCs w:val="16"/>
                <w:color w:val="auto"/>
              </w:rPr>
              <w:t>2008</w:t>
            </w:r>
          </w:p>
        </w:tc>
        <w:tc>
          <w:tcPr>
            <w:tcW w:w="582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Thereafter</w:t>
            </w:r>
          </w:p>
        </w:tc>
        <w:tc>
          <w:tcPr>
            <w:tcW w:w="5820" w:type="dxa"/>
            <w:vAlign w:val="bottom"/>
          </w:tcPr>
          <w:p>
            <w:pPr>
              <w:jc w:val="right"/>
              <w:ind w:right="360"/>
              <w:spacing w:after="0"/>
              <w:rPr>
                <w:sz w:val="20"/>
                <w:szCs w:val="20"/>
                <w:color w:val="auto"/>
              </w:rPr>
            </w:pPr>
            <w:r>
              <w:rPr>
                <w:rFonts w:ascii="Arial" w:cs="Arial" w:eastAsia="Arial" w:hAnsi="Arial"/>
                <w:sz w:val="16"/>
                <w:szCs w:val="16"/>
                <w:color w:val="auto"/>
              </w:rPr>
              <w:t>172.6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600" w:type="dxa"/>
            <w:vAlign w:val="bottom"/>
            <w:tcBorders>
              <w:bottom w:val="single" w:sz="8" w:color="808080"/>
            </w:tcBorders>
            <w:gridSpan w:val="2"/>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580" w:type="dxa"/>
            <w:vAlign w:val="bottom"/>
          </w:tcPr>
          <w:p>
            <w:pPr>
              <w:spacing w:after="0"/>
              <w:rPr>
                <w:sz w:val="7"/>
                <w:szCs w:val="7"/>
                <w:color w:val="auto"/>
              </w:rPr>
            </w:pPr>
          </w:p>
        </w:tc>
        <w:tc>
          <w:tcPr>
            <w:tcW w:w="5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58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Total debt</w:t>
            </w:r>
          </w:p>
        </w:tc>
        <w:tc>
          <w:tcPr>
            <w:tcW w:w="582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Lines of Credit</w:t>
      </w:r>
    </w:p>
    <w:p>
      <w:pPr>
        <w:spacing w:after="0" w:line="25" w:lineRule="exact"/>
        <w:rPr>
          <w:sz w:val="20"/>
          <w:szCs w:val="20"/>
          <w:color w:val="auto"/>
        </w:rPr>
      </w:pPr>
    </w:p>
    <w:p>
      <w:pPr>
        <w:ind w:right="240"/>
        <w:spacing w:after="0" w:line="290" w:lineRule="auto"/>
        <w:rPr>
          <w:sz w:val="20"/>
          <w:szCs w:val="20"/>
          <w:color w:val="auto"/>
        </w:rPr>
      </w:pPr>
      <w:r>
        <w:rPr>
          <w:rFonts w:ascii="Arial" w:cs="Arial" w:eastAsia="Arial" w:hAnsi="Arial"/>
          <w:sz w:val="15"/>
          <w:szCs w:val="15"/>
          <w:color w:val="auto"/>
        </w:rPr>
        <w:t>Scholastic Corporation’s international subsidiaries had unsecured lines of credit available in local currencies equivalent to $57.8 and $53.5 at May 31, 2003 and 2002, respectively. There were $28.5 and $23.3 outstanding under these credit lines at May 31, 2003 and 2002, respectively. These lines of credit are considered short-term in nature. The weighted average interest rates on the outstanding amounts were 6.89% and 5.43% at May 31, 2003 and 2002,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Grolier Facility</w:t>
      </w:r>
    </w:p>
    <w:p>
      <w:pPr>
        <w:spacing w:after="0" w:line="2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June 22, 2000, Scholastic Inc. established a credit facility to finance $350.0 of the $400.0 Grolier purchase price (the “Grolier Facility”). As described in “5% Notes due 2013” below, the Grolier Facility was cancelled effective April 10, 2003. At May 31, 2002, $50.0 was outstanding under the Grolier Facility at a weighted average interest rate of 2.4%.</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Agreement</w:t>
      </w: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Scholastic Corporation and Scholastic Inc. are joint and several borrowers under an amended and restated loan agreement with certain banks, effective August 11, 1999 and amended June 22, 2000 (the “Loan Agreement”). The Loan Agreement, which expires on August 11, 2004, provides for aggregate borrowings of up to $170.0 (with a right in certain circumstances to increase borrowings to $200.0), including the issuance of up to $10.0 in letters of credit. Interest under this facility is either at the prime rate or 0.325% to 0.90% over LIBOR (as defined). There is a facility fee ranging from 0.10% to 0.30% and a utilization fee ranging from 0.05% to 0.15% if borrowings exceed 33% of the total facility. The amounts charged vary based upon the Company’s credit rating. The interest rate, facility fee and utilization fee (when applicable) as of May 31, 2003 were 0.475% over LIBOR, 0.150% and 0.075%, respectively. The Loan Agreement contains certain financial covenants related to debt and interest coverage ratios (as defined) and limits dividends and other distributions. At May 31, 2003 and 2002, $0 and $50.0, respectively, were outstanding under the Loan Agreement. The weighted average interest rate at May 31, 2002 was 2.7%.</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Revolver</w:t>
      </w:r>
    </w:p>
    <w:p>
      <w:pPr>
        <w:spacing w:after="0" w:line="25"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color w:val="auto"/>
        </w:rPr>
        <w:t>Scholastic Corporation and Scholastic Inc. are joint and several borrowers under a Revolving Loan Agreement with a bank, effective November 10, 1999 and amended June 22, 2000 (the “Revolver”). The Revolver provides for unsecured revolving credit of up to $40.0 and expires on August 11, 2004. Interest under this facility is either at the prime rate minus 1%, or 0.325% to 0.90% over LIBOR (as defined). There is a facility fee ranging from 0.10% to 0.30%. The amounts charged vary based upon the Company’s credit rating. The interest rate and facility fee as of May 31, 2003 were 0.475% over LIBOR and 0.150%, respectively. The Revolver has certain financial covenants related to debt and interest coverage ratios (as defined) and limits dividends and other distributions. At May 31, 2003 and 2002, there were no borrowings outstanding under the Revolver.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Notes due 2003</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On December 23, 1996, Scholastic Corporation issued $125.0 of 7% Notes (the “7% Notes”). The 7% Notes are senior unsecured obligations that mature on December 15, 2003.</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7% Notes are not redeemable prior to maturity. Interest on the 7% Notes is payable semi-annually on December 15 and June 15 of each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5.75% Notes due 2007</w:t>
      </w:r>
    </w:p>
    <w:p>
      <w:pPr>
        <w:spacing w:after="0" w:line="2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On January 23, 2002, Scholastic Corporation issued $300.0 of 5.75% Notes (the “5.75% Notes”). The 5.75% Notes are senior unsecured obligations that mature on January 15, 2007. Interest on the 5.75% Notes is payable semi-annually on July 15 and January 15 of each year. The Company may, at any time, redeem all or a portion of the 5.75% Notes at a redemption price (plus accrued interest to the date of redemption) equal to the greater of (i) 100% of the principal amount, or (ii) the sum of the present values of the remaining scheduled payments of principal and interest discounted to the date of redemption.</w:t>
      </w:r>
    </w:p>
    <w:p>
      <w:pPr>
        <w:sectPr>
          <w:pgSz w:w="11900" w:h="16838" w:orient="portrait"/>
          <w:cols w:equalWidth="0" w:num="1">
            <w:col w:w="11440"/>
          </w:cols>
          <w:pgMar w:left="240" w:top="114" w:right="219" w:bottom="17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3765" cy="36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36195"/>
                    </a:xfrm>
                    <a:prstGeom prst="rect">
                      <a:avLst/>
                    </a:prstGeom>
                    <a:noFill/>
                  </pic:spPr>
                </pic:pic>
              </a:graphicData>
            </a:graphic>
          </wp:anchor>
        </w:drawing>
      </w:r>
    </w:p>
    <w:p>
      <w:pPr>
        <w:sectPr>
          <w:pgSz w:w="11900" w:h="16838" w:orient="portrait"/>
          <w:cols w:equalWidth="0" w:num="1">
            <w:col w:w="11440"/>
          </w:cols>
          <w:pgMar w:left="240" w:top="114" w:right="219" w:bottom="170" w:gutter="0" w:footer="0" w:header="0"/>
          <w:type w:val="continuous"/>
        </w:sectPr>
      </w:pPr>
    </w:p>
    <w:bookmarkStart w:id="27" w:name="page28"/>
    <w:bookmarkEnd w:id="27"/>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1838960</wp:posOffset>
            </wp:positionH>
            <wp:positionV relativeFrom="page">
              <wp:posOffset>88900</wp:posOffset>
            </wp:positionV>
            <wp:extent cx="3891280" cy="3282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Interest Rate Swap Agreement</w:t>
      </w:r>
    </w:p>
    <w:p>
      <w:pPr>
        <w:spacing w:after="0" w:line="25" w:lineRule="exact"/>
        <w:rPr>
          <w:sz w:val="20"/>
          <w:szCs w:val="20"/>
          <w:color w:val="auto"/>
        </w:rPr>
      </w:pPr>
    </w:p>
    <w:p>
      <w:pPr>
        <w:ind w:right="100"/>
        <w:spacing w:after="0" w:line="279" w:lineRule="auto"/>
        <w:rPr>
          <w:sz w:val="20"/>
          <w:szCs w:val="20"/>
          <w:color w:val="auto"/>
        </w:rPr>
      </w:pPr>
      <w:r>
        <w:rPr>
          <w:rFonts w:ascii="Arial" w:cs="Arial" w:eastAsia="Arial" w:hAnsi="Arial"/>
          <w:sz w:val="15"/>
          <w:szCs w:val="15"/>
          <w:color w:val="auto"/>
        </w:rPr>
        <w:t>On February 5, 2002, Scholastic Corporation entered into an interest rate swap agreement, designated as a fair value hedge as defined under SFAS No. 133, whereby the Company would receive a fixed interest rate payment based on a notional amount and pay a variable interest rate to the counterparty, which is reset semi-annually based on six-month LIBOR (as defined). This agreement was entered into in the notional amount of $100.0 to exchange the fixed interest rate payments on a portion of the 5.75% Notes for variable interest rate payments. In accordance with SFAS No. 133, the swap is considered perfectly effective and all changes in fair value are recorded to Other assets and Long-term debt. On May 28, 2003, $50.0 of the initial notional amount was settled, and the Company received a payment of $5.4 from the counterparty. The cash received was used to partially reduce the Other asset previously established, and the corresponding credit will be amortized over the remaining term of the 5.75% Notes. The fair value recorded as of May 31, 2003 and 2002 was $5.6 and $1.8,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Notes due 2013</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On April 4, 2003, Scholastic Corporation issued $175.0 of 5% Notes (the “5% Notes”). The 5% Notes are senior unsecured obligations that mature on April 15, 2013. Interest on the 5% Notes is payable on April 15 and October 15 of each year, beginning October 15, 2003.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the redemption. Net proceeds from the sale, after deducting discounts, commissions and estimated expenses, were used to retire all outstanding indebtedness under the Grolier Facility, which was then cancelled; and to reduce indebtedness outstanding under the Loan Agreement and the Revolver.</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COMMITMENTS AND CONTINGENCIES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w:t>
      </w:r>
    </w:p>
    <w:p>
      <w:pPr>
        <w:spacing w:after="0" w:line="25"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The Company leases warehouse space, office space and equipment under various operating leases. Certain of these leases provide for rent increases based on price-level factors. In most cases, management expects that in the normal course of business leases will be renewed or replaced by other leases. The Company has no significant capitalized leases. Total rent expense relating to the Company’s operating leases was $48.3, $44.2 and $41.5 for the fiscal years ended May 31, 2003, 2002 and 2001, respectively. The rent payments are subject to escalation provisions and are net of sublease income. The aggregate minimum future annual rental commitments at May 31, 2003 under all non-cancelable operating leases, totaling $292.6, are as follows: 2004 - $41.9; 2005 - $33.0; 2006 - - $24.6; 2007 - $16.5; 2008 - $11.8; later years - $164.8.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certain contractual commitments, principally relating to royalty advances, at May 31, 2003 totaling $15.7. The aggregate annual commitments are as follows: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2004 - $13.3; 2005 - $2.0; 2006 - $0.4.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5" w:lineRule="exact"/>
        <w:rPr>
          <w:sz w:val="20"/>
          <w:szCs w:val="20"/>
          <w:color w:val="auto"/>
        </w:rPr>
      </w:pPr>
    </w:p>
    <w:p>
      <w:pPr>
        <w:ind w:right="500"/>
        <w:spacing w:after="0" w:line="273" w:lineRule="auto"/>
        <w:rPr>
          <w:sz w:val="20"/>
          <w:szCs w:val="20"/>
          <w:color w:val="auto"/>
        </w:rPr>
      </w:pPr>
      <w:r>
        <w:rPr>
          <w:rFonts w:ascii="Arial" w:cs="Arial" w:eastAsia="Arial" w:hAnsi="Arial"/>
          <w:sz w:val="16"/>
          <w:szCs w:val="16"/>
          <w:color w:val="auto"/>
        </w:rPr>
        <w:t>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ACQUISITIONS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2002 Acquisitions</w:t>
      </w:r>
    </w:p>
    <w:p>
      <w:pPr>
        <w:spacing w:after="0" w:line="25"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color w:val="auto"/>
        </w:rPr>
        <w:t>During fiscal 2002, the Company completed the acquisitions of the stock or assets of the following companies: Troll Book Fairs LLC, a national school-based book fair operator; Tom Snyder Productions, Inc., a developer and publisher of interactive educational software and producer of television programming; Sandvik Publishing Ltd., d/b/a Baby’s First</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Book Club</w:t>
      </w:r>
      <w:r>
        <w:rPr>
          <w:rFonts w:ascii="Arial" w:cs="Arial" w:eastAsia="Arial" w:hAnsi="Arial"/>
          <w:sz w:val="26"/>
          <w:szCs w:val="26"/>
          <w:color w:val="auto"/>
          <w:vertAlign w:val="superscript"/>
        </w:rPr>
        <w:t>®</w:t>
      </w:r>
      <w:r>
        <w:rPr>
          <w:rFonts w:ascii="Arial" w:cs="Arial" w:eastAsia="Arial" w:hAnsi="Arial"/>
          <w:sz w:val="16"/>
          <w:szCs w:val="16"/>
          <w:color w:val="auto"/>
        </w:rPr>
        <w:t>, a direct marketer of age-appropriate books and toys for young children; Klutz, a publisher and creator of “books plus” products for children; Teacher’s Friend Publications, Inc., a producer and marketer of materials that teachers use to decorate their classrooms; and Nelson B. Heller &amp; Associates, a publisher of business-to-business newsletters. The aggregate purchase price for these acquisitions, net of cash received, was $66.7, and the related goodwill and other intangibles was $31.9. In addition to the initial purchase price paid for Klutz of $42.8, additional payments of up to $31.3 may be made to the seller in 2004 and 2005, contingent upon the achievement of certain revenue thresholds.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520"/>
        <w:spacing w:after="0" w:line="283" w:lineRule="auto"/>
        <w:rPr>
          <w:sz w:val="20"/>
          <w:szCs w:val="20"/>
          <w:color w:val="auto"/>
        </w:rPr>
      </w:pPr>
      <w:r>
        <w:rPr>
          <w:rFonts w:ascii="Arial" w:cs="Arial" w:eastAsia="Arial" w:hAnsi="Arial"/>
          <w:sz w:val="16"/>
          <w:szCs w:val="16"/>
          <w:color w:val="auto"/>
        </w:rPr>
        <w:t>The assets and liabilities of each business acquired were adjusted to their fair values as of the date of acquisition, with the purchase price in excess of the fair market value assigned to goodwill.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allocation of the aggregate purchase price of the fiscal 2002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5868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4440" w:type="dxa"/>
            <w:vAlign w:val="bottom"/>
          </w:tcPr>
          <w:p>
            <w:pPr>
              <w:jc w:val="right"/>
              <w:ind w:right="98"/>
              <w:spacing w:after="0"/>
              <w:rPr>
                <w:sz w:val="20"/>
                <w:szCs w:val="20"/>
                <w:color w:val="auto"/>
              </w:rPr>
            </w:pPr>
            <w:r>
              <w:rPr>
                <w:rFonts w:ascii="Arial" w:cs="Arial" w:eastAsia="Arial" w:hAnsi="Arial"/>
                <w:sz w:val="20"/>
                <w:szCs w:val="20"/>
                <w:b w:val="1"/>
                <w:bCs w:val="1"/>
                <w:color w:val="auto"/>
              </w:rPr>
              <w:t>Value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960" w:type="dxa"/>
            <w:vAlign w:val="bottom"/>
            <w:tcBorders>
              <w:bottom w:val="single" w:sz="8" w:color="808080"/>
            </w:tcBorders>
          </w:tcPr>
          <w:p>
            <w:pPr>
              <w:spacing w:after="0"/>
              <w:rPr>
                <w:sz w:val="7"/>
                <w:szCs w:val="7"/>
                <w:color w:val="auto"/>
              </w:rPr>
            </w:pPr>
          </w:p>
        </w:tc>
        <w:tc>
          <w:tcPr>
            <w:tcW w:w="44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98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4440" w:type="dxa"/>
            <w:vAlign w:val="bottom"/>
          </w:tcPr>
          <w:p>
            <w:pPr>
              <w:jc w:val="right"/>
              <w:ind w:right="98"/>
              <w:spacing w:after="0"/>
              <w:rPr>
                <w:sz w:val="20"/>
                <w:szCs w:val="20"/>
                <w:color w:val="auto"/>
              </w:rPr>
            </w:pPr>
            <w:r>
              <w:rPr>
                <w:rFonts w:ascii="Arial" w:cs="Arial" w:eastAsia="Arial" w:hAnsi="Arial"/>
                <w:sz w:val="16"/>
                <w:szCs w:val="16"/>
                <w:color w:val="auto"/>
              </w:rPr>
              <w:t>$ 9.6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960" w:type="dxa"/>
            <w:vAlign w:val="bottom"/>
            <w:shd w:val="clear" w:color="auto" w:fill="DDDDDD"/>
          </w:tcPr>
          <w:p>
            <w:pPr>
              <w:spacing w:after="0"/>
              <w:rPr>
                <w:sz w:val="20"/>
                <w:szCs w:val="20"/>
                <w:color w:val="auto"/>
              </w:rPr>
            </w:pPr>
            <w:r>
              <w:rPr>
                <w:rFonts w:ascii="Arial" w:cs="Arial" w:eastAsia="Arial" w:hAnsi="Arial"/>
                <w:sz w:val="16"/>
                <w:szCs w:val="16"/>
                <w:color w:val="auto"/>
              </w:rPr>
              <w:t>Inventory</w:t>
            </w:r>
          </w:p>
        </w:tc>
        <w:tc>
          <w:tcPr>
            <w:tcW w:w="44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Other current assets</w:t>
            </w:r>
          </w:p>
        </w:tc>
        <w:tc>
          <w:tcPr>
            <w:tcW w:w="4440" w:type="dxa"/>
            <w:vAlign w:val="bottom"/>
          </w:tcPr>
          <w:p>
            <w:pPr>
              <w:jc w:val="right"/>
              <w:ind w:right="98"/>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shd w:val="clear" w:color="auto" w:fill="DDDDDD"/>
          </w:tcPr>
          <w:p>
            <w:pPr>
              <w:spacing w:after="0"/>
              <w:rPr>
                <w:sz w:val="20"/>
                <w:szCs w:val="20"/>
                <w:color w:val="auto"/>
              </w:rPr>
            </w:pPr>
            <w:r>
              <w:rPr>
                <w:rFonts w:ascii="Arial" w:cs="Arial" w:eastAsia="Arial" w:hAnsi="Arial"/>
                <w:sz w:val="16"/>
                <w:szCs w:val="16"/>
                <w:color w:val="auto"/>
              </w:rPr>
              <w:t>Property, plant and equipment</w:t>
            </w:r>
          </w:p>
        </w:tc>
        <w:tc>
          <w:tcPr>
            <w:tcW w:w="44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Goodwill and other intangibles</w:t>
            </w:r>
          </w:p>
        </w:tc>
        <w:tc>
          <w:tcPr>
            <w:tcW w:w="4440" w:type="dxa"/>
            <w:vAlign w:val="bottom"/>
          </w:tcPr>
          <w:p>
            <w:pPr>
              <w:jc w:val="right"/>
              <w:ind w:right="98"/>
              <w:spacing w:after="0"/>
              <w:rPr>
                <w:sz w:val="20"/>
                <w:szCs w:val="20"/>
                <w:color w:val="auto"/>
              </w:rPr>
            </w:pPr>
            <w:r>
              <w:rPr>
                <w:rFonts w:ascii="Arial" w:cs="Arial" w:eastAsia="Arial" w:hAnsi="Arial"/>
                <w:sz w:val="16"/>
                <w:szCs w:val="16"/>
                <w:color w:val="auto"/>
              </w:rPr>
              <w:t>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shd w:val="clear" w:color="auto" w:fill="DDDDDD"/>
          </w:tcPr>
          <w:p>
            <w:pPr>
              <w:spacing w:after="0"/>
              <w:rPr>
                <w:sz w:val="20"/>
                <w:szCs w:val="20"/>
                <w:color w:val="auto"/>
              </w:rPr>
            </w:pPr>
            <w:r>
              <w:rPr>
                <w:rFonts w:ascii="Arial" w:cs="Arial" w:eastAsia="Arial" w:hAnsi="Arial"/>
                <w:sz w:val="16"/>
                <w:szCs w:val="16"/>
                <w:color w:val="auto"/>
              </w:rPr>
              <w:t>Noncurrent deferred taxes</w:t>
            </w:r>
          </w:p>
        </w:tc>
        <w:tc>
          <w:tcPr>
            <w:tcW w:w="44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Other assets</w:t>
            </w:r>
          </w:p>
        </w:tc>
        <w:tc>
          <w:tcPr>
            <w:tcW w:w="4440" w:type="dxa"/>
            <w:vAlign w:val="bottom"/>
          </w:tcPr>
          <w:p>
            <w:pPr>
              <w:jc w:val="right"/>
              <w:ind w:right="98"/>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shd w:val="clear" w:color="auto" w:fill="DDDDDD"/>
          </w:tcPr>
          <w:p>
            <w:pPr>
              <w:spacing w:after="0"/>
              <w:rPr>
                <w:sz w:val="20"/>
                <w:szCs w:val="20"/>
                <w:color w:val="auto"/>
              </w:rPr>
            </w:pPr>
            <w:r>
              <w:rPr>
                <w:rFonts w:ascii="Arial" w:cs="Arial" w:eastAsia="Arial" w:hAnsi="Arial"/>
                <w:sz w:val="16"/>
                <w:szCs w:val="16"/>
                <w:color w:val="auto"/>
              </w:rPr>
              <w:t>Current liabilities</w:t>
            </w:r>
          </w:p>
        </w:tc>
        <w:tc>
          <w:tcPr>
            <w:tcW w:w="444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960" w:type="dxa"/>
            <w:vAlign w:val="bottom"/>
            <w:tcBorders>
              <w:bottom w:val="single" w:sz="8" w:color="808080"/>
            </w:tcBorders>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Cash paid for acquisitions, net of cash received</w:t>
            </w:r>
          </w:p>
        </w:tc>
        <w:tc>
          <w:tcPr>
            <w:tcW w:w="4440" w:type="dxa"/>
            <w:vAlign w:val="bottom"/>
          </w:tcPr>
          <w:p>
            <w:pPr>
              <w:jc w:val="right"/>
              <w:ind w:right="98"/>
              <w:spacing w:after="0"/>
              <w:rPr>
                <w:sz w:val="20"/>
                <w:szCs w:val="20"/>
                <w:color w:val="auto"/>
              </w:rPr>
            </w:pPr>
            <w:r>
              <w:rPr>
                <w:rFonts w:ascii="Arial" w:cs="Arial" w:eastAsia="Arial" w:hAnsi="Arial"/>
                <w:sz w:val="16"/>
                <w:szCs w:val="16"/>
                <w:b w:val="1"/>
                <w:bCs w:val="1"/>
                <w:color w:val="auto"/>
              </w:rPr>
              <w:t>$ 66.7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6960" w:type="dxa"/>
            <w:vAlign w:val="bottom"/>
            <w:tcBorders>
              <w:bottom w:val="single" w:sz="8" w:color="808080"/>
            </w:tcBorders>
          </w:tcPr>
          <w:p>
            <w:pPr>
              <w:spacing w:after="0"/>
              <w:rPr>
                <w:sz w:val="12"/>
                <w:szCs w:val="12"/>
                <w:color w:val="auto"/>
              </w:rPr>
            </w:pPr>
          </w:p>
        </w:tc>
        <w:tc>
          <w:tcPr>
            <w:tcW w:w="44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The allocation of the aggregate purchase price was finalized during fiscal 2003. The operating results of each fiscal 2002 acquisition have been included in the Company’s consolidated results of operations since the respective dates of acquisition. The effect on operating results of including the acquired business operations on a pro forma basis would not be material.</w:t>
      </w:r>
    </w:p>
    <w:p>
      <w:pPr>
        <w:spacing w:after="0" w:line="16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In connection with the fiscal 2002 acquisitions, the Company established liabilities of $3.2 at May 31, 2002, relating primarily to severance and other exit costs. As of May 31, 2003, $1.6 of these liabilities remain unpaid.</w:t>
      </w:r>
    </w:p>
    <w:p>
      <w:pPr>
        <w:sectPr>
          <w:pgSz w:w="11900" w:h="16847" w:orient="portrait"/>
          <w:cols w:equalWidth="0" w:num="1">
            <w:col w:w="11440"/>
          </w:cols>
          <w:pgMar w:left="240" w:top="840" w:right="219" w:bottom="0" w:gutter="0" w:footer="0" w:header="0"/>
        </w:sectPr>
      </w:pPr>
    </w:p>
    <w:bookmarkStart w:id="28" w:name="page29"/>
    <w:bookmarkEnd w:id="28"/>
    <w:p>
      <w:pPr>
        <w:spacing w:after="0" w:line="6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Fiscal 2001 Acquisition — Grolier</w:t>
      </w:r>
    </w:p>
    <w:p>
      <w:pPr>
        <w:spacing w:after="0" w:line="25" w:lineRule="exact"/>
        <w:rPr>
          <w:sz w:val="20"/>
          <w:szCs w:val="20"/>
          <w:color w:val="auto"/>
        </w:rPr>
      </w:pPr>
    </w:p>
    <w:p>
      <w:pPr>
        <w:ind w:left="2" w:right="180"/>
        <w:spacing w:after="0" w:line="280" w:lineRule="auto"/>
        <w:rPr>
          <w:sz w:val="20"/>
          <w:szCs w:val="20"/>
          <w:color w:val="auto"/>
        </w:rPr>
      </w:pPr>
      <w:r>
        <w:rPr>
          <w:rFonts w:ascii="Arial" w:cs="Arial" w:eastAsia="Arial" w:hAnsi="Arial"/>
          <w:sz w:val="15"/>
          <w:szCs w:val="15"/>
          <w:color w:val="auto"/>
        </w:rPr>
        <w:t>On June 22, 2000, Scholastic Inc., a subsidiary of Scholastic Corporation, acquired all of the issued and outstanding capital stock of Grolier. In connection with the Grolier acquisition, the Company established a plan for integrating Grolier’s operations. Accordingly, the Company established liabilities of approximately $17.7 relating primarily to severance, fringe benefits and related salary continuance, as well as certain exit costs associated with the integration of certain of Grolier’s operational and administrative functions. At May 31, 2003 and 2002, the established liabilities for integration costs related to severance and other exit costs were in excess of the expected costs by $0.5 and $2.1, respectively, resulting in a decrease in the recorded liabilities and a reduction of Selling, general and administrative expenses, which are reflected in the table below. As of May 31, 2003, $1.5 of these liabilities remain unpaid and are expected to be paid over the next two fiscal years.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color w:val="auto"/>
        </w:rPr>
        <w:t>A summary of the activity in the established liabilities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25868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74"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20" w:type="dxa"/>
            <w:vAlign w:val="bottom"/>
          </w:tcPr>
          <w:p>
            <w:pPr>
              <w:jc w:val="right"/>
              <w:ind w:right="554"/>
              <w:spacing w:after="0"/>
              <w:rPr>
                <w:sz w:val="20"/>
                <w:szCs w:val="20"/>
                <w:color w:val="auto"/>
              </w:rPr>
            </w:pPr>
            <w:r>
              <w:rPr>
                <w:rFonts w:ascii="Arial" w:cs="Arial" w:eastAsia="Arial" w:hAnsi="Arial"/>
                <w:sz w:val="20"/>
                <w:szCs w:val="20"/>
                <w:b w:val="1"/>
                <w:bCs w:val="1"/>
                <w:color w:val="auto"/>
              </w:rPr>
              <w:t>Severance</w:t>
            </w: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20" w:type="dxa"/>
            <w:vAlign w:val="bottom"/>
          </w:tcPr>
          <w:p>
            <w:pPr>
              <w:jc w:val="right"/>
              <w:ind w:right="554"/>
              <w:spacing w:after="0" w:line="222" w:lineRule="exact"/>
              <w:rPr>
                <w:sz w:val="20"/>
                <w:szCs w:val="20"/>
                <w:color w:val="auto"/>
              </w:rPr>
            </w:pPr>
            <w:r>
              <w:rPr>
                <w:rFonts w:ascii="Arial" w:cs="Arial" w:eastAsia="Arial" w:hAnsi="Arial"/>
                <w:sz w:val="20"/>
                <w:szCs w:val="20"/>
                <w:b w:val="1"/>
                <w:bCs w:val="1"/>
                <w:color w:val="auto"/>
              </w:rPr>
              <w:t>and</w:t>
            </w:r>
          </w:p>
        </w:tc>
        <w:tc>
          <w:tcPr>
            <w:tcW w:w="1680" w:type="dxa"/>
            <w:vAlign w:val="bottom"/>
          </w:tcPr>
          <w:p>
            <w:pPr>
              <w:jc w:val="right"/>
              <w:ind w:right="495"/>
              <w:spacing w:after="0" w:line="222" w:lineRule="exact"/>
              <w:rPr>
                <w:sz w:val="20"/>
                <w:szCs w:val="20"/>
                <w:color w:val="auto"/>
              </w:rPr>
            </w:pPr>
            <w:r>
              <w:rPr>
                <w:rFonts w:ascii="Arial" w:cs="Arial" w:eastAsia="Arial" w:hAnsi="Arial"/>
                <w:sz w:val="20"/>
                <w:szCs w:val="20"/>
                <w:b w:val="1"/>
                <w:bCs w:val="1"/>
                <w:color w:val="auto"/>
              </w:rPr>
              <w:t>Other</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20" w:type="dxa"/>
            <w:vAlign w:val="bottom"/>
          </w:tcPr>
          <w:p>
            <w:pPr>
              <w:jc w:val="right"/>
              <w:ind w:right="554"/>
              <w:spacing w:after="0" w:line="222" w:lineRule="exact"/>
              <w:rPr>
                <w:sz w:val="20"/>
                <w:szCs w:val="20"/>
                <w:color w:val="auto"/>
              </w:rPr>
            </w:pPr>
            <w:r>
              <w:rPr>
                <w:rFonts w:ascii="Arial" w:cs="Arial" w:eastAsia="Arial" w:hAnsi="Arial"/>
                <w:sz w:val="20"/>
                <w:szCs w:val="20"/>
                <w:b w:val="1"/>
                <w:bCs w:val="1"/>
                <w:color w:val="auto"/>
              </w:rPr>
              <w:t>Related</w:t>
            </w:r>
          </w:p>
        </w:tc>
        <w:tc>
          <w:tcPr>
            <w:tcW w:w="1680" w:type="dxa"/>
            <w:vAlign w:val="bottom"/>
          </w:tcPr>
          <w:p>
            <w:pPr>
              <w:jc w:val="right"/>
              <w:ind w:right="495"/>
              <w:spacing w:after="0" w:line="222" w:lineRule="exact"/>
              <w:rPr>
                <w:sz w:val="20"/>
                <w:szCs w:val="20"/>
                <w:color w:val="auto"/>
              </w:rPr>
            </w:pPr>
            <w:r>
              <w:rPr>
                <w:rFonts w:ascii="Arial" w:cs="Arial" w:eastAsia="Arial" w:hAnsi="Arial"/>
                <w:sz w:val="20"/>
                <w:szCs w:val="20"/>
                <w:b w:val="1"/>
                <w:bCs w:val="1"/>
                <w:color w:val="auto"/>
              </w:rPr>
              <w:t>Exit</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4220" w:type="dxa"/>
            <w:vAlign w:val="bottom"/>
          </w:tcPr>
          <w:p>
            <w:pPr>
              <w:jc w:val="right"/>
              <w:ind w:right="554"/>
              <w:spacing w:after="0"/>
              <w:rPr>
                <w:sz w:val="20"/>
                <w:szCs w:val="20"/>
                <w:color w:val="auto"/>
              </w:rPr>
            </w:pPr>
            <w:r>
              <w:rPr>
                <w:rFonts w:ascii="Arial" w:cs="Arial" w:eastAsia="Arial" w:hAnsi="Arial"/>
                <w:sz w:val="20"/>
                <w:szCs w:val="20"/>
                <w:b w:val="1"/>
                <w:bCs w:val="1"/>
                <w:color w:val="auto"/>
              </w:rPr>
              <w:t>Costs</w:t>
            </w:r>
          </w:p>
        </w:tc>
        <w:tc>
          <w:tcPr>
            <w:tcW w:w="1680" w:type="dxa"/>
            <w:vAlign w:val="bottom"/>
          </w:tcPr>
          <w:p>
            <w:pPr>
              <w:jc w:val="right"/>
              <w:ind w:right="495"/>
              <w:spacing w:after="0"/>
              <w:rPr>
                <w:sz w:val="20"/>
                <w:szCs w:val="20"/>
                <w:color w:val="auto"/>
              </w:rPr>
            </w:pPr>
            <w:r>
              <w:rPr>
                <w:rFonts w:ascii="Arial" w:cs="Arial" w:eastAsia="Arial" w:hAnsi="Arial"/>
                <w:sz w:val="20"/>
                <w:szCs w:val="20"/>
                <w:b w:val="1"/>
                <w:bCs w:val="1"/>
                <w:color w:val="auto"/>
              </w:rPr>
              <w:t>Costs</w:t>
            </w:r>
          </w:p>
        </w:tc>
        <w:tc>
          <w:tcPr>
            <w:tcW w:w="1140" w:type="dxa"/>
            <w:vAlign w:val="bottom"/>
          </w:tcPr>
          <w:p>
            <w:pPr>
              <w:jc w:val="right"/>
              <w:ind w:right="98"/>
              <w:spacing w:after="0"/>
              <w:rPr>
                <w:sz w:val="20"/>
                <w:szCs w:val="20"/>
                <w:color w:val="auto"/>
              </w:rPr>
            </w:pPr>
            <w:r>
              <w:rPr>
                <w:rFonts w:ascii="Arial" w:cs="Arial" w:eastAsia="Arial" w:hAnsi="Arial"/>
                <w:sz w:val="20"/>
                <w:szCs w:val="20"/>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380" w:type="dxa"/>
            <w:vAlign w:val="bottom"/>
            <w:gridSpan w:val="2"/>
          </w:tcPr>
          <w:p>
            <w:pPr>
              <w:spacing w:after="0"/>
              <w:rPr>
                <w:sz w:val="7"/>
                <w:szCs w:val="7"/>
                <w:color w:val="auto"/>
              </w:rPr>
            </w:pPr>
          </w:p>
        </w:tc>
        <w:tc>
          <w:tcPr>
            <w:tcW w:w="4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360" w:type="dxa"/>
            <w:vAlign w:val="bottom"/>
            <w:tcBorders>
              <w:top w:val="single" w:sz="8" w:color="808080"/>
            </w:tcBorders>
          </w:tcPr>
          <w:p>
            <w:pPr>
              <w:spacing w:after="0"/>
              <w:rPr>
                <w:sz w:val="7"/>
                <w:szCs w:val="7"/>
                <w:color w:val="auto"/>
              </w:rPr>
            </w:pPr>
          </w:p>
        </w:tc>
        <w:tc>
          <w:tcPr>
            <w:tcW w:w="4220" w:type="dxa"/>
            <w:vAlign w:val="bottom"/>
            <w:tcBorders>
              <w:top w:val="single" w:sz="8" w:color="808080"/>
            </w:tcBorders>
          </w:tcPr>
          <w:p>
            <w:pPr>
              <w:spacing w:after="0"/>
              <w:rPr>
                <w:sz w:val="7"/>
                <w:szCs w:val="7"/>
                <w:color w:val="auto"/>
              </w:rPr>
            </w:pPr>
          </w:p>
        </w:tc>
        <w:tc>
          <w:tcPr>
            <w:tcW w:w="1680" w:type="dxa"/>
            <w:vAlign w:val="bottom"/>
            <w:tcBorders>
              <w:top w:val="single" w:sz="8" w:color="808080"/>
            </w:tcBorders>
          </w:tcPr>
          <w:p>
            <w:pPr>
              <w:spacing w:after="0"/>
              <w:rPr>
                <w:sz w:val="7"/>
                <w:szCs w:val="7"/>
                <w:color w:val="auto"/>
              </w:rPr>
            </w:pPr>
          </w:p>
        </w:tc>
        <w:tc>
          <w:tcPr>
            <w:tcW w:w="114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60" w:type="dxa"/>
            <w:vAlign w:val="bottom"/>
            <w:shd w:val="clear" w:color="auto" w:fill="DDDDDD"/>
          </w:tcPr>
          <w:p>
            <w:pPr>
              <w:spacing w:after="0"/>
              <w:rPr>
                <w:sz w:val="20"/>
                <w:szCs w:val="20"/>
                <w:color w:val="auto"/>
              </w:rPr>
            </w:pPr>
            <w:r>
              <w:rPr>
                <w:rFonts w:ascii="Arial" w:cs="Arial" w:eastAsia="Arial" w:hAnsi="Arial"/>
                <w:sz w:val="16"/>
                <w:szCs w:val="16"/>
                <w:color w:val="auto"/>
              </w:rPr>
              <w:t>Liabilities established</w:t>
            </w:r>
          </w:p>
        </w:tc>
        <w:tc>
          <w:tcPr>
            <w:tcW w:w="4220" w:type="dxa"/>
            <w:vAlign w:val="bottom"/>
            <w:shd w:val="clear" w:color="auto" w:fill="DDDDDD"/>
          </w:tcPr>
          <w:p>
            <w:pPr>
              <w:spacing w:after="0"/>
              <w:rPr>
                <w:sz w:val="16"/>
                <w:szCs w:val="16"/>
                <w:color w:val="auto"/>
              </w:rPr>
            </w:pPr>
          </w:p>
        </w:tc>
        <w:tc>
          <w:tcPr>
            <w:tcW w:w="1680" w:type="dxa"/>
            <w:vAlign w:val="bottom"/>
            <w:shd w:val="clear" w:color="auto" w:fill="DDDDDD"/>
          </w:tcPr>
          <w:p>
            <w:pPr>
              <w:spacing w:after="0"/>
              <w:rPr>
                <w:sz w:val="16"/>
                <w:szCs w:val="16"/>
                <w:color w:val="auto"/>
              </w:rPr>
            </w:pPr>
          </w:p>
        </w:tc>
        <w:tc>
          <w:tcPr>
            <w:tcW w:w="114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shd w:val="clear" w:color="auto" w:fill="DDDDDD"/>
          </w:tcPr>
          <w:p>
            <w:pPr>
              <w:ind w:left="420"/>
              <w:spacing w:after="0"/>
              <w:rPr>
                <w:sz w:val="20"/>
                <w:szCs w:val="20"/>
                <w:color w:val="auto"/>
              </w:rPr>
            </w:pPr>
            <w:r>
              <w:rPr>
                <w:rFonts w:ascii="Arial" w:cs="Arial" w:eastAsia="Arial" w:hAnsi="Arial"/>
                <w:sz w:val="16"/>
                <w:szCs w:val="16"/>
                <w:color w:val="auto"/>
              </w:rPr>
              <w:t>at acquisition</w:t>
            </w:r>
          </w:p>
        </w:tc>
        <w:tc>
          <w:tcPr>
            <w:tcW w:w="4220" w:type="dxa"/>
            <w:vAlign w:val="bottom"/>
            <w:shd w:val="clear" w:color="auto" w:fill="DDDDDD"/>
          </w:tcPr>
          <w:p>
            <w:pPr>
              <w:jc w:val="right"/>
              <w:ind w:right="554"/>
              <w:spacing w:after="0"/>
              <w:rPr>
                <w:sz w:val="20"/>
                <w:szCs w:val="20"/>
                <w:color w:val="auto"/>
              </w:rPr>
            </w:pPr>
            <w:r>
              <w:rPr>
                <w:rFonts w:ascii="Arial" w:cs="Arial" w:eastAsia="Arial" w:hAnsi="Arial"/>
                <w:sz w:val="16"/>
                <w:szCs w:val="16"/>
                <w:color w:val="auto"/>
              </w:rPr>
              <w:t>$ 13.3</w:t>
            </w:r>
          </w:p>
        </w:tc>
        <w:tc>
          <w:tcPr>
            <w:tcW w:w="1680" w:type="dxa"/>
            <w:vAlign w:val="bottom"/>
            <w:shd w:val="clear" w:color="auto" w:fill="DDDDDD"/>
          </w:tcPr>
          <w:p>
            <w:pPr>
              <w:jc w:val="right"/>
              <w:ind w:right="495"/>
              <w:spacing w:after="0"/>
              <w:rPr>
                <w:sz w:val="20"/>
                <w:szCs w:val="20"/>
                <w:color w:val="auto"/>
              </w:rPr>
            </w:pPr>
            <w:r>
              <w:rPr>
                <w:rFonts w:ascii="Arial" w:cs="Arial" w:eastAsia="Arial" w:hAnsi="Arial"/>
                <w:sz w:val="16"/>
                <w:szCs w:val="16"/>
                <w:color w:val="auto"/>
              </w:rPr>
              <w:t>$ 4.4</w:t>
            </w:r>
          </w:p>
        </w:tc>
        <w:tc>
          <w:tcPr>
            <w:tcW w:w="11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$ 17.7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Fiscal 2001 payments</w:t>
            </w:r>
          </w:p>
        </w:tc>
        <w:tc>
          <w:tcPr>
            <w:tcW w:w="4220" w:type="dxa"/>
            <w:vAlign w:val="bottom"/>
          </w:tcPr>
          <w:p>
            <w:pPr>
              <w:jc w:val="right"/>
              <w:ind w:right="494"/>
              <w:spacing w:after="0"/>
              <w:rPr>
                <w:sz w:val="20"/>
                <w:szCs w:val="20"/>
                <w:color w:val="auto"/>
              </w:rPr>
            </w:pPr>
            <w:r>
              <w:rPr>
                <w:rFonts w:ascii="Arial" w:cs="Arial" w:eastAsia="Arial" w:hAnsi="Arial"/>
                <w:sz w:val="16"/>
                <w:szCs w:val="16"/>
                <w:color w:val="auto"/>
              </w:rPr>
              <w:t>(1.8)</w:t>
            </w:r>
          </w:p>
        </w:tc>
        <w:tc>
          <w:tcPr>
            <w:tcW w:w="1680" w:type="dxa"/>
            <w:vAlign w:val="bottom"/>
          </w:tcPr>
          <w:p>
            <w:pPr>
              <w:jc w:val="right"/>
              <w:ind w:right="435"/>
              <w:spacing w:after="0"/>
              <w:rPr>
                <w:sz w:val="20"/>
                <w:szCs w:val="20"/>
                <w:color w:val="auto"/>
              </w:rPr>
            </w:pPr>
            <w:r>
              <w:rPr>
                <w:rFonts w:ascii="Arial" w:cs="Arial" w:eastAsia="Arial" w:hAnsi="Arial"/>
                <w:sz w:val="16"/>
                <w:szCs w:val="16"/>
                <w:color w:val="auto"/>
              </w:rPr>
              <w:t>(1.2)</w:t>
            </w:r>
          </w:p>
        </w:tc>
        <w:tc>
          <w:tcPr>
            <w:tcW w:w="1140" w:type="dxa"/>
            <w:vAlign w:val="bottom"/>
          </w:tcPr>
          <w:p>
            <w:pPr>
              <w:jc w:val="right"/>
              <w:ind w:right="58"/>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808080"/>
            </w:tcBorders>
            <w:gridSpan w:val="2"/>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36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360" w:type="dxa"/>
            <w:vAlign w:val="bottom"/>
            <w:shd w:val="clear" w:color="auto" w:fill="DDDDDD"/>
          </w:tcPr>
          <w:p>
            <w:pPr>
              <w:spacing w:after="0"/>
              <w:rPr>
                <w:sz w:val="20"/>
                <w:szCs w:val="20"/>
                <w:color w:val="auto"/>
              </w:rPr>
            </w:pPr>
            <w:r>
              <w:rPr>
                <w:rFonts w:ascii="Arial" w:cs="Arial" w:eastAsia="Arial" w:hAnsi="Arial"/>
                <w:sz w:val="16"/>
                <w:szCs w:val="16"/>
                <w:color w:val="auto"/>
              </w:rPr>
              <w:t>Balance at May 31, 2001</w:t>
            </w:r>
          </w:p>
        </w:tc>
        <w:tc>
          <w:tcPr>
            <w:tcW w:w="4220" w:type="dxa"/>
            <w:vAlign w:val="bottom"/>
            <w:shd w:val="clear" w:color="auto" w:fill="DDDDDD"/>
          </w:tcPr>
          <w:p>
            <w:pPr>
              <w:jc w:val="right"/>
              <w:ind w:right="554"/>
              <w:spacing w:after="0"/>
              <w:rPr>
                <w:sz w:val="20"/>
                <w:szCs w:val="20"/>
                <w:color w:val="auto"/>
              </w:rPr>
            </w:pPr>
            <w:r>
              <w:rPr>
                <w:rFonts w:ascii="Arial" w:cs="Arial" w:eastAsia="Arial" w:hAnsi="Arial"/>
                <w:sz w:val="16"/>
                <w:szCs w:val="16"/>
                <w:color w:val="auto"/>
              </w:rPr>
              <w:t>11.5</w:t>
            </w:r>
          </w:p>
        </w:tc>
        <w:tc>
          <w:tcPr>
            <w:tcW w:w="1680" w:type="dxa"/>
            <w:vAlign w:val="bottom"/>
            <w:shd w:val="clear" w:color="auto" w:fill="DDDDDD"/>
          </w:tcPr>
          <w:p>
            <w:pPr>
              <w:jc w:val="right"/>
              <w:ind w:right="495"/>
              <w:spacing w:after="0"/>
              <w:rPr>
                <w:sz w:val="20"/>
                <w:szCs w:val="20"/>
                <w:color w:val="auto"/>
              </w:rPr>
            </w:pPr>
            <w:r>
              <w:rPr>
                <w:rFonts w:ascii="Arial" w:cs="Arial" w:eastAsia="Arial" w:hAnsi="Arial"/>
                <w:sz w:val="16"/>
                <w:szCs w:val="16"/>
                <w:color w:val="auto"/>
              </w:rPr>
              <w:t>3.2</w:t>
            </w:r>
          </w:p>
        </w:tc>
        <w:tc>
          <w:tcPr>
            <w:tcW w:w="11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Fiscal 2002 payments</w:t>
            </w:r>
          </w:p>
        </w:tc>
        <w:tc>
          <w:tcPr>
            <w:tcW w:w="4220" w:type="dxa"/>
            <w:vAlign w:val="bottom"/>
          </w:tcPr>
          <w:p>
            <w:pPr>
              <w:jc w:val="right"/>
              <w:ind w:right="494"/>
              <w:spacing w:after="0"/>
              <w:rPr>
                <w:sz w:val="20"/>
                <w:szCs w:val="20"/>
                <w:color w:val="auto"/>
              </w:rPr>
            </w:pPr>
            <w:r>
              <w:rPr>
                <w:rFonts w:ascii="Arial" w:cs="Arial" w:eastAsia="Arial" w:hAnsi="Arial"/>
                <w:sz w:val="16"/>
                <w:szCs w:val="16"/>
                <w:color w:val="auto"/>
              </w:rPr>
              <w:t>(7.3)</w:t>
            </w:r>
          </w:p>
        </w:tc>
        <w:tc>
          <w:tcPr>
            <w:tcW w:w="1680" w:type="dxa"/>
            <w:vAlign w:val="bottom"/>
          </w:tcPr>
          <w:p>
            <w:pPr>
              <w:jc w:val="right"/>
              <w:ind w:right="435"/>
              <w:spacing w:after="0"/>
              <w:rPr>
                <w:sz w:val="20"/>
                <w:szCs w:val="20"/>
                <w:color w:val="auto"/>
              </w:rPr>
            </w:pPr>
            <w:r>
              <w:rPr>
                <w:rFonts w:ascii="Arial" w:cs="Arial" w:eastAsia="Arial" w:hAnsi="Arial"/>
                <w:sz w:val="16"/>
                <w:szCs w:val="16"/>
                <w:color w:val="auto"/>
              </w:rPr>
              <w:t>(0.7)</w:t>
            </w:r>
          </w:p>
        </w:tc>
        <w:tc>
          <w:tcPr>
            <w:tcW w:w="1140" w:type="dxa"/>
            <w:vAlign w:val="bottom"/>
          </w:tcPr>
          <w:p>
            <w:pPr>
              <w:jc w:val="right"/>
              <w:ind w:right="58"/>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shd w:val="clear" w:color="auto" w:fill="DDDDDD"/>
          </w:tcPr>
          <w:p>
            <w:pPr>
              <w:spacing w:after="0"/>
              <w:rPr>
                <w:sz w:val="20"/>
                <w:szCs w:val="20"/>
                <w:color w:val="auto"/>
              </w:rPr>
            </w:pPr>
            <w:r>
              <w:rPr>
                <w:rFonts w:ascii="Arial" w:cs="Arial" w:eastAsia="Arial" w:hAnsi="Arial"/>
                <w:sz w:val="16"/>
                <w:szCs w:val="16"/>
                <w:color w:val="auto"/>
              </w:rPr>
              <w:t>Fiscal 2002 adjustment</w:t>
            </w:r>
          </w:p>
        </w:tc>
        <w:tc>
          <w:tcPr>
            <w:tcW w:w="4220" w:type="dxa"/>
            <w:vAlign w:val="bottom"/>
            <w:shd w:val="clear" w:color="auto" w:fill="DDDDDD"/>
          </w:tcPr>
          <w:p>
            <w:pPr>
              <w:jc w:val="right"/>
              <w:ind w:right="494"/>
              <w:spacing w:after="0"/>
              <w:rPr>
                <w:sz w:val="20"/>
                <w:szCs w:val="20"/>
                <w:color w:val="auto"/>
              </w:rPr>
            </w:pPr>
            <w:r>
              <w:rPr>
                <w:rFonts w:ascii="Arial" w:cs="Arial" w:eastAsia="Arial" w:hAnsi="Arial"/>
                <w:sz w:val="16"/>
                <w:szCs w:val="16"/>
                <w:color w:val="auto"/>
              </w:rPr>
              <w:t>(1.2)</w:t>
            </w:r>
          </w:p>
        </w:tc>
        <w:tc>
          <w:tcPr>
            <w:tcW w:w="1680" w:type="dxa"/>
            <w:vAlign w:val="bottom"/>
            <w:shd w:val="clear" w:color="auto" w:fill="DDDDDD"/>
          </w:tcPr>
          <w:p>
            <w:pPr>
              <w:jc w:val="right"/>
              <w:ind w:right="435"/>
              <w:spacing w:after="0"/>
              <w:rPr>
                <w:sz w:val="20"/>
                <w:szCs w:val="20"/>
                <w:color w:val="auto"/>
              </w:rPr>
            </w:pPr>
            <w:r>
              <w:rPr>
                <w:rFonts w:ascii="Arial" w:cs="Arial" w:eastAsia="Arial" w:hAnsi="Arial"/>
                <w:sz w:val="16"/>
                <w:szCs w:val="16"/>
                <w:color w:val="auto"/>
              </w:rPr>
              <w:t>(0.9)</w:t>
            </w:r>
          </w:p>
        </w:tc>
        <w:tc>
          <w:tcPr>
            <w:tcW w:w="114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4380" w:type="dxa"/>
            <w:vAlign w:val="bottom"/>
            <w:gridSpan w:val="2"/>
          </w:tcPr>
          <w:p>
            <w:pPr>
              <w:spacing w:after="0"/>
              <w:rPr>
                <w:sz w:val="20"/>
                <w:szCs w:val="20"/>
                <w:color w:val="auto"/>
              </w:rPr>
            </w:pPr>
            <w:r>
              <w:rPr>
                <w:rFonts w:ascii="Arial" w:cs="Arial" w:eastAsia="Arial" w:hAnsi="Arial"/>
                <w:sz w:val="16"/>
                <w:szCs w:val="16"/>
                <w:color w:val="auto"/>
              </w:rPr>
              <w:t>Balance at May 31, 2002</w:t>
            </w:r>
          </w:p>
        </w:tc>
        <w:tc>
          <w:tcPr>
            <w:tcW w:w="4220" w:type="dxa"/>
            <w:vAlign w:val="bottom"/>
          </w:tcPr>
          <w:p>
            <w:pPr>
              <w:jc w:val="right"/>
              <w:ind w:right="554"/>
              <w:spacing w:after="0"/>
              <w:rPr>
                <w:sz w:val="20"/>
                <w:szCs w:val="20"/>
                <w:color w:val="auto"/>
              </w:rPr>
            </w:pPr>
            <w:r>
              <w:rPr>
                <w:rFonts w:ascii="Arial" w:cs="Arial" w:eastAsia="Arial" w:hAnsi="Arial"/>
                <w:sz w:val="16"/>
                <w:szCs w:val="16"/>
                <w:color w:val="auto"/>
              </w:rPr>
              <w:t>3.0</w:t>
            </w:r>
          </w:p>
        </w:tc>
        <w:tc>
          <w:tcPr>
            <w:tcW w:w="1680" w:type="dxa"/>
            <w:vAlign w:val="bottom"/>
          </w:tcPr>
          <w:p>
            <w:pPr>
              <w:jc w:val="right"/>
              <w:ind w:right="495"/>
              <w:spacing w:after="0"/>
              <w:rPr>
                <w:sz w:val="20"/>
                <w:szCs w:val="20"/>
                <w:color w:val="auto"/>
              </w:rPr>
            </w:pPr>
            <w:r>
              <w:rPr>
                <w:rFonts w:ascii="Arial" w:cs="Arial" w:eastAsia="Arial" w:hAnsi="Arial"/>
                <w:sz w:val="16"/>
                <w:szCs w:val="16"/>
                <w:color w:val="auto"/>
              </w:rPr>
              <w:t>1.6</w:t>
            </w:r>
          </w:p>
        </w:tc>
        <w:tc>
          <w:tcPr>
            <w:tcW w:w="1140" w:type="dxa"/>
            <w:vAlign w:val="bottom"/>
          </w:tcPr>
          <w:p>
            <w:pPr>
              <w:jc w:val="right"/>
              <w:ind w:right="98"/>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380" w:type="dxa"/>
            <w:vAlign w:val="bottom"/>
            <w:tcBorders>
              <w:bottom w:val="single" w:sz="8" w:color="808080"/>
            </w:tcBorders>
            <w:gridSpan w:val="2"/>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36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360" w:type="dxa"/>
            <w:vAlign w:val="bottom"/>
            <w:shd w:val="clear" w:color="auto" w:fill="DDDDDD"/>
          </w:tcPr>
          <w:p>
            <w:pPr>
              <w:spacing w:after="0"/>
              <w:rPr>
                <w:sz w:val="20"/>
                <w:szCs w:val="20"/>
                <w:color w:val="auto"/>
              </w:rPr>
            </w:pPr>
            <w:r>
              <w:rPr>
                <w:rFonts w:ascii="Arial" w:cs="Arial" w:eastAsia="Arial" w:hAnsi="Arial"/>
                <w:sz w:val="16"/>
                <w:szCs w:val="16"/>
                <w:color w:val="auto"/>
              </w:rPr>
              <w:t>Fiscal 2003 payments</w:t>
            </w:r>
          </w:p>
        </w:tc>
        <w:tc>
          <w:tcPr>
            <w:tcW w:w="4220" w:type="dxa"/>
            <w:vAlign w:val="bottom"/>
            <w:shd w:val="clear" w:color="auto" w:fill="DDDDDD"/>
          </w:tcPr>
          <w:p>
            <w:pPr>
              <w:jc w:val="right"/>
              <w:ind w:right="494"/>
              <w:spacing w:after="0"/>
              <w:rPr>
                <w:sz w:val="20"/>
                <w:szCs w:val="20"/>
                <w:color w:val="auto"/>
              </w:rPr>
            </w:pPr>
            <w:r>
              <w:rPr>
                <w:rFonts w:ascii="Arial" w:cs="Arial" w:eastAsia="Arial" w:hAnsi="Arial"/>
                <w:sz w:val="16"/>
                <w:szCs w:val="16"/>
                <w:color w:val="auto"/>
              </w:rPr>
              <w:t>(2.2)</w:t>
            </w:r>
          </w:p>
        </w:tc>
        <w:tc>
          <w:tcPr>
            <w:tcW w:w="1680" w:type="dxa"/>
            <w:vAlign w:val="bottom"/>
            <w:shd w:val="clear" w:color="auto" w:fill="DDDDDD"/>
          </w:tcPr>
          <w:p>
            <w:pPr>
              <w:jc w:val="right"/>
              <w:ind w:right="435"/>
              <w:spacing w:after="0"/>
              <w:rPr>
                <w:sz w:val="20"/>
                <w:szCs w:val="20"/>
                <w:color w:val="auto"/>
              </w:rPr>
            </w:pPr>
            <w:r>
              <w:rPr>
                <w:rFonts w:ascii="Arial" w:cs="Arial" w:eastAsia="Arial" w:hAnsi="Arial"/>
                <w:sz w:val="16"/>
                <w:szCs w:val="16"/>
                <w:color w:val="auto"/>
              </w:rPr>
              <w:t>(0.4)</w:t>
            </w:r>
          </w:p>
        </w:tc>
        <w:tc>
          <w:tcPr>
            <w:tcW w:w="114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Fiscal 2003 adjustment</w:t>
            </w:r>
          </w:p>
        </w:tc>
        <w:tc>
          <w:tcPr>
            <w:tcW w:w="4220" w:type="dxa"/>
            <w:vAlign w:val="bottom"/>
          </w:tcPr>
          <w:p>
            <w:pPr>
              <w:jc w:val="right"/>
              <w:ind w:right="494"/>
              <w:spacing w:after="0"/>
              <w:rPr>
                <w:sz w:val="20"/>
                <w:szCs w:val="20"/>
                <w:color w:val="auto"/>
              </w:rPr>
            </w:pPr>
            <w:r>
              <w:rPr>
                <w:rFonts w:ascii="Arial" w:cs="Arial" w:eastAsia="Arial" w:hAnsi="Arial"/>
                <w:sz w:val="16"/>
                <w:szCs w:val="16"/>
                <w:color w:val="auto"/>
              </w:rPr>
              <w:t>(0.2)</w:t>
            </w:r>
          </w:p>
        </w:tc>
        <w:tc>
          <w:tcPr>
            <w:tcW w:w="1680" w:type="dxa"/>
            <w:vAlign w:val="bottom"/>
          </w:tcPr>
          <w:p>
            <w:pPr>
              <w:jc w:val="right"/>
              <w:ind w:right="435"/>
              <w:spacing w:after="0"/>
              <w:rPr>
                <w:sz w:val="20"/>
                <w:szCs w:val="20"/>
                <w:color w:val="auto"/>
              </w:rPr>
            </w:pPr>
            <w:r>
              <w:rPr>
                <w:rFonts w:ascii="Arial" w:cs="Arial" w:eastAsia="Arial" w:hAnsi="Arial"/>
                <w:sz w:val="16"/>
                <w:szCs w:val="16"/>
                <w:color w:val="auto"/>
              </w:rPr>
              <w:t>(0.3)</w:t>
            </w:r>
          </w:p>
        </w:tc>
        <w:tc>
          <w:tcPr>
            <w:tcW w:w="1140" w:type="dxa"/>
            <w:vAlign w:val="bottom"/>
          </w:tcPr>
          <w:p>
            <w:pPr>
              <w:jc w:val="right"/>
              <w:ind w:right="58"/>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808080"/>
            </w:tcBorders>
            <w:gridSpan w:val="2"/>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36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3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Balance at May 31, 2003</w:t>
            </w:r>
          </w:p>
        </w:tc>
        <w:tc>
          <w:tcPr>
            <w:tcW w:w="4220" w:type="dxa"/>
            <w:vAlign w:val="bottom"/>
            <w:shd w:val="clear" w:color="auto" w:fill="DDDDDD"/>
          </w:tcPr>
          <w:p>
            <w:pPr>
              <w:jc w:val="right"/>
              <w:ind w:right="554"/>
              <w:spacing w:after="0"/>
              <w:rPr>
                <w:sz w:val="20"/>
                <w:szCs w:val="20"/>
                <w:color w:val="auto"/>
              </w:rPr>
            </w:pPr>
            <w:r>
              <w:rPr>
                <w:rFonts w:ascii="Arial" w:cs="Arial" w:eastAsia="Arial" w:hAnsi="Arial"/>
                <w:sz w:val="16"/>
                <w:szCs w:val="16"/>
                <w:b w:val="1"/>
                <w:bCs w:val="1"/>
                <w:color w:val="auto"/>
              </w:rPr>
              <w:t>$ 0.6</w:t>
            </w:r>
          </w:p>
        </w:tc>
        <w:tc>
          <w:tcPr>
            <w:tcW w:w="1680" w:type="dxa"/>
            <w:vAlign w:val="bottom"/>
            <w:shd w:val="clear" w:color="auto" w:fill="DDDDDD"/>
          </w:tcPr>
          <w:p>
            <w:pPr>
              <w:jc w:val="right"/>
              <w:ind w:right="495"/>
              <w:spacing w:after="0"/>
              <w:rPr>
                <w:sz w:val="20"/>
                <w:szCs w:val="20"/>
                <w:color w:val="auto"/>
              </w:rPr>
            </w:pPr>
            <w:r>
              <w:rPr>
                <w:rFonts w:ascii="Arial" w:cs="Arial" w:eastAsia="Arial" w:hAnsi="Arial"/>
                <w:sz w:val="16"/>
                <w:szCs w:val="16"/>
                <w:b w:val="1"/>
                <w:bCs w:val="1"/>
                <w:color w:val="auto"/>
              </w:rPr>
              <w:t>$ 0.9</w:t>
            </w:r>
          </w:p>
        </w:tc>
        <w:tc>
          <w:tcPr>
            <w:tcW w:w="1140" w:type="dxa"/>
            <w:vAlign w:val="bottom"/>
            <w:shd w:val="clear" w:color="auto" w:fill="DDDDDD"/>
          </w:tcPr>
          <w:p>
            <w:pPr>
              <w:jc w:val="right"/>
              <w:ind w:right="98"/>
              <w:spacing w:after="0"/>
              <w:rPr>
                <w:sz w:val="20"/>
                <w:szCs w:val="20"/>
                <w:color w:val="auto"/>
              </w:rPr>
            </w:pPr>
            <w:r>
              <w:rPr>
                <w:rFonts w:ascii="Arial" w:cs="Arial" w:eastAsia="Arial" w:hAnsi="Arial"/>
                <w:sz w:val="16"/>
                <w:szCs w:val="16"/>
                <w:b w:val="1"/>
                <w:bCs w:val="1"/>
                <w:color w:val="auto"/>
              </w:rPr>
              <w:t>$ 1.5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-27940</wp:posOffset>
            </wp:positionV>
            <wp:extent cx="12700" cy="285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6. ACQUISITION OF GOOSEBUMPS RIGHTS</w:t>
      </w:r>
    </w:p>
    <w:p>
      <w:pPr>
        <w:spacing w:after="0" w:line="22" w:lineRule="exact"/>
        <w:rPr>
          <w:sz w:val="20"/>
          <w:szCs w:val="20"/>
          <w:color w:val="auto"/>
        </w:rPr>
      </w:pPr>
    </w:p>
    <w:p>
      <w:pPr>
        <w:ind w:left="2" w:right="220"/>
        <w:spacing w:after="0" w:line="286" w:lineRule="auto"/>
        <w:rPr>
          <w:sz w:val="20"/>
          <w:szCs w:val="20"/>
          <w:color w:val="auto"/>
        </w:rPr>
      </w:pPr>
      <w:r>
        <w:rPr>
          <w:rFonts w:ascii="Arial" w:cs="Arial" w:eastAsia="Arial" w:hAnsi="Arial"/>
          <w:sz w:val="15"/>
          <w:szCs w:val="15"/>
          <w:color w:val="auto"/>
        </w:rPr>
        <w:t xml:space="preserve">In fiscal 2003, the Company acquired all worldwide rights to the </w:t>
      </w:r>
      <w:r>
        <w:rPr>
          <w:rFonts w:ascii="Arial" w:cs="Arial" w:eastAsia="Arial" w:hAnsi="Arial"/>
          <w:sz w:val="15"/>
          <w:szCs w:val="15"/>
          <w:i w:val="1"/>
          <w:iCs w:val="1"/>
          <w:color w:val="auto"/>
        </w:rPr>
        <w:t>Goosebumps™</w:t>
      </w:r>
      <w:r>
        <w:rPr>
          <w:rFonts w:ascii="Arial" w:cs="Arial" w:eastAsia="Arial" w:hAnsi="Arial"/>
          <w:sz w:val="15"/>
          <w:szCs w:val="15"/>
          <w:color w:val="auto"/>
        </w:rPr>
        <w:t xml:space="preserve"> property from Parachute Press, Inc. and its affiliates (“Parachute”) and the parties settled all outstanding disputes between them. Under the agreement, the Company paid $9.7 to acquire all Parachute’s rights in the Goosebumps trademark, to publish existing and future Goosebumps books and to develop and exploit the property on a worldwide basis in all media, without future royalty obligations to Parachute Press, Inc.</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7. INVESTMENT</w:t>
      </w:r>
    </w:p>
    <w:p>
      <w:pPr>
        <w:spacing w:after="0" w:line="22" w:lineRule="exact"/>
        <w:rPr>
          <w:sz w:val="20"/>
          <w:szCs w:val="20"/>
          <w:color w:val="auto"/>
        </w:rPr>
      </w:pPr>
    </w:p>
    <w:p>
      <w:pPr>
        <w:jc w:val="both"/>
        <w:ind w:left="2" w:right="20"/>
        <w:spacing w:after="0" w:line="315" w:lineRule="auto"/>
        <w:rPr>
          <w:sz w:val="20"/>
          <w:szCs w:val="20"/>
          <w:color w:val="auto"/>
        </w:rPr>
      </w:pPr>
      <w:r>
        <w:rPr>
          <w:rFonts w:ascii="Arial" w:cs="Arial" w:eastAsia="Arial" w:hAnsi="Arial"/>
          <w:sz w:val="14"/>
          <w:szCs w:val="14"/>
          <w:color w:val="auto"/>
        </w:rPr>
        <w:t>On June 24, 2002, the Company entered into a joint venture with The Book People, Ltd., a direct marketer of books in the United Kingdom, to distribute books to the home under the Red House name and through schools under the Scholastic School Link name. Accordingly, $9.6 relating to Red House has been recorded as an investment in the joint venture (See Note 8). The Company also acquired a 15% equity interest in The Book People Group, Ltd. for £12.0 (equivalent to $17.9 as of the date of the transaction) with a possible</w:t>
      </w:r>
    </w:p>
    <w:p>
      <w:pPr>
        <w:spacing w:after="0" w:line="14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295275</wp:posOffset>
            </wp:positionV>
            <wp:extent cx="3891280" cy="3282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 w:right="240"/>
        <w:spacing w:after="0" w:line="288" w:lineRule="auto"/>
        <w:rPr>
          <w:sz w:val="20"/>
          <w:szCs w:val="20"/>
          <w:color w:val="auto"/>
        </w:rPr>
      </w:pPr>
      <w:r>
        <w:rPr>
          <w:rFonts w:ascii="Arial" w:cs="Arial" w:eastAsia="Arial" w:hAnsi="Arial"/>
          <w:sz w:val="15"/>
          <w:szCs w:val="15"/>
          <w:color w:val="auto"/>
        </w:rPr>
        <w:t>additional payment of £3.0 based on operating results and contingent on repayment of all borrowings under a £3.0 revolving credit facility established at the date of the transaction by the Company in favor of The Book People Group, Ltd. The revolving credit facility is available to fund the expansion of The Book People Group, Ltd. and for working capital purposes. As of May 31, 2003, £3.0 (equivalent to $4.9) was outstanding under the revolving credit facility. The equity investment in The Book People Group, Ltd. and credit facility are included in Other in the Other Assets and Deferred Charges section of the Consolidated Balance Sheets.</w:t>
      </w:r>
    </w:p>
    <w:p>
      <w:pPr>
        <w:spacing w:after="0" w:line="140" w:lineRule="exact"/>
        <w:rPr>
          <w:sz w:val="20"/>
          <w:szCs w:val="20"/>
          <w:color w:val="auto"/>
        </w:rPr>
      </w:pPr>
    </w:p>
    <w:p>
      <w:pPr>
        <w:ind w:left="2" w:right="9320" w:hanging="2"/>
        <w:spacing w:after="0" w:line="246" w:lineRule="auto"/>
        <w:tabs>
          <w:tab w:leader="none" w:pos="199"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w:t>
      </w:r>
    </w:p>
    <w:p>
      <w:pPr>
        <w:spacing w:after="0" w:line="2" w:lineRule="exact"/>
        <w:rPr>
          <w:sz w:val="20"/>
          <w:szCs w:val="20"/>
          <w:color w:val="auto"/>
        </w:rPr>
      </w:pPr>
    </w:p>
    <w:p>
      <w:pPr>
        <w:jc w:val="both"/>
        <w:ind w:left="2" w:right="140"/>
        <w:spacing w:after="0" w:line="258" w:lineRule="auto"/>
        <w:rPr>
          <w:sz w:val="20"/>
          <w:szCs w:val="20"/>
          <w:color w:val="auto"/>
        </w:rPr>
      </w:pPr>
      <w:r>
        <w:rPr>
          <w:rFonts w:ascii="Arial" w:cs="Arial" w:eastAsia="Arial" w:hAnsi="Arial"/>
          <w:sz w:val="16"/>
          <w:szCs w:val="16"/>
          <w:color w:val="auto"/>
        </w:rPr>
        <w:t>The Company adopted SFAS No. 142, effective as of June 1, 2001. Under SFAS No. 142, goodwill and other intangible assets with indefinite lives are no longer amortized but are reviewed annually, or more frequently if impairment indicators arise. In fiscal 2003 and 2002, the Company completed the required annual impairment reviews of goodwill. These reviews required the Company to estimate the fair value of its identified reporting units. For each of the reporting units, the estimated fair value was determined utilizing the expected present value of the projected future cash flows of the units. In all instances, the estimated fair value of the reporting units exceeded their book values and therefore no write-down of goodwill was required.</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following table reflects unaudited pro forma results of operations of the Company, giving effect to SFAS No. 142 as if it were adopted on the first day of the fiscal year ended</w:t>
      </w:r>
    </w:p>
    <w:p>
      <w:pPr>
        <w:spacing w:after="0" w:line="44" w:lineRule="exact"/>
        <w:rPr>
          <w:sz w:val="20"/>
          <w:szCs w:val="20"/>
          <w:color w:val="auto"/>
        </w:rPr>
      </w:pPr>
    </w:p>
    <w:p>
      <w:pPr>
        <w:ind w:left="2"/>
        <w:spacing w:after="0"/>
        <w:rPr>
          <w:sz w:val="20"/>
          <w:szCs w:val="20"/>
          <w:color w:val="auto"/>
        </w:rPr>
      </w:pPr>
      <w:r>
        <w:rPr>
          <w:rFonts w:ascii="Arial" w:cs="Arial" w:eastAsia="Arial" w:hAnsi="Arial"/>
          <w:sz w:val="16"/>
          <w:szCs w:val="16"/>
          <w:color w:val="auto"/>
        </w:rPr>
        <w:t>May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868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75" w:lineRule="exact"/>
        <w:rPr>
          <w:sz w:val="20"/>
          <w:szCs w:val="20"/>
          <w:color w:val="auto"/>
        </w:rPr>
      </w:pPr>
    </w:p>
    <w:tbl>
      <w:tblPr>
        <w:tblLayout w:type="fixed"/>
        <w:tblInd w:w="2"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4360" w:type="dxa"/>
            <w:vAlign w:val="bottom"/>
          </w:tcPr>
          <w:p>
            <w:pPr>
              <w:jc w:val="right"/>
              <w:ind w:right="77"/>
              <w:spacing w:after="0"/>
              <w:rPr>
                <w:sz w:val="20"/>
                <w:szCs w:val="20"/>
                <w:color w:val="auto"/>
              </w:rPr>
            </w:pPr>
            <w:r>
              <w:rPr>
                <w:rFonts w:ascii="Arial" w:cs="Arial" w:eastAsia="Arial" w:hAnsi="Arial"/>
                <w:sz w:val="20"/>
                <w:szCs w:val="20"/>
                <w:b w:val="1"/>
                <w:bCs w:val="1"/>
                <w:color w:val="auto"/>
              </w:rPr>
              <w:t>2001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40" w:type="dxa"/>
            <w:vAlign w:val="bottom"/>
            <w:tcBorders>
              <w:bottom w:val="single" w:sz="8" w:color="808080"/>
            </w:tcBorders>
          </w:tcPr>
          <w:p>
            <w:pPr>
              <w:spacing w:after="0"/>
              <w:rPr>
                <w:sz w:val="7"/>
                <w:szCs w:val="7"/>
                <w:color w:val="auto"/>
              </w:rPr>
            </w:pPr>
          </w:p>
        </w:tc>
        <w:tc>
          <w:tcPr>
            <w:tcW w:w="43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7060" w:type="dxa"/>
            <w:vAlign w:val="bottom"/>
            <w:gridSpan w:val="2"/>
          </w:tcPr>
          <w:p>
            <w:pPr>
              <w:spacing w:after="0"/>
              <w:rPr>
                <w:sz w:val="20"/>
                <w:szCs w:val="20"/>
                <w:color w:val="auto"/>
              </w:rPr>
            </w:pPr>
            <w:r>
              <w:rPr>
                <w:rFonts w:ascii="Arial" w:cs="Arial" w:eastAsia="Arial" w:hAnsi="Arial"/>
                <w:sz w:val="16"/>
                <w:szCs w:val="16"/>
                <w:color w:val="auto"/>
              </w:rPr>
              <w:t>Net income, as reported</w:t>
            </w:r>
          </w:p>
        </w:tc>
        <w:tc>
          <w:tcPr>
            <w:tcW w:w="4360" w:type="dxa"/>
            <w:vAlign w:val="bottom"/>
          </w:tcPr>
          <w:p>
            <w:pPr>
              <w:jc w:val="right"/>
              <w:ind w:right="77"/>
              <w:spacing w:after="0"/>
              <w:rPr>
                <w:sz w:val="20"/>
                <w:szCs w:val="20"/>
                <w:color w:val="auto"/>
              </w:rPr>
            </w:pPr>
            <w:r>
              <w:rPr>
                <w:rFonts w:ascii="Arial" w:cs="Arial" w:eastAsia="Arial" w:hAnsi="Arial"/>
                <w:sz w:val="16"/>
                <w:szCs w:val="16"/>
                <w:color w:val="auto"/>
              </w:rPr>
              <w:t>$ 36.3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7040" w:type="dxa"/>
            <w:vAlign w:val="bottom"/>
            <w:shd w:val="clear" w:color="auto" w:fill="DDDDDD"/>
          </w:tcPr>
          <w:p>
            <w:pPr>
              <w:spacing w:after="0"/>
              <w:rPr>
                <w:sz w:val="20"/>
                <w:szCs w:val="20"/>
                <w:color w:val="auto"/>
              </w:rPr>
            </w:pPr>
            <w:r>
              <w:rPr>
                <w:rFonts w:ascii="Arial" w:cs="Arial" w:eastAsia="Arial" w:hAnsi="Arial"/>
                <w:sz w:val="16"/>
                <w:szCs w:val="16"/>
                <w:color w:val="auto"/>
              </w:rPr>
              <w:t>Add back: amortization expense, net of tax</w:t>
            </w:r>
          </w:p>
        </w:tc>
        <w:tc>
          <w:tcPr>
            <w:tcW w:w="4360" w:type="dxa"/>
            <w:vAlign w:val="bottom"/>
            <w:shd w:val="clear" w:color="auto" w:fill="DDDDDD"/>
          </w:tcPr>
          <w:p>
            <w:pPr>
              <w:jc w:val="right"/>
              <w:ind w:right="77"/>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40" w:type="dxa"/>
            <w:vAlign w:val="bottom"/>
            <w:tcBorders>
              <w:bottom w:val="single" w:sz="8" w:color="808080"/>
            </w:tcBorders>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7060" w:type="dxa"/>
            <w:vAlign w:val="bottom"/>
            <w:gridSpan w:val="2"/>
          </w:tcPr>
          <w:p>
            <w:pPr>
              <w:spacing w:after="0"/>
              <w:rPr>
                <w:sz w:val="20"/>
                <w:szCs w:val="20"/>
                <w:color w:val="auto"/>
              </w:rPr>
            </w:pPr>
            <w:r>
              <w:rPr>
                <w:rFonts w:ascii="Arial" w:cs="Arial" w:eastAsia="Arial" w:hAnsi="Arial"/>
                <w:sz w:val="16"/>
                <w:szCs w:val="16"/>
                <w:color w:val="auto"/>
              </w:rPr>
              <w:t>Pro forma net income</w:t>
            </w:r>
          </w:p>
        </w:tc>
        <w:tc>
          <w:tcPr>
            <w:tcW w:w="4360" w:type="dxa"/>
            <w:vAlign w:val="bottom"/>
          </w:tcPr>
          <w:p>
            <w:pPr>
              <w:jc w:val="right"/>
              <w:ind w:right="77"/>
              <w:spacing w:after="0"/>
              <w:rPr>
                <w:sz w:val="20"/>
                <w:szCs w:val="20"/>
                <w:color w:val="auto"/>
              </w:rPr>
            </w:pPr>
            <w:r>
              <w:rPr>
                <w:rFonts w:ascii="Arial" w:cs="Arial" w:eastAsia="Arial" w:hAnsi="Arial"/>
                <w:sz w:val="16"/>
                <w:szCs w:val="16"/>
                <w:color w:val="auto"/>
              </w:rPr>
              <w:t>$ 44.6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7040" w:type="dxa"/>
            <w:vAlign w:val="bottom"/>
            <w:shd w:val="clear" w:color="auto" w:fill="DDDDDD"/>
          </w:tcPr>
          <w:p>
            <w:pPr>
              <w:spacing w:after="0"/>
              <w:rPr>
                <w:sz w:val="20"/>
                <w:szCs w:val="20"/>
                <w:color w:val="auto"/>
              </w:rPr>
            </w:pPr>
            <w:r>
              <w:rPr>
                <w:rFonts w:ascii="Arial" w:cs="Arial" w:eastAsia="Arial" w:hAnsi="Arial"/>
                <w:sz w:val="16"/>
                <w:szCs w:val="16"/>
                <w:color w:val="auto"/>
              </w:rPr>
              <w:t>Basic net income per Share of Class A Stock and</w:t>
            </w:r>
          </w:p>
        </w:tc>
        <w:tc>
          <w:tcPr>
            <w:tcW w:w="43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tcPr>
          <w:p>
            <w:pPr>
              <w:jc w:val="right"/>
              <w:ind w:right="5540"/>
              <w:spacing w:after="0"/>
              <w:rPr>
                <w:sz w:val="20"/>
                <w:szCs w:val="20"/>
                <w:color w:val="auto"/>
              </w:rPr>
            </w:pPr>
            <w:r>
              <w:rPr>
                <w:rFonts w:ascii="Arial" w:cs="Arial" w:eastAsia="Arial" w:hAnsi="Arial"/>
                <w:sz w:val="16"/>
                <w:szCs w:val="16"/>
                <w:color w:val="auto"/>
              </w:rPr>
              <w:t>Common Stock:</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DDDDDD"/>
          </w:tcPr>
          <w:p>
            <w:pPr>
              <w:jc w:val="right"/>
              <w:ind w:right="5440"/>
              <w:spacing w:after="0"/>
              <w:rPr>
                <w:sz w:val="20"/>
                <w:szCs w:val="20"/>
                <w:color w:val="auto"/>
              </w:rPr>
            </w:pPr>
            <w:r>
              <w:rPr>
                <w:rFonts w:ascii="Arial" w:cs="Arial" w:eastAsia="Arial" w:hAnsi="Arial"/>
                <w:sz w:val="16"/>
                <w:szCs w:val="16"/>
                <w:color w:val="auto"/>
              </w:rPr>
              <w:t>As reported</w:t>
            </w:r>
          </w:p>
        </w:tc>
        <w:tc>
          <w:tcPr>
            <w:tcW w:w="4360" w:type="dxa"/>
            <w:vAlign w:val="bottom"/>
            <w:shd w:val="clear" w:color="auto" w:fill="DDDDDD"/>
          </w:tcPr>
          <w:p>
            <w:pPr>
              <w:jc w:val="right"/>
              <w:ind w:right="77"/>
              <w:spacing w:after="0"/>
              <w:rPr>
                <w:sz w:val="20"/>
                <w:szCs w:val="20"/>
                <w:color w:val="auto"/>
              </w:rPr>
            </w:pPr>
            <w:r>
              <w:rPr>
                <w:rFonts w:ascii="Arial" w:cs="Arial" w:eastAsia="Arial" w:hAnsi="Arial"/>
                <w:sz w:val="16"/>
                <w:szCs w:val="16"/>
                <w:color w:val="auto"/>
              </w:rPr>
              <w:t>$ 1.05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40" w:type="dxa"/>
            <w:vAlign w:val="bottom"/>
          </w:tcPr>
          <w:p>
            <w:pPr>
              <w:jc w:val="right"/>
              <w:ind w:right="5540"/>
              <w:spacing w:after="0"/>
              <w:rPr>
                <w:sz w:val="20"/>
                <w:szCs w:val="20"/>
                <w:color w:val="auto"/>
              </w:rPr>
            </w:pPr>
            <w:r>
              <w:rPr>
                <w:rFonts w:ascii="Arial" w:cs="Arial" w:eastAsia="Arial" w:hAnsi="Arial"/>
                <w:sz w:val="16"/>
                <w:szCs w:val="16"/>
                <w:color w:val="auto"/>
              </w:rPr>
              <w:t>Pro forma</w:t>
            </w:r>
          </w:p>
        </w:tc>
        <w:tc>
          <w:tcPr>
            <w:tcW w:w="4360" w:type="dxa"/>
            <w:vAlign w:val="bottom"/>
          </w:tcPr>
          <w:p>
            <w:pPr>
              <w:jc w:val="right"/>
              <w:ind w:right="77"/>
              <w:spacing w:after="0"/>
              <w:rPr>
                <w:sz w:val="20"/>
                <w:szCs w:val="20"/>
                <w:color w:val="auto"/>
              </w:rPr>
            </w:pPr>
            <w:r>
              <w:rPr>
                <w:rFonts w:ascii="Arial" w:cs="Arial" w:eastAsia="Arial" w:hAnsi="Arial"/>
                <w:sz w:val="16"/>
                <w:szCs w:val="16"/>
                <w:color w:val="auto"/>
              </w:rPr>
              <w:t>$ 1.29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40" w:type="dxa"/>
            <w:vAlign w:val="bottom"/>
            <w:shd w:val="clear" w:color="auto" w:fill="DDDDDD"/>
          </w:tcPr>
          <w:p>
            <w:pPr>
              <w:spacing w:after="0"/>
              <w:rPr>
                <w:sz w:val="20"/>
                <w:szCs w:val="20"/>
                <w:color w:val="auto"/>
              </w:rPr>
            </w:pPr>
            <w:r>
              <w:rPr>
                <w:rFonts w:ascii="Arial" w:cs="Arial" w:eastAsia="Arial" w:hAnsi="Arial"/>
                <w:sz w:val="16"/>
                <w:szCs w:val="16"/>
                <w:color w:val="auto"/>
              </w:rPr>
              <w:t>Diluted net income per Share of Class A Stock and</w:t>
            </w:r>
          </w:p>
        </w:tc>
        <w:tc>
          <w:tcPr>
            <w:tcW w:w="43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tcPr>
          <w:p>
            <w:pPr>
              <w:jc w:val="right"/>
              <w:ind w:right="5540"/>
              <w:spacing w:after="0"/>
              <w:rPr>
                <w:sz w:val="20"/>
                <w:szCs w:val="20"/>
                <w:color w:val="auto"/>
              </w:rPr>
            </w:pPr>
            <w:r>
              <w:rPr>
                <w:rFonts w:ascii="Arial" w:cs="Arial" w:eastAsia="Arial" w:hAnsi="Arial"/>
                <w:sz w:val="16"/>
                <w:szCs w:val="16"/>
                <w:color w:val="auto"/>
              </w:rPr>
              <w:t>Common Stock:</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shd w:val="clear" w:color="auto" w:fill="DDDDDD"/>
          </w:tcPr>
          <w:p>
            <w:pPr>
              <w:jc w:val="right"/>
              <w:ind w:right="5440"/>
              <w:spacing w:after="0"/>
              <w:rPr>
                <w:sz w:val="20"/>
                <w:szCs w:val="20"/>
                <w:color w:val="auto"/>
              </w:rPr>
            </w:pPr>
            <w:r>
              <w:rPr>
                <w:rFonts w:ascii="Arial" w:cs="Arial" w:eastAsia="Arial" w:hAnsi="Arial"/>
                <w:sz w:val="16"/>
                <w:szCs w:val="16"/>
                <w:color w:val="auto"/>
              </w:rPr>
              <w:t>As reported</w:t>
            </w:r>
          </w:p>
        </w:tc>
        <w:tc>
          <w:tcPr>
            <w:tcW w:w="4360" w:type="dxa"/>
            <w:vAlign w:val="bottom"/>
            <w:shd w:val="clear" w:color="auto" w:fill="DDDDDD"/>
          </w:tcPr>
          <w:p>
            <w:pPr>
              <w:jc w:val="right"/>
              <w:ind w:right="77"/>
              <w:spacing w:after="0"/>
              <w:rPr>
                <w:sz w:val="20"/>
                <w:szCs w:val="20"/>
                <w:color w:val="auto"/>
              </w:rPr>
            </w:pPr>
            <w:r>
              <w:rPr>
                <w:rFonts w:ascii="Arial" w:cs="Arial" w:eastAsia="Arial" w:hAnsi="Arial"/>
                <w:sz w:val="16"/>
                <w:szCs w:val="16"/>
                <w:color w:val="auto"/>
              </w:rPr>
              <w:t>$ 1.01</w:t>
            </w:r>
          </w:p>
        </w:tc>
        <w:tc>
          <w:tcPr>
            <w:tcW w:w="0" w:type="dxa"/>
            <w:vAlign w:val="bottom"/>
          </w:tcPr>
          <w:p>
            <w:pPr>
              <w:spacing w:after="0"/>
              <w:rPr>
                <w:sz w:val="1"/>
                <w:szCs w:val="1"/>
                <w:color w:val="auto"/>
              </w:rPr>
            </w:pPr>
          </w:p>
        </w:tc>
      </w:tr>
    </w:tbl>
    <w:p>
      <w:pPr>
        <w:sectPr>
          <w:pgSz w:w="11900" w:h="16900" w:orient="portrait"/>
          <w:cols w:equalWidth="0" w:num="1">
            <w:col w:w="11442"/>
          </w:cols>
          <w:pgMar w:left="238" w:top="127" w:right="21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Pr>
          <w:p>
            <w:pPr>
              <w:ind w:left="780"/>
              <w:spacing w:after="0"/>
              <w:rPr>
                <w:sz w:val="20"/>
                <w:szCs w:val="20"/>
                <w:color w:val="auto"/>
              </w:rPr>
            </w:pPr>
            <w:r>
              <w:rPr>
                <w:rFonts w:ascii="Arial" w:cs="Arial" w:eastAsia="Arial" w:hAnsi="Arial"/>
                <w:sz w:val="16"/>
                <w:szCs w:val="16"/>
                <w:color w:val="auto"/>
              </w:rPr>
              <w:t>Pro forma</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$ 1.24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6420" w:type="dxa"/>
            <w:vAlign w:val="bottom"/>
            <w:tcBorders>
              <w:bottom w:val="single" w:sz="8" w:color="808080"/>
            </w:tcBorders>
          </w:tcPr>
          <w:p>
            <w:pPr>
              <w:spacing w:after="0"/>
              <w:rPr>
                <w:sz w:val="12"/>
                <w:szCs w:val="12"/>
                <w:color w:val="auto"/>
              </w:rPr>
            </w:pPr>
          </w:p>
        </w:tc>
        <w:tc>
          <w:tcPr>
            <w:tcW w:w="186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09"/>
        </w:trPr>
        <w:tc>
          <w:tcPr>
            <w:tcW w:w="6440" w:type="dxa"/>
            <w:vAlign w:val="bottom"/>
            <w:gridSpan w:val="2"/>
          </w:tcPr>
          <w:p>
            <w:pPr>
              <w:spacing w:after="0"/>
              <w:rPr>
                <w:sz w:val="20"/>
                <w:szCs w:val="20"/>
                <w:color w:val="auto"/>
              </w:rPr>
            </w:pPr>
            <w:r>
              <w:rPr>
                <w:rFonts w:ascii="Arial" w:cs="Arial" w:eastAsia="Arial" w:hAnsi="Arial"/>
                <w:sz w:val="16"/>
                <w:szCs w:val="16"/>
                <w:color w:val="auto"/>
              </w:rPr>
              <w:t>The following table summarizes the activity in Goodwill as of May 31:</w:t>
            </w: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60" w:type="dxa"/>
            <w:vAlign w:val="bottom"/>
          </w:tcPr>
          <w:p>
            <w:pPr>
              <w:jc w:val="right"/>
              <w:ind w:right="497"/>
              <w:spacing w:after="0"/>
              <w:rPr>
                <w:sz w:val="20"/>
                <w:szCs w:val="20"/>
                <w:color w:val="auto"/>
              </w:rPr>
            </w:pPr>
            <w:r>
              <w:rPr>
                <w:rFonts w:ascii="Arial" w:cs="Arial" w:eastAsia="Arial" w:hAnsi="Arial"/>
                <w:sz w:val="20"/>
                <w:szCs w:val="20"/>
                <w:b w:val="1"/>
                <w:bCs w:val="1"/>
                <w:color w:val="auto"/>
              </w:rPr>
              <w:t>2003</w:t>
            </w:r>
          </w:p>
        </w:tc>
        <w:tc>
          <w:tcPr>
            <w:tcW w:w="1840" w:type="dxa"/>
            <w:vAlign w:val="bottom"/>
          </w:tcPr>
          <w:p>
            <w:pPr>
              <w:jc w:val="right"/>
              <w:ind w:right="578"/>
              <w:spacing w:after="0"/>
              <w:rPr>
                <w:sz w:val="20"/>
                <w:szCs w:val="20"/>
                <w:color w:val="auto"/>
              </w:rPr>
            </w:pPr>
            <w:r>
              <w:rPr>
                <w:rFonts w:ascii="Arial" w:cs="Arial" w:eastAsia="Arial" w:hAnsi="Arial"/>
                <w:sz w:val="20"/>
                <w:szCs w:val="20"/>
                <w:b w:val="1"/>
                <w:bCs w:val="1"/>
                <w:color w:val="auto"/>
              </w:rPr>
              <w:t>2002</w:t>
            </w:r>
          </w:p>
        </w:tc>
        <w:tc>
          <w:tcPr>
            <w:tcW w:w="1280" w:type="dxa"/>
            <w:vAlign w:val="bottom"/>
          </w:tcPr>
          <w:p>
            <w:pPr>
              <w:jc w:val="right"/>
              <w:ind w:right="118"/>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420" w:type="dxa"/>
            <w:vAlign w:val="bottom"/>
            <w:tcBorders>
              <w:bottom w:val="single" w:sz="8" w:color="808080"/>
            </w:tcBorders>
          </w:tcPr>
          <w:p>
            <w:pPr>
              <w:spacing w:after="0"/>
              <w:rPr>
                <w:sz w:val="7"/>
                <w:szCs w:val="7"/>
                <w:color w:val="auto"/>
              </w:rPr>
            </w:pPr>
          </w:p>
        </w:tc>
        <w:tc>
          <w:tcPr>
            <w:tcW w:w="1860" w:type="dxa"/>
            <w:vAlign w:val="bottom"/>
            <w:tcBorders>
              <w:bottom w:val="single" w:sz="8" w:color="808080"/>
            </w:tcBorders>
          </w:tcPr>
          <w:p>
            <w:pPr>
              <w:spacing w:after="0"/>
              <w:rPr>
                <w:sz w:val="7"/>
                <w:szCs w:val="7"/>
                <w:color w:val="auto"/>
              </w:rPr>
            </w:pPr>
          </w:p>
        </w:tc>
        <w:tc>
          <w:tcPr>
            <w:tcW w:w="184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440" w:type="dxa"/>
            <w:vAlign w:val="bottom"/>
            <w:gridSpan w:val="2"/>
          </w:tcPr>
          <w:p>
            <w:pPr>
              <w:spacing w:after="0"/>
              <w:rPr>
                <w:sz w:val="20"/>
                <w:szCs w:val="20"/>
                <w:color w:val="auto"/>
              </w:rPr>
            </w:pPr>
            <w:r>
              <w:rPr>
                <w:rFonts w:ascii="Arial" w:cs="Arial" w:eastAsia="Arial" w:hAnsi="Arial"/>
                <w:sz w:val="16"/>
                <w:szCs w:val="16"/>
                <w:color w:val="auto"/>
              </w:rPr>
              <w:t>Beginning balance</w:t>
            </w:r>
          </w:p>
        </w:tc>
        <w:tc>
          <w:tcPr>
            <w:tcW w:w="1860" w:type="dxa"/>
            <w:vAlign w:val="bottom"/>
          </w:tcPr>
          <w:p>
            <w:pPr>
              <w:jc w:val="right"/>
              <w:ind w:right="497"/>
              <w:spacing w:after="0"/>
              <w:rPr>
                <w:sz w:val="20"/>
                <w:szCs w:val="20"/>
                <w:color w:val="auto"/>
              </w:rPr>
            </w:pPr>
            <w:r>
              <w:rPr>
                <w:rFonts w:ascii="Arial" w:cs="Arial" w:eastAsia="Arial" w:hAnsi="Arial"/>
                <w:sz w:val="16"/>
                <w:szCs w:val="16"/>
                <w:color w:val="auto"/>
              </w:rPr>
              <w:t>$ 256.2</w:t>
            </w:r>
          </w:p>
        </w:tc>
        <w:tc>
          <w:tcPr>
            <w:tcW w:w="1840" w:type="dxa"/>
            <w:vAlign w:val="bottom"/>
          </w:tcPr>
          <w:p>
            <w:pPr>
              <w:jc w:val="right"/>
              <w:ind w:right="578"/>
              <w:spacing w:after="0"/>
              <w:rPr>
                <w:sz w:val="20"/>
                <w:szCs w:val="20"/>
                <w:color w:val="auto"/>
              </w:rPr>
            </w:pPr>
            <w:r>
              <w:rPr>
                <w:rFonts w:ascii="Arial" w:cs="Arial" w:eastAsia="Arial" w:hAnsi="Arial"/>
                <w:sz w:val="16"/>
                <w:szCs w:val="16"/>
                <w:color w:val="auto"/>
              </w:rPr>
              <w:t>$ 221.9</w:t>
            </w:r>
          </w:p>
        </w:tc>
        <w:tc>
          <w:tcPr>
            <w:tcW w:w="1280" w:type="dxa"/>
            <w:vAlign w:val="bottom"/>
          </w:tcPr>
          <w:p>
            <w:pPr>
              <w:jc w:val="right"/>
              <w:ind w:right="118"/>
              <w:spacing w:after="0"/>
              <w:rPr>
                <w:sz w:val="20"/>
                <w:szCs w:val="20"/>
                <w:color w:val="auto"/>
              </w:rPr>
            </w:pPr>
            <w:r>
              <w:rPr>
                <w:rFonts w:ascii="Arial" w:cs="Arial" w:eastAsia="Arial" w:hAnsi="Arial"/>
                <w:sz w:val="16"/>
                <w:szCs w:val="16"/>
                <w:color w:val="auto"/>
              </w:rPr>
              <w:t>$ 63.5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420" w:type="dxa"/>
            <w:vAlign w:val="bottom"/>
            <w:shd w:val="clear" w:color="auto" w:fill="DDDDDD"/>
          </w:tcPr>
          <w:p>
            <w:pPr>
              <w:spacing w:after="0"/>
              <w:rPr>
                <w:sz w:val="20"/>
                <w:szCs w:val="20"/>
                <w:color w:val="auto"/>
              </w:rPr>
            </w:pPr>
            <w:r>
              <w:rPr>
                <w:rFonts w:ascii="Arial" w:cs="Arial" w:eastAsia="Arial" w:hAnsi="Arial"/>
                <w:sz w:val="16"/>
                <w:szCs w:val="16"/>
                <w:color w:val="auto"/>
              </w:rPr>
              <w:t>Additions due to acquisitions</w:t>
            </w:r>
          </w:p>
        </w:tc>
        <w:tc>
          <w:tcPr>
            <w:tcW w:w="1860" w:type="dxa"/>
            <w:vAlign w:val="bottom"/>
            <w:shd w:val="clear" w:color="auto" w:fill="DDDDDD"/>
          </w:tcPr>
          <w:p>
            <w:pPr>
              <w:jc w:val="right"/>
              <w:ind w:right="497"/>
              <w:spacing w:after="0"/>
              <w:rPr>
                <w:sz w:val="20"/>
                <w:szCs w:val="20"/>
                <w:color w:val="auto"/>
              </w:rPr>
            </w:pPr>
            <w:r>
              <w:rPr>
                <w:rFonts w:ascii="Arial" w:cs="Arial" w:eastAsia="Arial" w:hAnsi="Arial"/>
                <w:sz w:val="16"/>
                <w:szCs w:val="16"/>
                <w:color w:val="auto"/>
              </w:rPr>
              <w:t>0.4</w:t>
            </w:r>
          </w:p>
        </w:tc>
        <w:tc>
          <w:tcPr>
            <w:tcW w:w="1840" w:type="dxa"/>
            <w:vAlign w:val="bottom"/>
            <w:shd w:val="clear" w:color="auto" w:fill="DDDDDD"/>
          </w:tcPr>
          <w:p>
            <w:pPr>
              <w:jc w:val="right"/>
              <w:ind w:right="578"/>
              <w:spacing w:after="0"/>
              <w:rPr>
                <w:sz w:val="20"/>
                <w:szCs w:val="20"/>
                <w:color w:val="auto"/>
              </w:rPr>
            </w:pPr>
            <w:r>
              <w:rPr>
                <w:rFonts w:ascii="Arial" w:cs="Arial" w:eastAsia="Arial" w:hAnsi="Arial"/>
                <w:sz w:val="16"/>
                <w:szCs w:val="16"/>
                <w:color w:val="auto"/>
              </w:rPr>
              <w:t>35.4</w:t>
            </w:r>
          </w:p>
        </w:tc>
        <w:tc>
          <w:tcPr>
            <w:tcW w:w="1280" w:type="dxa"/>
            <w:vAlign w:val="bottom"/>
            <w:shd w:val="clear" w:color="auto" w:fill="DDDDDD"/>
          </w:tcPr>
          <w:p>
            <w:pPr>
              <w:jc w:val="right"/>
              <w:ind w:right="118"/>
              <w:spacing w:after="0"/>
              <w:rPr>
                <w:sz w:val="20"/>
                <w:szCs w:val="20"/>
                <w:color w:val="auto"/>
              </w:rPr>
            </w:pPr>
            <w:r>
              <w:rPr>
                <w:rFonts w:ascii="Arial" w:cs="Arial" w:eastAsia="Arial" w:hAnsi="Arial"/>
                <w:sz w:val="16"/>
                <w:szCs w:val="16"/>
                <w:color w:val="auto"/>
              </w:rPr>
              <w:t>169.9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Investment in joint venture</w:t>
            </w:r>
          </w:p>
        </w:tc>
        <w:tc>
          <w:tcPr>
            <w:tcW w:w="1860" w:type="dxa"/>
            <w:vAlign w:val="bottom"/>
          </w:tcPr>
          <w:p>
            <w:pPr>
              <w:jc w:val="right"/>
              <w:ind w:right="437"/>
              <w:spacing w:after="0"/>
              <w:rPr>
                <w:sz w:val="20"/>
                <w:szCs w:val="20"/>
                <w:color w:val="auto"/>
              </w:rPr>
            </w:pPr>
            <w:r>
              <w:rPr>
                <w:rFonts w:ascii="Arial" w:cs="Arial" w:eastAsia="Arial" w:hAnsi="Arial"/>
                <w:sz w:val="16"/>
                <w:szCs w:val="16"/>
                <w:color w:val="auto"/>
              </w:rPr>
              <w:t>(9.6)</w:t>
            </w:r>
          </w:p>
        </w:tc>
        <w:tc>
          <w:tcPr>
            <w:tcW w:w="1840" w:type="dxa"/>
            <w:vAlign w:val="bottom"/>
          </w:tcPr>
          <w:p>
            <w:pPr>
              <w:jc w:val="right"/>
              <w:ind w:right="578"/>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shd w:val="clear" w:color="auto" w:fill="DDDDDD"/>
          </w:tcPr>
          <w:p>
            <w:pPr>
              <w:spacing w:after="0"/>
              <w:rPr>
                <w:sz w:val="20"/>
                <w:szCs w:val="20"/>
                <w:color w:val="auto"/>
              </w:rPr>
            </w:pPr>
            <w:r>
              <w:rPr>
                <w:rFonts w:ascii="Arial" w:cs="Arial" w:eastAsia="Arial" w:hAnsi="Arial"/>
                <w:sz w:val="16"/>
                <w:szCs w:val="16"/>
                <w:color w:val="auto"/>
              </w:rPr>
              <w:t>Amortization</w:t>
            </w:r>
          </w:p>
        </w:tc>
        <w:tc>
          <w:tcPr>
            <w:tcW w:w="1860" w:type="dxa"/>
            <w:vAlign w:val="bottom"/>
            <w:shd w:val="clear" w:color="auto" w:fill="DDDDDD"/>
          </w:tcPr>
          <w:p>
            <w:pPr>
              <w:jc w:val="right"/>
              <w:ind w:right="497"/>
              <w:spacing w:after="0"/>
              <w:rPr>
                <w:sz w:val="20"/>
                <w:szCs w:val="20"/>
                <w:color w:val="auto"/>
              </w:rPr>
            </w:pPr>
            <w:r>
              <w:rPr>
                <w:rFonts w:ascii="Arial" w:cs="Arial" w:eastAsia="Arial" w:hAnsi="Arial"/>
                <w:sz w:val="16"/>
                <w:szCs w:val="16"/>
                <w:color w:val="auto"/>
              </w:rPr>
              <w:t>—</w:t>
            </w:r>
          </w:p>
        </w:tc>
        <w:tc>
          <w:tcPr>
            <w:tcW w:w="1840" w:type="dxa"/>
            <w:vAlign w:val="bottom"/>
            <w:shd w:val="clear" w:color="auto" w:fill="DDDDDD"/>
          </w:tcPr>
          <w:p>
            <w:pPr>
              <w:jc w:val="right"/>
              <w:ind w:right="578"/>
              <w:spacing w:after="0"/>
              <w:rPr>
                <w:sz w:val="20"/>
                <w:szCs w:val="20"/>
                <w:color w:val="auto"/>
              </w:rPr>
            </w:pPr>
            <w:r>
              <w:rPr>
                <w:rFonts w:ascii="Arial" w:cs="Arial" w:eastAsia="Arial" w:hAnsi="Arial"/>
                <w:sz w:val="16"/>
                <w:szCs w:val="16"/>
                <w:color w:val="auto"/>
              </w:rPr>
              <w:t>—</w:t>
            </w:r>
          </w:p>
        </w:tc>
        <w:tc>
          <w:tcPr>
            <w:tcW w:w="128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Other adjustments</w:t>
            </w:r>
          </w:p>
        </w:tc>
        <w:tc>
          <w:tcPr>
            <w:tcW w:w="1860" w:type="dxa"/>
            <w:vAlign w:val="bottom"/>
          </w:tcPr>
          <w:p>
            <w:pPr>
              <w:jc w:val="right"/>
              <w:ind w:right="437"/>
              <w:spacing w:after="0"/>
              <w:rPr>
                <w:sz w:val="20"/>
                <w:szCs w:val="20"/>
                <w:color w:val="auto"/>
              </w:rPr>
            </w:pPr>
            <w:r>
              <w:rPr>
                <w:rFonts w:ascii="Arial" w:cs="Arial" w:eastAsia="Arial" w:hAnsi="Arial"/>
                <w:sz w:val="16"/>
                <w:szCs w:val="16"/>
                <w:color w:val="auto"/>
              </w:rPr>
              <w:t>(1.0)</w:t>
            </w:r>
          </w:p>
        </w:tc>
        <w:tc>
          <w:tcPr>
            <w:tcW w:w="1840" w:type="dxa"/>
            <w:vAlign w:val="bottom"/>
          </w:tcPr>
          <w:p>
            <w:pPr>
              <w:jc w:val="right"/>
              <w:ind w:right="538"/>
              <w:spacing w:after="0"/>
              <w:rPr>
                <w:sz w:val="20"/>
                <w:szCs w:val="20"/>
                <w:color w:val="auto"/>
              </w:rPr>
            </w:pPr>
            <w:r>
              <w:rPr>
                <w:rFonts w:ascii="Arial" w:cs="Arial" w:eastAsia="Arial" w:hAnsi="Arial"/>
                <w:sz w:val="16"/>
                <w:szCs w:val="16"/>
                <w:color w:val="auto"/>
              </w:rPr>
              <w:t>(1.1)</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440" w:type="dxa"/>
            <w:vAlign w:val="bottom"/>
            <w:tcBorders>
              <w:bottom w:val="single" w:sz="8" w:color="808080"/>
            </w:tcBorders>
            <w:gridSpan w:val="2"/>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42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Total</w:t>
            </w:r>
          </w:p>
        </w:tc>
        <w:tc>
          <w:tcPr>
            <w:tcW w:w="1860" w:type="dxa"/>
            <w:vAlign w:val="bottom"/>
            <w:shd w:val="clear" w:color="auto" w:fill="DDDDDD"/>
          </w:tcPr>
          <w:p>
            <w:pPr>
              <w:jc w:val="right"/>
              <w:ind w:right="497"/>
              <w:spacing w:after="0"/>
              <w:rPr>
                <w:sz w:val="20"/>
                <w:szCs w:val="20"/>
                <w:color w:val="auto"/>
              </w:rPr>
            </w:pPr>
            <w:r>
              <w:rPr>
                <w:rFonts w:ascii="Arial" w:cs="Arial" w:eastAsia="Arial" w:hAnsi="Arial"/>
                <w:sz w:val="16"/>
                <w:szCs w:val="16"/>
                <w:b w:val="1"/>
                <w:bCs w:val="1"/>
                <w:color w:val="auto"/>
              </w:rPr>
              <w:t>$ 246.0</w:t>
            </w:r>
          </w:p>
        </w:tc>
        <w:tc>
          <w:tcPr>
            <w:tcW w:w="1840" w:type="dxa"/>
            <w:vAlign w:val="bottom"/>
            <w:shd w:val="clear" w:color="auto" w:fill="DDDDDD"/>
          </w:tcPr>
          <w:p>
            <w:pPr>
              <w:jc w:val="right"/>
              <w:ind w:right="578"/>
              <w:spacing w:after="0"/>
              <w:rPr>
                <w:sz w:val="20"/>
                <w:szCs w:val="20"/>
                <w:color w:val="auto"/>
              </w:rPr>
            </w:pPr>
            <w:r>
              <w:rPr>
                <w:rFonts w:ascii="Arial" w:cs="Arial" w:eastAsia="Arial" w:hAnsi="Arial"/>
                <w:sz w:val="16"/>
                <w:szCs w:val="16"/>
                <w:b w:val="1"/>
                <w:bCs w:val="1"/>
                <w:color w:val="auto"/>
              </w:rPr>
              <w:t>$ 256.2</w:t>
            </w:r>
          </w:p>
        </w:tc>
        <w:tc>
          <w:tcPr>
            <w:tcW w:w="1280" w:type="dxa"/>
            <w:vAlign w:val="bottom"/>
            <w:shd w:val="clear" w:color="auto" w:fill="DDDDDD"/>
          </w:tcPr>
          <w:p>
            <w:pPr>
              <w:jc w:val="right"/>
              <w:ind w:right="118"/>
              <w:spacing w:after="0"/>
              <w:rPr>
                <w:sz w:val="20"/>
                <w:szCs w:val="20"/>
                <w:color w:val="auto"/>
              </w:rPr>
            </w:pPr>
            <w:r>
              <w:rPr>
                <w:rFonts w:ascii="Arial" w:cs="Arial" w:eastAsia="Arial" w:hAnsi="Arial"/>
                <w:sz w:val="16"/>
                <w:szCs w:val="16"/>
                <w:b w:val="1"/>
                <w:bCs w:val="1"/>
                <w:color w:val="auto"/>
              </w:rPr>
              <w:t>$ 221.9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6440" w:type="dxa"/>
            <w:vAlign w:val="bottom"/>
            <w:tcBorders>
              <w:bottom w:val="single" w:sz="8" w:color="808080"/>
            </w:tcBorders>
            <w:gridSpan w:val="2"/>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09"/>
        </w:trPr>
        <w:tc>
          <w:tcPr>
            <w:tcW w:w="6440" w:type="dxa"/>
            <w:vAlign w:val="bottom"/>
            <w:gridSpan w:val="2"/>
          </w:tcPr>
          <w:p>
            <w:pPr>
              <w:spacing w:after="0"/>
              <w:rPr>
                <w:sz w:val="20"/>
                <w:szCs w:val="20"/>
                <w:color w:val="auto"/>
              </w:rPr>
            </w:pPr>
            <w:r>
              <w:rPr>
                <w:rFonts w:ascii="Arial" w:cs="Arial" w:eastAsia="Arial" w:hAnsi="Arial"/>
                <w:sz w:val="16"/>
                <w:szCs w:val="16"/>
                <w:color w:val="auto"/>
              </w:rPr>
              <w:t>The following table summarizes Other intangibles subject to amortization as of May 31:</w:t>
            </w: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jc w:val="right"/>
              <w:ind w:right="838"/>
              <w:spacing w:after="0"/>
              <w:rPr>
                <w:sz w:val="20"/>
                <w:szCs w:val="20"/>
                <w:color w:val="auto"/>
              </w:rPr>
            </w:pPr>
            <w:r>
              <w:rPr>
                <w:rFonts w:ascii="Arial" w:cs="Arial" w:eastAsia="Arial" w:hAnsi="Arial"/>
                <w:sz w:val="20"/>
                <w:szCs w:val="20"/>
                <w:b w:val="1"/>
                <w:bCs w:val="1"/>
                <w:color w:val="auto"/>
              </w:rPr>
              <w:t>2003</w:t>
            </w:r>
          </w:p>
        </w:tc>
        <w:tc>
          <w:tcPr>
            <w:tcW w:w="1280" w:type="dxa"/>
            <w:vAlign w:val="bottom"/>
          </w:tcPr>
          <w:p>
            <w:pPr>
              <w:jc w:val="right"/>
              <w:ind w:right="178"/>
              <w:spacing w:after="0"/>
              <w:rPr>
                <w:sz w:val="20"/>
                <w:szCs w:val="20"/>
                <w:color w:val="auto"/>
              </w:rPr>
            </w:pPr>
            <w:r>
              <w:rPr>
                <w:rFonts w:ascii="Arial" w:cs="Arial" w:eastAsia="Arial" w:hAnsi="Arial"/>
                <w:sz w:val="20"/>
                <w:szCs w:val="20"/>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420" w:type="dxa"/>
            <w:vAlign w:val="bottom"/>
            <w:tcBorders>
              <w:bottom w:val="single" w:sz="8" w:color="808080"/>
            </w:tcBorders>
          </w:tcPr>
          <w:p>
            <w:pPr>
              <w:spacing w:after="0"/>
              <w:rPr>
                <w:sz w:val="7"/>
                <w:szCs w:val="7"/>
                <w:color w:val="auto"/>
              </w:rPr>
            </w:pPr>
          </w:p>
        </w:tc>
        <w:tc>
          <w:tcPr>
            <w:tcW w:w="1860" w:type="dxa"/>
            <w:vAlign w:val="bottom"/>
            <w:tcBorders>
              <w:bottom w:val="single" w:sz="8" w:color="808080"/>
            </w:tcBorders>
          </w:tcPr>
          <w:p>
            <w:pPr>
              <w:spacing w:after="0"/>
              <w:rPr>
                <w:sz w:val="7"/>
                <w:szCs w:val="7"/>
                <w:color w:val="auto"/>
              </w:rPr>
            </w:pPr>
          </w:p>
        </w:tc>
        <w:tc>
          <w:tcPr>
            <w:tcW w:w="184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440" w:type="dxa"/>
            <w:vAlign w:val="bottom"/>
            <w:gridSpan w:val="2"/>
          </w:tcPr>
          <w:p>
            <w:pPr>
              <w:spacing w:after="0"/>
              <w:rPr>
                <w:sz w:val="20"/>
                <w:szCs w:val="20"/>
                <w:color w:val="auto"/>
              </w:rPr>
            </w:pPr>
            <w:r>
              <w:rPr>
                <w:rFonts w:ascii="Arial" w:cs="Arial" w:eastAsia="Arial" w:hAnsi="Arial"/>
                <w:sz w:val="16"/>
                <w:szCs w:val="16"/>
                <w:color w:val="auto"/>
              </w:rPr>
              <w:t>Customer lists</w:t>
            </w:r>
          </w:p>
        </w:tc>
        <w:tc>
          <w:tcPr>
            <w:tcW w:w="1860" w:type="dxa"/>
            <w:vAlign w:val="bottom"/>
          </w:tcPr>
          <w:p>
            <w:pPr>
              <w:spacing w:after="0"/>
              <w:rPr>
                <w:sz w:val="24"/>
                <w:szCs w:val="24"/>
                <w:color w:val="auto"/>
              </w:rPr>
            </w:pPr>
          </w:p>
        </w:tc>
        <w:tc>
          <w:tcPr>
            <w:tcW w:w="1840" w:type="dxa"/>
            <w:vAlign w:val="bottom"/>
          </w:tcPr>
          <w:p>
            <w:pPr>
              <w:jc w:val="right"/>
              <w:ind w:right="838"/>
              <w:spacing w:after="0"/>
              <w:rPr>
                <w:sz w:val="20"/>
                <w:szCs w:val="20"/>
                <w:color w:val="auto"/>
              </w:rPr>
            </w:pPr>
            <w:r>
              <w:rPr>
                <w:rFonts w:ascii="Arial" w:cs="Arial" w:eastAsia="Arial" w:hAnsi="Arial"/>
                <w:sz w:val="16"/>
                <w:szCs w:val="16"/>
                <w:color w:val="auto"/>
              </w:rPr>
              <w:t>$ 2.9</w:t>
            </w:r>
          </w:p>
        </w:tc>
        <w:tc>
          <w:tcPr>
            <w:tcW w:w="1280" w:type="dxa"/>
            <w:vAlign w:val="bottom"/>
          </w:tcPr>
          <w:p>
            <w:pPr>
              <w:jc w:val="right"/>
              <w:ind w:right="178"/>
              <w:spacing w:after="0"/>
              <w:rPr>
                <w:sz w:val="20"/>
                <w:szCs w:val="20"/>
                <w:color w:val="auto"/>
              </w:rPr>
            </w:pPr>
            <w:r>
              <w:rPr>
                <w:rFonts w:ascii="Arial" w:cs="Arial" w:eastAsia="Arial" w:hAnsi="Arial"/>
                <w:sz w:val="16"/>
                <w:szCs w:val="16"/>
                <w:color w:val="auto"/>
              </w:rPr>
              <w:t>$ 2.8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420" w:type="dxa"/>
            <w:vAlign w:val="bottom"/>
            <w:shd w:val="clear" w:color="auto" w:fill="DDDDDD"/>
          </w:tcPr>
          <w:p>
            <w:pPr>
              <w:spacing w:after="0"/>
              <w:rPr>
                <w:sz w:val="20"/>
                <w:szCs w:val="20"/>
                <w:color w:val="auto"/>
              </w:rPr>
            </w:pPr>
            <w:r>
              <w:rPr>
                <w:rFonts w:ascii="Arial" w:cs="Arial" w:eastAsia="Arial" w:hAnsi="Arial"/>
                <w:sz w:val="16"/>
                <w:szCs w:val="16"/>
                <w:color w:val="auto"/>
              </w:rPr>
              <w:t>Accumulated amortization</w:t>
            </w:r>
          </w:p>
        </w:tc>
        <w:tc>
          <w:tcPr>
            <w:tcW w:w="1860" w:type="dxa"/>
            <w:vAlign w:val="bottom"/>
            <w:shd w:val="clear" w:color="auto" w:fill="DDDDDD"/>
          </w:tcPr>
          <w:p>
            <w:pPr>
              <w:spacing w:after="0"/>
              <w:rPr>
                <w:sz w:val="19"/>
                <w:szCs w:val="19"/>
                <w:color w:val="auto"/>
              </w:rPr>
            </w:pPr>
          </w:p>
        </w:tc>
        <w:tc>
          <w:tcPr>
            <w:tcW w:w="1840" w:type="dxa"/>
            <w:vAlign w:val="bottom"/>
            <w:shd w:val="clear" w:color="auto" w:fill="DDDDDD"/>
          </w:tcPr>
          <w:p>
            <w:pPr>
              <w:jc w:val="right"/>
              <w:ind w:right="778"/>
              <w:spacing w:after="0"/>
              <w:rPr>
                <w:sz w:val="20"/>
                <w:szCs w:val="20"/>
                <w:color w:val="auto"/>
              </w:rPr>
            </w:pPr>
            <w:r>
              <w:rPr>
                <w:rFonts w:ascii="Arial" w:cs="Arial" w:eastAsia="Arial" w:hAnsi="Arial"/>
                <w:sz w:val="16"/>
                <w:szCs w:val="16"/>
                <w:color w:val="auto"/>
              </w:rPr>
              <w:t>(2.5)</w:t>
            </w:r>
          </w:p>
        </w:tc>
        <w:tc>
          <w:tcPr>
            <w:tcW w:w="1280" w:type="dxa"/>
            <w:vAlign w:val="bottom"/>
            <w:shd w:val="clear" w:color="auto" w:fill="DDDDDD"/>
          </w:tcPr>
          <w:p>
            <w:pPr>
              <w:jc w:val="right"/>
              <w:ind w:right="118"/>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420" w:type="dxa"/>
            <w:vAlign w:val="bottom"/>
          </w:tcPr>
          <w:p>
            <w:pPr>
              <w:ind w:left="380"/>
              <w:spacing w:after="0"/>
              <w:rPr>
                <w:sz w:val="20"/>
                <w:szCs w:val="20"/>
                <w:color w:val="auto"/>
              </w:rPr>
            </w:pPr>
            <w:r>
              <w:rPr>
                <w:rFonts w:ascii="Arial" w:cs="Arial" w:eastAsia="Arial" w:hAnsi="Arial"/>
                <w:sz w:val="16"/>
                <w:szCs w:val="16"/>
                <w:color w:val="auto"/>
              </w:rPr>
              <w:t>Net customer lists</w:t>
            </w:r>
          </w:p>
        </w:tc>
        <w:tc>
          <w:tcPr>
            <w:tcW w:w="1860" w:type="dxa"/>
            <w:vAlign w:val="bottom"/>
          </w:tcPr>
          <w:p>
            <w:pPr>
              <w:spacing w:after="0"/>
              <w:rPr>
                <w:sz w:val="24"/>
                <w:szCs w:val="24"/>
                <w:color w:val="auto"/>
              </w:rPr>
            </w:pPr>
          </w:p>
        </w:tc>
        <w:tc>
          <w:tcPr>
            <w:tcW w:w="1840" w:type="dxa"/>
            <w:vAlign w:val="bottom"/>
          </w:tcPr>
          <w:p>
            <w:pPr>
              <w:jc w:val="right"/>
              <w:ind w:right="838"/>
              <w:spacing w:after="0"/>
              <w:rPr>
                <w:sz w:val="20"/>
                <w:szCs w:val="20"/>
                <w:color w:val="auto"/>
              </w:rPr>
            </w:pPr>
            <w:r>
              <w:rPr>
                <w:rFonts w:ascii="Arial" w:cs="Arial" w:eastAsia="Arial" w:hAnsi="Arial"/>
                <w:sz w:val="16"/>
                <w:szCs w:val="16"/>
                <w:color w:val="auto"/>
              </w:rPr>
              <w:t>0.4</w:t>
            </w:r>
          </w:p>
        </w:tc>
        <w:tc>
          <w:tcPr>
            <w:tcW w:w="1280" w:type="dxa"/>
            <w:vAlign w:val="bottom"/>
          </w:tcPr>
          <w:p>
            <w:pPr>
              <w:jc w:val="right"/>
              <w:ind w:right="178"/>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440" w:type="dxa"/>
            <w:vAlign w:val="bottom"/>
            <w:gridSpan w:val="2"/>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420" w:type="dxa"/>
            <w:vAlign w:val="bottom"/>
            <w:tcBorders>
              <w:top w:val="single" w:sz="8" w:color="808080"/>
            </w:tcBorders>
          </w:tcPr>
          <w:p>
            <w:pPr>
              <w:spacing w:after="0"/>
              <w:rPr>
                <w:sz w:val="7"/>
                <w:szCs w:val="7"/>
                <w:color w:val="auto"/>
              </w:rPr>
            </w:pPr>
          </w:p>
        </w:tc>
        <w:tc>
          <w:tcPr>
            <w:tcW w:w="1860" w:type="dxa"/>
            <w:vAlign w:val="bottom"/>
            <w:tcBorders>
              <w:top w:val="single" w:sz="8" w:color="808080"/>
            </w:tcBorders>
          </w:tcPr>
          <w:p>
            <w:pPr>
              <w:spacing w:after="0"/>
              <w:rPr>
                <w:sz w:val="7"/>
                <w:szCs w:val="7"/>
                <w:color w:val="auto"/>
              </w:rPr>
            </w:pPr>
          </w:p>
        </w:tc>
        <w:tc>
          <w:tcPr>
            <w:tcW w:w="1840" w:type="dxa"/>
            <w:vAlign w:val="bottom"/>
            <w:tcBorders>
              <w:top w:val="single" w:sz="8" w:color="808080"/>
            </w:tcBorders>
          </w:tcPr>
          <w:p>
            <w:pPr>
              <w:spacing w:after="0"/>
              <w:rPr>
                <w:sz w:val="7"/>
                <w:szCs w:val="7"/>
                <w:color w:val="auto"/>
              </w:rPr>
            </w:pPr>
          </w:p>
        </w:tc>
        <w:tc>
          <w:tcPr>
            <w:tcW w:w="128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420" w:type="dxa"/>
            <w:vAlign w:val="bottom"/>
            <w:shd w:val="clear" w:color="auto" w:fill="DDDDDD"/>
          </w:tcPr>
          <w:p>
            <w:pPr>
              <w:spacing w:after="0"/>
              <w:rPr>
                <w:sz w:val="20"/>
                <w:szCs w:val="20"/>
                <w:color w:val="auto"/>
              </w:rPr>
            </w:pPr>
            <w:r>
              <w:rPr>
                <w:rFonts w:ascii="Arial" w:cs="Arial" w:eastAsia="Arial" w:hAnsi="Arial"/>
                <w:sz w:val="16"/>
                <w:szCs w:val="16"/>
                <w:color w:val="auto"/>
              </w:rPr>
              <w:t>Other intangibles</w:t>
            </w:r>
          </w:p>
        </w:tc>
        <w:tc>
          <w:tcPr>
            <w:tcW w:w="1860" w:type="dxa"/>
            <w:vAlign w:val="bottom"/>
            <w:shd w:val="clear" w:color="auto" w:fill="DDDDDD"/>
          </w:tcPr>
          <w:p>
            <w:pPr>
              <w:spacing w:after="0"/>
              <w:rPr>
                <w:sz w:val="19"/>
                <w:szCs w:val="19"/>
                <w:color w:val="auto"/>
              </w:rPr>
            </w:pPr>
          </w:p>
        </w:tc>
        <w:tc>
          <w:tcPr>
            <w:tcW w:w="1840" w:type="dxa"/>
            <w:vAlign w:val="bottom"/>
            <w:shd w:val="clear" w:color="auto" w:fill="DDDDDD"/>
          </w:tcPr>
          <w:p>
            <w:pPr>
              <w:jc w:val="right"/>
              <w:ind w:right="838"/>
              <w:spacing w:after="0"/>
              <w:rPr>
                <w:sz w:val="20"/>
                <w:szCs w:val="20"/>
                <w:color w:val="auto"/>
              </w:rPr>
            </w:pPr>
            <w:r>
              <w:rPr>
                <w:rFonts w:ascii="Arial" w:cs="Arial" w:eastAsia="Arial" w:hAnsi="Arial"/>
                <w:sz w:val="16"/>
                <w:szCs w:val="16"/>
                <w:color w:val="auto"/>
              </w:rPr>
              <w:t>3.9</w:t>
            </w:r>
          </w:p>
        </w:tc>
        <w:tc>
          <w:tcPr>
            <w:tcW w:w="1280" w:type="dxa"/>
            <w:vAlign w:val="bottom"/>
            <w:shd w:val="clear" w:color="auto" w:fill="DDDDDD"/>
          </w:tcPr>
          <w:p>
            <w:pPr>
              <w:jc w:val="right"/>
              <w:ind w:right="178"/>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Accumulated amortization</w:t>
            </w:r>
          </w:p>
        </w:tc>
        <w:tc>
          <w:tcPr>
            <w:tcW w:w="1860" w:type="dxa"/>
            <w:vAlign w:val="bottom"/>
          </w:tcPr>
          <w:p>
            <w:pPr>
              <w:spacing w:after="0"/>
              <w:rPr>
                <w:sz w:val="17"/>
                <w:szCs w:val="17"/>
                <w:color w:val="auto"/>
              </w:rPr>
            </w:pPr>
          </w:p>
        </w:tc>
        <w:tc>
          <w:tcPr>
            <w:tcW w:w="1840" w:type="dxa"/>
            <w:vAlign w:val="bottom"/>
          </w:tcPr>
          <w:p>
            <w:pPr>
              <w:jc w:val="right"/>
              <w:ind w:right="778"/>
              <w:spacing w:after="0"/>
              <w:rPr>
                <w:sz w:val="20"/>
                <w:szCs w:val="20"/>
                <w:color w:val="auto"/>
              </w:rPr>
            </w:pPr>
            <w:r>
              <w:rPr>
                <w:rFonts w:ascii="Arial" w:cs="Arial" w:eastAsia="Arial" w:hAnsi="Arial"/>
                <w:sz w:val="16"/>
                <w:szCs w:val="16"/>
                <w:color w:val="auto"/>
              </w:rPr>
              <w:t>(2.3)</w:t>
            </w:r>
          </w:p>
        </w:tc>
        <w:tc>
          <w:tcPr>
            <w:tcW w:w="1280" w:type="dxa"/>
            <w:vAlign w:val="bottom"/>
          </w:tcPr>
          <w:p>
            <w:pPr>
              <w:jc w:val="right"/>
              <w:ind w:right="118"/>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shd w:val="clear" w:color="auto" w:fill="DDDDDD"/>
          </w:tcPr>
          <w:p>
            <w:pPr>
              <w:ind w:left="380"/>
              <w:spacing w:after="0"/>
              <w:rPr>
                <w:sz w:val="20"/>
                <w:szCs w:val="20"/>
                <w:color w:val="auto"/>
              </w:rPr>
            </w:pPr>
            <w:r>
              <w:rPr>
                <w:rFonts w:ascii="Arial" w:cs="Arial" w:eastAsia="Arial" w:hAnsi="Arial"/>
                <w:sz w:val="16"/>
                <w:szCs w:val="16"/>
                <w:color w:val="auto"/>
              </w:rPr>
              <w:t>Net other intangibles</w:t>
            </w:r>
          </w:p>
        </w:tc>
        <w:tc>
          <w:tcPr>
            <w:tcW w:w="1860" w:type="dxa"/>
            <w:vAlign w:val="bottom"/>
            <w:shd w:val="clear" w:color="auto" w:fill="DDDDDD"/>
          </w:tcPr>
          <w:p>
            <w:pPr>
              <w:spacing w:after="0"/>
              <w:rPr>
                <w:sz w:val="19"/>
                <w:szCs w:val="19"/>
                <w:color w:val="auto"/>
              </w:rPr>
            </w:pPr>
          </w:p>
        </w:tc>
        <w:tc>
          <w:tcPr>
            <w:tcW w:w="1840" w:type="dxa"/>
            <w:vAlign w:val="bottom"/>
            <w:shd w:val="clear" w:color="auto" w:fill="DDDDDD"/>
          </w:tcPr>
          <w:p>
            <w:pPr>
              <w:jc w:val="right"/>
              <w:ind w:right="838"/>
              <w:spacing w:after="0"/>
              <w:rPr>
                <w:sz w:val="20"/>
                <w:szCs w:val="20"/>
                <w:color w:val="auto"/>
              </w:rPr>
            </w:pPr>
            <w:r>
              <w:rPr>
                <w:rFonts w:ascii="Arial" w:cs="Arial" w:eastAsia="Arial" w:hAnsi="Arial"/>
                <w:sz w:val="16"/>
                <w:szCs w:val="16"/>
                <w:color w:val="auto"/>
              </w:rPr>
              <w:t>1.6</w:t>
            </w:r>
          </w:p>
        </w:tc>
        <w:tc>
          <w:tcPr>
            <w:tcW w:w="1280" w:type="dxa"/>
            <w:vAlign w:val="bottom"/>
            <w:shd w:val="clear" w:color="auto" w:fill="DDDDDD"/>
          </w:tcPr>
          <w:p>
            <w:pPr>
              <w:jc w:val="right"/>
              <w:ind w:right="178"/>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4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860" w:type="dxa"/>
            <w:vAlign w:val="bottom"/>
          </w:tcPr>
          <w:p>
            <w:pPr>
              <w:spacing w:after="0"/>
              <w:rPr>
                <w:sz w:val="24"/>
                <w:szCs w:val="24"/>
                <w:color w:val="auto"/>
              </w:rPr>
            </w:pPr>
          </w:p>
        </w:tc>
        <w:tc>
          <w:tcPr>
            <w:tcW w:w="1840" w:type="dxa"/>
            <w:vAlign w:val="bottom"/>
          </w:tcPr>
          <w:p>
            <w:pPr>
              <w:jc w:val="right"/>
              <w:ind w:right="838"/>
              <w:spacing w:after="0"/>
              <w:rPr>
                <w:sz w:val="20"/>
                <w:szCs w:val="20"/>
                <w:color w:val="auto"/>
              </w:rPr>
            </w:pPr>
            <w:r>
              <w:rPr>
                <w:rFonts w:ascii="Arial" w:cs="Arial" w:eastAsia="Arial" w:hAnsi="Arial"/>
                <w:sz w:val="16"/>
                <w:szCs w:val="16"/>
                <w:b w:val="1"/>
                <w:bCs w:val="1"/>
                <w:color w:val="auto"/>
              </w:rPr>
              <w:t>$ 2.0</w:t>
            </w:r>
          </w:p>
        </w:tc>
        <w:tc>
          <w:tcPr>
            <w:tcW w:w="1280" w:type="dxa"/>
            <w:vAlign w:val="bottom"/>
          </w:tcPr>
          <w:p>
            <w:pPr>
              <w:jc w:val="right"/>
              <w:ind w:right="178"/>
              <w:spacing w:after="0"/>
              <w:rPr>
                <w:sz w:val="20"/>
                <w:szCs w:val="20"/>
                <w:color w:val="auto"/>
              </w:rPr>
            </w:pPr>
            <w:r>
              <w:rPr>
                <w:rFonts w:ascii="Arial" w:cs="Arial" w:eastAsia="Arial" w:hAnsi="Arial"/>
                <w:sz w:val="16"/>
                <w:szCs w:val="16"/>
                <w:b w:val="1"/>
                <w:bCs w:val="1"/>
                <w:color w:val="auto"/>
              </w:rPr>
              <w:t>$ 2.4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6420" w:type="dxa"/>
            <w:vAlign w:val="bottom"/>
            <w:tcBorders>
              <w:bottom w:val="single" w:sz="8" w:color="808080"/>
            </w:tcBorders>
          </w:tcPr>
          <w:p>
            <w:pPr>
              <w:spacing w:after="0"/>
              <w:rPr>
                <w:sz w:val="12"/>
                <w:szCs w:val="12"/>
                <w:color w:val="auto"/>
              </w:rPr>
            </w:pPr>
          </w:p>
        </w:tc>
        <w:tc>
          <w:tcPr>
            <w:tcW w:w="186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-4660900</wp:posOffset>
            </wp:positionV>
            <wp:extent cx="12700" cy="285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-4660900</wp:posOffset>
            </wp:positionV>
            <wp:extent cx="12700" cy="28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-2613660</wp:posOffset>
            </wp:positionV>
            <wp:extent cx="12700" cy="285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-2613660</wp:posOffset>
            </wp:positionV>
            <wp:extent cx="12700" cy="28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80"/>
        <w:spacing w:after="0" w:line="325" w:lineRule="auto"/>
        <w:rPr>
          <w:sz w:val="20"/>
          <w:szCs w:val="20"/>
          <w:color w:val="auto"/>
        </w:rPr>
      </w:pPr>
      <w:r>
        <w:rPr>
          <w:rFonts w:ascii="Arial" w:cs="Arial" w:eastAsia="Arial" w:hAnsi="Arial"/>
          <w:sz w:val="14"/>
          <w:szCs w:val="14"/>
          <w:color w:val="auto"/>
        </w:rPr>
        <w:t>Amortization expense for Other intangibles totaled $0.5, $1.0 and $3.9 for the fiscal years ended May 31, 2003, 2002 and 2001, respectively. Amortization expense for these assets is currently estimated to total $0.3 for each of the fiscal years ending May 31, 2004 through 2006, and $0.2 for each of the fiscal years ending May 31, 2007 and 2008. The weighted average amortization periods for these assets by major asset class are three years and 14 years for customer lists and other intangibles,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Other intangibles not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5868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6300" w:type="dxa"/>
            <w:vAlign w:val="bottom"/>
          </w:tcPr>
          <w:p>
            <w:pPr>
              <w:jc w:val="right"/>
              <w:ind w:right="537"/>
              <w:spacing w:after="0"/>
              <w:rPr>
                <w:sz w:val="20"/>
                <w:szCs w:val="20"/>
                <w:color w:val="auto"/>
              </w:rPr>
            </w:pPr>
            <w:r>
              <w:rPr>
                <w:rFonts w:ascii="Arial" w:cs="Arial" w:eastAsia="Arial" w:hAnsi="Arial"/>
                <w:sz w:val="20"/>
                <w:szCs w:val="20"/>
                <w:b w:val="1"/>
                <w:bCs w:val="1"/>
                <w:color w:val="auto"/>
              </w:rPr>
              <w:t>2003</w:t>
            </w:r>
          </w:p>
        </w:tc>
        <w:tc>
          <w:tcPr>
            <w:tcW w:w="1200" w:type="dxa"/>
            <w:vAlign w:val="bottom"/>
          </w:tcPr>
          <w:p>
            <w:pPr>
              <w:jc w:val="right"/>
              <w:ind w:right="97"/>
              <w:spacing w:after="0"/>
              <w:rPr>
                <w:sz w:val="20"/>
                <w:szCs w:val="20"/>
                <w:color w:val="auto"/>
              </w:rPr>
            </w:pPr>
            <w:r>
              <w:rPr>
                <w:rFonts w:ascii="Arial" w:cs="Arial" w:eastAsia="Arial" w:hAnsi="Arial"/>
                <w:sz w:val="20"/>
                <w:szCs w:val="20"/>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900" w:type="dxa"/>
            <w:vAlign w:val="bottom"/>
            <w:tcBorders>
              <w:bottom w:val="single" w:sz="8" w:color="808080"/>
            </w:tcBorders>
          </w:tcPr>
          <w:p>
            <w:pPr>
              <w:spacing w:after="0"/>
              <w:rPr>
                <w:sz w:val="7"/>
                <w:szCs w:val="7"/>
                <w:color w:val="auto"/>
              </w:rPr>
            </w:pPr>
          </w:p>
        </w:tc>
        <w:tc>
          <w:tcPr>
            <w:tcW w:w="6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920" w:type="dxa"/>
            <w:vAlign w:val="bottom"/>
            <w:gridSpan w:val="2"/>
          </w:tcPr>
          <w:p>
            <w:pPr>
              <w:spacing w:after="0"/>
              <w:rPr>
                <w:sz w:val="20"/>
                <w:szCs w:val="20"/>
                <w:color w:val="auto"/>
              </w:rPr>
            </w:pPr>
            <w:r>
              <w:rPr>
                <w:rFonts w:ascii="Arial" w:cs="Arial" w:eastAsia="Arial" w:hAnsi="Arial"/>
                <w:sz w:val="16"/>
                <w:szCs w:val="16"/>
                <w:color w:val="auto"/>
              </w:rPr>
              <w:t>Net carrying value by major class:</w:t>
            </w:r>
          </w:p>
        </w:tc>
        <w:tc>
          <w:tcPr>
            <w:tcW w:w="6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Titles</w:t>
            </w:r>
          </w:p>
        </w:tc>
        <w:tc>
          <w:tcPr>
            <w:tcW w:w="6300" w:type="dxa"/>
            <w:vAlign w:val="bottom"/>
            <w:shd w:val="clear" w:color="auto" w:fill="DDDDDD"/>
          </w:tcPr>
          <w:p>
            <w:pPr>
              <w:jc w:val="right"/>
              <w:ind w:right="537"/>
              <w:spacing w:after="0"/>
              <w:rPr>
                <w:sz w:val="20"/>
                <w:szCs w:val="20"/>
                <w:color w:val="auto"/>
              </w:rPr>
            </w:pPr>
            <w:r>
              <w:rPr>
                <w:rFonts w:ascii="Arial" w:cs="Arial" w:eastAsia="Arial" w:hAnsi="Arial"/>
                <w:sz w:val="16"/>
                <w:szCs w:val="16"/>
                <w:color w:val="auto"/>
              </w:rPr>
              <w:t>$ 31.0</w:t>
            </w:r>
          </w:p>
        </w:tc>
        <w:tc>
          <w:tcPr>
            <w:tcW w:w="120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$ 31.0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ind w:left="380"/>
              <w:spacing w:after="0"/>
              <w:rPr>
                <w:sz w:val="20"/>
                <w:szCs w:val="20"/>
                <w:color w:val="auto"/>
              </w:rPr>
            </w:pPr>
            <w:r>
              <w:rPr>
                <w:rFonts w:ascii="Arial" w:cs="Arial" w:eastAsia="Arial" w:hAnsi="Arial"/>
                <w:sz w:val="16"/>
                <w:szCs w:val="16"/>
                <w:color w:val="auto"/>
              </w:rPr>
              <w:t>Licenses</w:t>
            </w:r>
          </w:p>
        </w:tc>
        <w:tc>
          <w:tcPr>
            <w:tcW w:w="6300" w:type="dxa"/>
            <w:vAlign w:val="bottom"/>
          </w:tcPr>
          <w:p>
            <w:pPr>
              <w:jc w:val="right"/>
              <w:ind w:right="537"/>
              <w:spacing w:after="0"/>
              <w:rPr>
                <w:sz w:val="20"/>
                <w:szCs w:val="20"/>
                <w:color w:val="auto"/>
              </w:rPr>
            </w:pPr>
            <w:r>
              <w:rPr>
                <w:rFonts w:ascii="Arial" w:cs="Arial" w:eastAsia="Arial" w:hAnsi="Arial"/>
                <w:sz w:val="16"/>
                <w:szCs w:val="16"/>
                <w:color w:val="auto"/>
              </w:rPr>
              <w:t>17.2</w:t>
            </w:r>
          </w:p>
        </w:tc>
        <w:tc>
          <w:tcPr>
            <w:tcW w:w="1200" w:type="dxa"/>
            <w:vAlign w:val="bottom"/>
          </w:tcPr>
          <w:p>
            <w:pPr>
              <w:jc w:val="right"/>
              <w:ind w:right="97"/>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Major sets</w:t>
            </w:r>
          </w:p>
        </w:tc>
        <w:tc>
          <w:tcPr>
            <w:tcW w:w="6300" w:type="dxa"/>
            <w:vAlign w:val="bottom"/>
            <w:shd w:val="clear" w:color="auto" w:fill="DDDDDD"/>
          </w:tcPr>
          <w:p>
            <w:pPr>
              <w:jc w:val="right"/>
              <w:ind w:right="537"/>
              <w:spacing w:after="0"/>
              <w:rPr>
                <w:sz w:val="20"/>
                <w:szCs w:val="20"/>
                <w:color w:val="auto"/>
              </w:rPr>
            </w:pPr>
            <w:r>
              <w:rPr>
                <w:rFonts w:ascii="Arial" w:cs="Arial" w:eastAsia="Arial" w:hAnsi="Arial"/>
                <w:sz w:val="16"/>
                <w:szCs w:val="16"/>
                <w:color w:val="auto"/>
              </w:rPr>
              <w:t>11.4</w:t>
            </w:r>
          </w:p>
        </w:tc>
        <w:tc>
          <w:tcPr>
            <w:tcW w:w="1200" w:type="dxa"/>
            <w:vAlign w:val="bottom"/>
            <w:shd w:val="clear" w:color="auto" w:fill="DDDDDD"/>
          </w:tcPr>
          <w:p>
            <w:pPr>
              <w:jc w:val="right"/>
              <w:ind w:right="97"/>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ind w:left="380"/>
              <w:spacing w:after="0"/>
              <w:rPr>
                <w:sz w:val="20"/>
                <w:szCs w:val="20"/>
                <w:color w:val="auto"/>
              </w:rPr>
            </w:pPr>
            <w:r>
              <w:rPr>
                <w:rFonts w:ascii="Arial" w:cs="Arial" w:eastAsia="Arial" w:hAnsi="Arial"/>
                <w:sz w:val="16"/>
                <w:szCs w:val="16"/>
                <w:color w:val="auto"/>
              </w:rPr>
              <w:t>Trademarks and Other</w:t>
            </w:r>
          </w:p>
        </w:tc>
        <w:tc>
          <w:tcPr>
            <w:tcW w:w="6300" w:type="dxa"/>
            <w:vAlign w:val="bottom"/>
          </w:tcPr>
          <w:p>
            <w:pPr>
              <w:jc w:val="right"/>
              <w:ind w:right="537"/>
              <w:spacing w:after="0"/>
              <w:rPr>
                <w:sz w:val="20"/>
                <w:szCs w:val="20"/>
                <w:color w:val="auto"/>
              </w:rPr>
            </w:pPr>
            <w:r>
              <w:rPr>
                <w:rFonts w:ascii="Arial" w:cs="Arial" w:eastAsia="Arial" w:hAnsi="Arial"/>
                <w:sz w:val="16"/>
                <w:szCs w:val="16"/>
                <w:color w:val="auto"/>
              </w:rPr>
              <w:t>12.6</w:t>
            </w:r>
          </w:p>
        </w:tc>
        <w:tc>
          <w:tcPr>
            <w:tcW w:w="1200" w:type="dxa"/>
            <w:vAlign w:val="bottom"/>
          </w:tcPr>
          <w:p>
            <w:pPr>
              <w:jc w:val="right"/>
              <w:ind w:right="97"/>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920" w:type="dxa"/>
            <w:vAlign w:val="bottom"/>
            <w:gridSpan w:val="2"/>
          </w:tcPr>
          <w:p>
            <w:pPr>
              <w:spacing w:after="0"/>
              <w:rPr>
                <w:sz w:val="10"/>
                <w:szCs w:val="10"/>
                <w:color w:val="auto"/>
              </w:rPr>
            </w:pPr>
          </w:p>
        </w:tc>
        <w:tc>
          <w:tcPr>
            <w:tcW w:w="6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900" w:type="dxa"/>
            <w:vAlign w:val="bottom"/>
            <w:tcBorders>
              <w:top w:val="single" w:sz="8" w:color="808080"/>
            </w:tcBorders>
          </w:tcPr>
          <w:p>
            <w:pPr>
              <w:spacing w:after="0"/>
              <w:rPr>
                <w:sz w:val="7"/>
                <w:szCs w:val="7"/>
                <w:color w:val="auto"/>
              </w:rPr>
            </w:pPr>
          </w:p>
        </w:tc>
        <w:tc>
          <w:tcPr>
            <w:tcW w:w="6300" w:type="dxa"/>
            <w:vAlign w:val="bottom"/>
            <w:tcBorders>
              <w:top w:val="single" w:sz="8" w:color="808080"/>
            </w:tcBorders>
          </w:tcPr>
          <w:p>
            <w:pPr>
              <w:spacing w:after="0"/>
              <w:rPr>
                <w:sz w:val="7"/>
                <w:szCs w:val="7"/>
                <w:color w:val="auto"/>
              </w:rPr>
            </w:pPr>
          </w:p>
        </w:tc>
        <w:tc>
          <w:tcPr>
            <w:tcW w:w="12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90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Total</w:t>
            </w:r>
          </w:p>
        </w:tc>
        <w:tc>
          <w:tcPr>
            <w:tcW w:w="6300" w:type="dxa"/>
            <w:vAlign w:val="bottom"/>
            <w:shd w:val="clear" w:color="auto" w:fill="DDDDDD"/>
          </w:tcPr>
          <w:p>
            <w:pPr>
              <w:jc w:val="right"/>
              <w:ind w:right="537"/>
              <w:spacing w:after="0"/>
              <w:rPr>
                <w:sz w:val="20"/>
                <w:szCs w:val="20"/>
                <w:color w:val="auto"/>
              </w:rPr>
            </w:pPr>
            <w:r>
              <w:rPr>
                <w:rFonts w:ascii="Arial" w:cs="Arial" w:eastAsia="Arial" w:hAnsi="Arial"/>
                <w:sz w:val="16"/>
                <w:szCs w:val="16"/>
                <w:b w:val="1"/>
                <w:bCs w:val="1"/>
                <w:color w:val="auto"/>
              </w:rPr>
              <w:t>$ 72.2</w:t>
            </w:r>
          </w:p>
        </w:tc>
        <w:tc>
          <w:tcPr>
            <w:tcW w:w="1200" w:type="dxa"/>
            <w:vAlign w:val="bottom"/>
            <w:shd w:val="clear" w:color="auto" w:fill="DDDDDD"/>
          </w:tcPr>
          <w:p>
            <w:pPr>
              <w:jc w:val="right"/>
              <w:ind w:right="97"/>
              <w:spacing w:after="0"/>
              <w:rPr>
                <w:sz w:val="20"/>
                <w:szCs w:val="20"/>
                <w:color w:val="auto"/>
              </w:rPr>
            </w:pPr>
            <w:r>
              <w:rPr>
                <w:rFonts w:ascii="Arial" w:cs="Arial" w:eastAsia="Arial" w:hAnsi="Arial"/>
                <w:sz w:val="16"/>
                <w:szCs w:val="16"/>
                <w:b w:val="1"/>
                <w:bCs w:val="1"/>
                <w:color w:val="auto"/>
              </w:rPr>
              <w:t>$ 61.4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300" w:type="dxa"/>
            <w:vAlign w:val="bottom"/>
          </w:tcPr>
          <w:p>
            <w:pPr>
              <w:jc w:val="right"/>
              <w:ind w:right="4337"/>
              <w:spacing w:after="0"/>
              <w:rPr>
                <w:sz w:val="20"/>
                <w:szCs w:val="20"/>
                <w:color w:val="auto"/>
              </w:rPr>
            </w:pPr>
            <w:r>
              <w:rPr>
                <w:rFonts w:ascii="Arial" w:cs="Arial" w:eastAsia="Arial" w:hAnsi="Arial"/>
                <w:sz w:val="16"/>
                <w:szCs w:val="16"/>
                <w:color w:val="auto"/>
              </w:rPr>
              <w:t>44</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808080"/>
            </w:tcBorders>
          </w:tcPr>
          <w:p>
            <w:pPr>
              <w:spacing w:after="0"/>
              <w:rPr>
                <w:sz w:val="20"/>
                <w:szCs w:val="20"/>
                <w:color w:val="auto"/>
              </w:rPr>
            </w:pPr>
          </w:p>
        </w:tc>
        <w:tc>
          <w:tcPr>
            <w:tcW w:w="3900" w:type="dxa"/>
            <w:vAlign w:val="bottom"/>
            <w:tcBorders>
              <w:bottom w:val="single" w:sz="8" w:color="808080"/>
            </w:tcBorders>
          </w:tcPr>
          <w:p>
            <w:pPr>
              <w:spacing w:after="0"/>
              <w:rPr>
                <w:sz w:val="20"/>
                <w:szCs w:val="20"/>
                <w:color w:val="auto"/>
              </w:rPr>
            </w:pPr>
          </w:p>
        </w:tc>
        <w:tc>
          <w:tcPr>
            <w:tcW w:w="6300" w:type="dxa"/>
            <w:vAlign w:val="bottom"/>
            <w:tcBorders>
              <w:bottom w:val="single" w:sz="8" w:color="808080"/>
            </w:tcBorders>
          </w:tcPr>
          <w:p>
            <w:pPr>
              <w:spacing w:after="0"/>
              <w:rPr>
                <w:sz w:val="20"/>
                <w:szCs w:val="20"/>
                <w:color w:val="auto"/>
              </w:rPr>
            </w:pPr>
          </w:p>
        </w:tc>
        <w:tc>
          <w:tcPr>
            <w:tcW w:w="12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-636905</wp:posOffset>
            </wp:positionV>
            <wp:extent cx="12700" cy="28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-636905</wp:posOffset>
            </wp:positionV>
            <wp:extent cx="12700" cy="28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for income taxes for the fiscal years ended May 31 are based on earnings before taxes and Cumulative effect of accounting change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725868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4000" w:type="dxa"/>
            <w:vAlign w:val="bottom"/>
          </w:tcPr>
          <w:p>
            <w:pPr>
              <w:jc w:val="right"/>
              <w:ind w:right="795"/>
              <w:spacing w:after="0"/>
              <w:rPr>
                <w:sz w:val="20"/>
                <w:szCs w:val="20"/>
                <w:color w:val="auto"/>
              </w:rPr>
            </w:pPr>
            <w:r>
              <w:rPr>
                <w:rFonts w:ascii="Arial" w:cs="Arial" w:eastAsia="Arial" w:hAnsi="Arial"/>
                <w:sz w:val="20"/>
                <w:szCs w:val="20"/>
                <w:b w:val="1"/>
                <w:bCs w:val="1"/>
                <w:color w:val="auto"/>
              </w:rPr>
              <w:t>2003</w:t>
            </w:r>
          </w:p>
        </w:tc>
        <w:tc>
          <w:tcPr>
            <w:tcW w:w="2140" w:type="dxa"/>
            <w:vAlign w:val="bottom"/>
          </w:tcPr>
          <w:p>
            <w:pPr>
              <w:jc w:val="right"/>
              <w:ind w:right="695"/>
              <w:spacing w:after="0"/>
              <w:rPr>
                <w:sz w:val="20"/>
                <w:szCs w:val="20"/>
                <w:color w:val="auto"/>
              </w:rPr>
            </w:pPr>
            <w:r>
              <w:rPr>
                <w:rFonts w:ascii="Arial" w:cs="Arial" w:eastAsia="Arial" w:hAnsi="Arial"/>
                <w:sz w:val="20"/>
                <w:szCs w:val="20"/>
                <w:b w:val="1"/>
                <w:bCs w:val="1"/>
                <w:color w:val="auto"/>
              </w:rPr>
              <w:t>2002</w:t>
            </w:r>
          </w:p>
        </w:tc>
        <w:tc>
          <w:tcPr>
            <w:tcW w:w="1380" w:type="dxa"/>
            <w:vAlign w:val="bottom"/>
          </w:tcPr>
          <w:p>
            <w:pPr>
              <w:jc w:val="right"/>
              <w:ind w:right="135"/>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400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900" w:type="dxa"/>
            <w:vAlign w:val="bottom"/>
            <w:gridSpan w:val="2"/>
          </w:tcPr>
          <w:p>
            <w:pPr>
              <w:spacing w:after="0"/>
              <w:rPr>
                <w:sz w:val="20"/>
                <w:szCs w:val="20"/>
                <w:color w:val="auto"/>
              </w:rPr>
            </w:pPr>
            <w:r>
              <w:rPr>
                <w:rFonts w:ascii="Arial" w:cs="Arial" w:eastAsia="Arial" w:hAnsi="Arial"/>
                <w:sz w:val="16"/>
                <w:szCs w:val="16"/>
                <w:color w:val="auto"/>
              </w:rPr>
              <w:t>United States</w:t>
            </w:r>
          </w:p>
        </w:tc>
        <w:tc>
          <w:tcPr>
            <w:tcW w:w="4000" w:type="dxa"/>
            <w:vAlign w:val="bottom"/>
          </w:tcPr>
          <w:p>
            <w:pPr>
              <w:jc w:val="right"/>
              <w:ind w:right="795"/>
              <w:spacing w:after="0"/>
              <w:rPr>
                <w:sz w:val="20"/>
                <w:szCs w:val="20"/>
                <w:color w:val="auto"/>
              </w:rPr>
            </w:pPr>
            <w:r>
              <w:rPr>
                <w:rFonts w:ascii="Arial" w:cs="Arial" w:eastAsia="Arial" w:hAnsi="Arial"/>
                <w:sz w:val="16"/>
                <w:szCs w:val="16"/>
                <w:color w:val="auto"/>
              </w:rPr>
              <w:t>$ 81.8</w:t>
            </w:r>
          </w:p>
        </w:tc>
        <w:tc>
          <w:tcPr>
            <w:tcW w:w="2140" w:type="dxa"/>
            <w:vAlign w:val="bottom"/>
          </w:tcPr>
          <w:p>
            <w:pPr>
              <w:jc w:val="right"/>
              <w:ind w:right="695"/>
              <w:spacing w:after="0"/>
              <w:rPr>
                <w:sz w:val="20"/>
                <w:szCs w:val="20"/>
                <w:color w:val="auto"/>
              </w:rPr>
            </w:pPr>
            <w:r>
              <w:rPr>
                <w:rFonts w:ascii="Arial" w:cs="Arial" w:eastAsia="Arial" w:hAnsi="Arial"/>
                <w:sz w:val="16"/>
                <w:szCs w:val="16"/>
                <w:color w:val="auto"/>
              </w:rPr>
              <w:t>$ 144.7</w:t>
            </w:r>
          </w:p>
        </w:tc>
        <w:tc>
          <w:tcPr>
            <w:tcW w:w="1380" w:type="dxa"/>
            <w:vAlign w:val="bottom"/>
          </w:tcPr>
          <w:p>
            <w:pPr>
              <w:jc w:val="right"/>
              <w:ind w:right="135"/>
              <w:spacing w:after="0"/>
              <w:rPr>
                <w:sz w:val="20"/>
                <w:szCs w:val="20"/>
                <w:color w:val="auto"/>
              </w:rPr>
            </w:pPr>
            <w:r>
              <w:rPr>
                <w:rFonts w:ascii="Arial" w:cs="Arial" w:eastAsia="Arial" w:hAnsi="Arial"/>
                <w:sz w:val="16"/>
                <w:szCs w:val="16"/>
                <w:color w:val="auto"/>
              </w:rPr>
              <w:t>$ 50.0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80" w:type="dxa"/>
            <w:vAlign w:val="bottom"/>
            <w:shd w:val="clear" w:color="auto" w:fill="DDDDDD"/>
          </w:tcPr>
          <w:p>
            <w:pPr>
              <w:spacing w:after="0"/>
              <w:rPr>
                <w:sz w:val="20"/>
                <w:szCs w:val="20"/>
                <w:color w:val="auto"/>
              </w:rPr>
            </w:pPr>
            <w:r>
              <w:rPr>
                <w:rFonts w:ascii="Arial" w:cs="Arial" w:eastAsia="Arial" w:hAnsi="Arial"/>
                <w:sz w:val="16"/>
                <w:szCs w:val="16"/>
                <w:color w:val="auto"/>
              </w:rPr>
              <w:t>Non-United States</w:t>
            </w:r>
          </w:p>
        </w:tc>
        <w:tc>
          <w:tcPr>
            <w:tcW w:w="4000" w:type="dxa"/>
            <w:vAlign w:val="bottom"/>
            <w:shd w:val="clear" w:color="auto" w:fill="DDDDDD"/>
          </w:tcPr>
          <w:p>
            <w:pPr>
              <w:jc w:val="right"/>
              <w:ind w:right="795"/>
              <w:spacing w:after="0"/>
              <w:rPr>
                <w:sz w:val="20"/>
                <w:szCs w:val="20"/>
                <w:color w:val="auto"/>
              </w:rPr>
            </w:pPr>
            <w:r>
              <w:rPr>
                <w:rFonts w:ascii="Arial" w:cs="Arial" w:eastAsia="Arial" w:hAnsi="Arial"/>
                <w:sz w:val="16"/>
                <w:szCs w:val="16"/>
                <w:color w:val="auto"/>
              </w:rPr>
              <w:t>8.3</w:t>
            </w:r>
          </w:p>
        </w:tc>
        <w:tc>
          <w:tcPr>
            <w:tcW w:w="2140" w:type="dxa"/>
            <w:vAlign w:val="bottom"/>
            <w:shd w:val="clear" w:color="auto" w:fill="DDDDDD"/>
          </w:tcPr>
          <w:p>
            <w:pPr>
              <w:jc w:val="right"/>
              <w:ind w:right="695"/>
              <w:spacing w:after="0"/>
              <w:rPr>
                <w:sz w:val="20"/>
                <w:szCs w:val="20"/>
                <w:color w:val="auto"/>
              </w:rPr>
            </w:pPr>
            <w:r>
              <w:rPr>
                <w:rFonts w:ascii="Arial" w:cs="Arial" w:eastAsia="Arial" w:hAnsi="Arial"/>
                <w:sz w:val="16"/>
                <w:szCs w:val="16"/>
                <w:color w:val="auto"/>
              </w:rPr>
              <w:t>8.6</w:t>
            </w:r>
          </w:p>
        </w:tc>
        <w:tc>
          <w:tcPr>
            <w:tcW w:w="1380" w:type="dxa"/>
            <w:vAlign w:val="bottom"/>
            <w:shd w:val="clear" w:color="auto" w:fill="DDDDDD"/>
          </w:tcPr>
          <w:p>
            <w:pPr>
              <w:jc w:val="right"/>
              <w:ind w:right="135"/>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00" w:type="dxa"/>
            <w:vAlign w:val="bottom"/>
          </w:tcPr>
          <w:p>
            <w:pPr>
              <w:jc w:val="right"/>
              <w:ind w:right="795"/>
              <w:spacing w:after="0"/>
              <w:rPr>
                <w:sz w:val="20"/>
                <w:szCs w:val="20"/>
                <w:color w:val="auto"/>
              </w:rPr>
            </w:pPr>
            <w:r>
              <w:rPr>
                <w:rFonts w:ascii="Arial" w:cs="Arial" w:eastAsia="Arial" w:hAnsi="Arial"/>
                <w:sz w:val="16"/>
                <w:szCs w:val="16"/>
                <w:b w:val="1"/>
                <w:bCs w:val="1"/>
                <w:color w:val="auto"/>
              </w:rPr>
              <w:t>$ 90.1</w:t>
            </w:r>
          </w:p>
        </w:tc>
        <w:tc>
          <w:tcPr>
            <w:tcW w:w="2140" w:type="dxa"/>
            <w:vAlign w:val="bottom"/>
          </w:tcPr>
          <w:p>
            <w:pPr>
              <w:jc w:val="right"/>
              <w:ind w:right="695"/>
              <w:spacing w:after="0"/>
              <w:rPr>
                <w:sz w:val="20"/>
                <w:szCs w:val="20"/>
                <w:color w:val="auto"/>
              </w:rPr>
            </w:pPr>
            <w:r>
              <w:rPr>
                <w:rFonts w:ascii="Arial" w:cs="Arial" w:eastAsia="Arial" w:hAnsi="Arial"/>
                <w:sz w:val="16"/>
                <w:szCs w:val="16"/>
                <w:b w:val="1"/>
                <w:bCs w:val="1"/>
                <w:color w:val="auto"/>
              </w:rPr>
              <w:t>$ 153.3</w:t>
            </w:r>
          </w:p>
        </w:tc>
        <w:tc>
          <w:tcPr>
            <w:tcW w:w="1380" w:type="dxa"/>
            <w:vAlign w:val="bottom"/>
          </w:tcPr>
          <w:p>
            <w:pPr>
              <w:jc w:val="right"/>
              <w:ind w:right="135"/>
              <w:spacing w:after="0"/>
              <w:rPr>
                <w:sz w:val="20"/>
                <w:szCs w:val="20"/>
                <w:color w:val="auto"/>
              </w:rPr>
            </w:pPr>
            <w:r>
              <w:rPr>
                <w:rFonts w:ascii="Arial" w:cs="Arial" w:eastAsia="Arial" w:hAnsi="Arial"/>
                <w:sz w:val="16"/>
                <w:szCs w:val="16"/>
                <w:b w:val="1"/>
                <w:bCs w:val="1"/>
                <w:color w:val="auto"/>
              </w:rPr>
              <w:t>$ 57.1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3880" w:type="dxa"/>
            <w:vAlign w:val="bottom"/>
            <w:tcBorders>
              <w:bottom w:val="single" w:sz="8" w:color="808080"/>
            </w:tcBorders>
          </w:tcPr>
          <w:p>
            <w:pPr>
              <w:spacing w:after="0"/>
              <w:rPr>
                <w:sz w:val="12"/>
                <w:szCs w:val="12"/>
                <w:color w:val="auto"/>
              </w:rPr>
            </w:pPr>
          </w:p>
        </w:tc>
        <w:tc>
          <w:tcPr>
            <w:tcW w:w="4000" w:type="dxa"/>
            <w:vAlign w:val="bottom"/>
            <w:tcBorders>
              <w:bottom w:val="single" w:sz="8" w:color="808080"/>
            </w:tcBorders>
          </w:tcPr>
          <w:p>
            <w:pPr>
              <w:spacing w:after="0"/>
              <w:rPr>
                <w:sz w:val="12"/>
                <w:szCs w:val="12"/>
                <w:color w:val="auto"/>
              </w:rPr>
            </w:pPr>
          </w:p>
        </w:tc>
        <w:tc>
          <w:tcPr>
            <w:tcW w:w="214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40"/>
          </w:cols>
          <w:pgMar w:left="240" w:top="120" w:right="219"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The provisions for income taxes attributable to earnings before Cumulative effect of accounting change for the fiscal years ended May 31 consist of the following components:</w:t>
      </w:r>
    </w:p>
    <w:p>
      <w:pPr>
        <w:sectPr>
          <w:pgSz w:w="11900" w:h="16838" w:orient="portrait"/>
          <w:cols w:equalWidth="0" w:num="1">
            <w:col w:w="11440"/>
          </w:cols>
          <w:pgMar w:left="240" w:top="120" w:right="219"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55"/>
        </w:trPr>
        <w:tc>
          <w:tcPr>
            <w:tcW w:w="3720" w:type="dxa"/>
            <w:vAlign w:val="bottom"/>
          </w:tcPr>
          <w:p>
            <w:pPr>
              <w:spacing w:after="0"/>
              <w:rPr>
                <w:sz w:val="22"/>
                <w:szCs w:val="22"/>
                <w:color w:val="auto"/>
              </w:rPr>
            </w:pPr>
          </w:p>
        </w:tc>
        <w:tc>
          <w:tcPr>
            <w:tcW w:w="4040" w:type="dxa"/>
            <w:vAlign w:val="bottom"/>
          </w:tcPr>
          <w:p>
            <w:pPr>
              <w:jc w:val="right"/>
              <w:ind w:right="839"/>
              <w:spacing w:after="0"/>
              <w:rPr>
                <w:sz w:val="20"/>
                <w:szCs w:val="20"/>
                <w:color w:val="auto"/>
              </w:rPr>
            </w:pPr>
            <w:r>
              <w:rPr>
                <w:rFonts w:ascii="Arial" w:cs="Arial" w:eastAsia="Arial" w:hAnsi="Arial"/>
                <w:sz w:val="20"/>
                <w:szCs w:val="20"/>
                <w:b w:val="1"/>
                <w:bCs w:val="1"/>
                <w:color w:val="auto"/>
              </w:rPr>
              <w:t>2003</w:t>
            </w:r>
          </w:p>
        </w:tc>
        <w:tc>
          <w:tcPr>
            <w:tcW w:w="2120" w:type="dxa"/>
            <w:vAlign w:val="bottom"/>
          </w:tcPr>
          <w:p>
            <w:pPr>
              <w:jc w:val="right"/>
              <w:ind w:right="779"/>
              <w:spacing w:after="0"/>
              <w:rPr>
                <w:sz w:val="20"/>
                <w:szCs w:val="20"/>
                <w:color w:val="auto"/>
              </w:rPr>
            </w:pPr>
            <w:r>
              <w:rPr>
                <w:rFonts w:ascii="Arial" w:cs="Arial" w:eastAsia="Arial" w:hAnsi="Arial"/>
                <w:sz w:val="20"/>
                <w:szCs w:val="20"/>
                <w:b w:val="1"/>
                <w:bCs w:val="1"/>
                <w:color w:val="auto"/>
              </w:rPr>
              <w:t>2002</w:t>
            </w:r>
          </w:p>
        </w:tc>
        <w:tc>
          <w:tcPr>
            <w:tcW w:w="1540" w:type="dxa"/>
            <w:vAlign w:val="bottom"/>
          </w:tcPr>
          <w:p>
            <w:pPr>
              <w:jc w:val="right"/>
              <w:ind w:right="199"/>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2"/>
                <w:szCs w:val="22"/>
                <w:color w:val="auto"/>
              </w:rPr>
            </w:pPr>
          </w:p>
        </w:tc>
      </w:tr>
      <w:tr>
        <w:trPr>
          <w:trHeight w:val="90"/>
        </w:trPr>
        <w:tc>
          <w:tcPr>
            <w:tcW w:w="3720" w:type="dxa"/>
            <w:vAlign w:val="bottom"/>
            <w:tcBorders>
              <w:bottom w:val="single" w:sz="8" w:color="808080"/>
            </w:tcBorders>
          </w:tcPr>
          <w:p>
            <w:pPr>
              <w:spacing w:after="0"/>
              <w:rPr>
                <w:sz w:val="7"/>
                <w:szCs w:val="7"/>
                <w:color w:val="auto"/>
              </w:rPr>
            </w:pPr>
          </w:p>
        </w:tc>
        <w:tc>
          <w:tcPr>
            <w:tcW w:w="404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87"/>
        </w:trPr>
        <w:tc>
          <w:tcPr>
            <w:tcW w:w="3720" w:type="dxa"/>
            <w:vAlign w:val="bottom"/>
          </w:tcPr>
          <w:p>
            <w:pPr>
              <w:spacing w:after="0"/>
              <w:rPr>
                <w:sz w:val="20"/>
                <w:szCs w:val="20"/>
                <w:color w:val="auto"/>
              </w:rPr>
            </w:pPr>
            <w:r>
              <w:rPr>
                <w:rFonts w:ascii="Arial" w:cs="Arial" w:eastAsia="Arial" w:hAnsi="Arial"/>
                <w:sz w:val="16"/>
                <w:szCs w:val="16"/>
                <w:color w:val="auto"/>
              </w:rPr>
              <w:t>Federal</w:t>
            </w:r>
          </w:p>
        </w:tc>
        <w:tc>
          <w:tcPr>
            <w:tcW w:w="4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Current</w:t>
            </w: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color w:val="auto"/>
              </w:rPr>
              <w:t>$ 11.5</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color w:val="auto"/>
              </w:rPr>
              <w:t>$ 29.4</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$ 26.9</w:t>
            </w:r>
          </w:p>
        </w:tc>
        <w:tc>
          <w:tcPr>
            <w:tcW w:w="20" w:type="dxa"/>
            <w:vAlign w:val="bottom"/>
          </w:tcPr>
          <w:p>
            <w:pPr>
              <w:spacing w:after="0"/>
              <w:rPr>
                <w:sz w:val="19"/>
                <w:szCs w:val="19"/>
                <w:color w:val="auto"/>
              </w:rPr>
            </w:pPr>
          </w:p>
        </w:tc>
      </w:tr>
      <w:tr>
        <w:trPr>
          <w:trHeight w:val="205"/>
        </w:trPr>
        <w:tc>
          <w:tcPr>
            <w:tcW w:w="3720" w:type="dxa"/>
            <w:vAlign w:val="bottom"/>
          </w:tcPr>
          <w:p>
            <w:pPr>
              <w:ind w:left="400"/>
              <w:spacing w:after="0"/>
              <w:rPr>
                <w:sz w:val="20"/>
                <w:szCs w:val="20"/>
                <w:color w:val="auto"/>
              </w:rPr>
            </w:pPr>
            <w:r>
              <w:rPr>
                <w:rFonts w:ascii="Arial" w:cs="Arial" w:eastAsia="Arial" w:hAnsi="Arial"/>
                <w:sz w:val="16"/>
                <w:szCs w:val="16"/>
                <w:color w:val="auto"/>
              </w:rPr>
              <w:t>Deferred</w:t>
            </w:r>
          </w:p>
        </w:tc>
        <w:tc>
          <w:tcPr>
            <w:tcW w:w="4040" w:type="dxa"/>
            <w:vAlign w:val="bottom"/>
          </w:tcPr>
          <w:p>
            <w:pPr>
              <w:jc w:val="right"/>
              <w:ind w:right="839"/>
              <w:spacing w:after="0"/>
              <w:rPr>
                <w:sz w:val="20"/>
                <w:szCs w:val="20"/>
                <w:color w:val="auto"/>
              </w:rPr>
            </w:pPr>
            <w:r>
              <w:rPr>
                <w:rFonts w:ascii="Arial" w:cs="Arial" w:eastAsia="Arial" w:hAnsi="Arial"/>
                <w:sz w:val="16"/>
                <w:szCs w:val="16"/>
                <w:color w:val="auto"/>
              </w:rPr>
              <w:t>13.4</w:t>
            </w:r>
          </w:p>
        </w:tc>
        <w:tc>
          <w:tcPr>
            <w:tcW w:w="2120" w:type="dxa"/>
            <w:vAlign w:val="bottom"/>
          </w:tcPr>
          <w:p>
            <w:pPr>
              <w:jc w:val="right"/>
              <w:ind w:right="779"/>
              <w:spacing w:after="0"/>
              <w:rPr>
                <w:sz w:val="20"/>
                <w:szCs w:val="20"/>
                <w:color w:val="auto"/>
              </w:rPr>
            </w:pPr>
            <w:r>
              <w:rPr>
                <w:rFonts w:ascii="Arial" w:cs="Arial" w:eastAsia="Arial" w:hAnsi="Arial"/>
                <w:sz w:val="16"/>
                <w:szCs w:val="16"/>
                <w:color w:val="auto"/>
              </w:rPr>
              <w:t>15.4</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(13.5)</w:t>
            </w:r>
          </w:p>
        </w:tc>
        <w:tc>
          <w:tcPr>
            <w:tcW w:w="20" w:type="dxa"/>
            <w:vAlign w:val="bottom"/>
          </w:tcPr>
          <w:p>
            <w:pPr>
              <w:spacing w:after="0"/>
              <w:rPr>
                <w:sz w:val="17"/>
                <w:szCs w:val="17"/>
                <w:color w:val="auto"/>
              </w:rPr>
            </w:pPr>
          </w:p>
        </w:tc>
      </w:tr>
      <w:tr>
        <w:trPr>
          <w:trHeight w:val="115"/>
        </w:trPr>
        <w:tc>
          <w:tcPr>
            <w:tcW w:w="37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91"/>
        </w:trPr>
        <w:tc>
          <w:tcPr>
            <w:tcW w:w="37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21"/>
        </w:trPr>
        <w:tc>
          <w:tcPr>
            <w:tcW w:w="3720" w:type="dxa"/>
            <w:vAlign w:val="bottom"/>
            <w:shd w:val="clear" w:color="auto" w:fill="DDDDDD"/>
          </w:tcPr>
          <w:p>
            <w:pPr>
              <w:spacing w:after="0"/>
              <w:rPr>
                <w:sz w:val="19"/>
                <w:szCs w:val="19"/>
                <w:color w:val="auto"/>
              </w:rPr>
            </w:pP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b w:val="1"/>
                <w:bCs w:val="1"/>
                <w:color w:val="auto"/>
              </w:rPr>
              <w:t>$ 24.9</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b w:val="1"/>
                <w:bCs w:val="1"/>
                <w:color w:val="auto"/>
              </w:rPr>
              <w:t>$ 44.8</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b w:val="1"/>
                <w:bCs w:val="1"/>
                <w:color w:val="auto"/>
              </w:rPr>
              <w:t>$ 13.4</w:t>
            </w:r>
          </w:p>
        </w:tc>
        <w:tc>
          <w:tcPr>
            <w:tcW w:w="20" w:type="dxa"/>
            <w:vAlign w:val="bottom"/>
          </w:tcPr>
          <w:p>
            <w:pPr>
              <w:spacing w:after="0"/>
              <w:rPr>
                <w:sz w:val="19"/>
                <w:szCs w:val="19"/>
                <w:color w:val="auto"/>
              </w:rPr>
            </w:pPr>
          </w:p>
        </w:tc>
      </w:tr>
      <w:tr>
        <w:trPr>
          <w:trHeight w:val="119"/>
        </w:trPr>
        <w:tc>
          <w:tcPr>
            <w:tcW w:w="37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6"/>
                <w:szCs w:val="16"/>
                <w:color w:val="auto"/>
              </w:rPr>
              <w:t>State and local</w:t>
            </w:r>
          </w:p>
        </w:tc>
        <w:tc>
          <w:tcPr>
            <w:tcW w:w="4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Current</w:t>
            </w: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color w:val="auto"/>
              </w:rPr>
              <w:t>$ 3.4</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color w:val="auto"/>
              </w:rPr>
              <w:t>$ 3.7</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$ 4.0</w:t>
            </w:r>
          </w:p>
        </w:tc>
        <w:tc>
          <w:tcPr>
            <w:tcW w:w="20" w:type="dxa"/>
            <w:vAlign w:val="bottom"/>
          </w:tcPr>
          <w:p>
            <w:pPr>
              <w:spacing w:after="0"/>
              <w:rPr>
                <w:sz w:val="19"/>
                <w:szCs w:val="19"/>
                <w:color w:val="auto"/>
              </w:rPr>
            </w:pPr>
          </w:p>
        </w:tc>
      </w:tr>
      <w:tr>
        <w:trPr>
          <w:trHeight w:val="205"/>
        </w:trPr>
        <w:tc>
          <w:tcPr>
            <w:tcW w:w="3720" w:type="dxa"/>
            <w:vAlign w:val="bottom"/>
          </w:tcPr>
          <w:p>
            <w:pPr>
              <w:ind w:left="400"/>
              <w:spacing w:after="0"/>
              <w:rPr>
                <w:sz w:val="20"/>
                <w:szCs w:val="20"/>
                <w:color w:val="auto"/>
              </w:rPr>
            </w:pPr>
            <w:r>
              <w:rPr>
                <w:rFonts w:ascii="Arial" w:cs="Arial" w:eastAsia="Arial" w:hAnsi="Arial"/>
                <w:sz w:val="16"/>
                <w:szCs w:val="16"/>
                <w:color w:val="auto"/>
              </w:rPr>
              <w:t>Deferred</w:t>
            </w:r>
          </w:p>
        </w:tc>
        <w:tc>
          <w:tcPr>
            <w:tcW w:w="4040" w:type="dxa"/>
            <w:vAlign w:val="bottom"/>
          </w:tcPr>
          <w:p>
            <w:pPr>
              <w:jc w:val="right"/>
              <w:ind w:right="839"/>
              <w:spacing w:after="0"/>
              <w:rPr>
                <w:sz w:val="20"/>
                <w:szCs w:val="20"/>
                <w:color w:val="auto"/>
              </w:rPr>
            </w:pPr>
            <w:r>
              <w:rPr>
                <w:rFonts w:ascii="Arial" w:cs="Arial" w:eastAsia="Arial" w:hAnsi="Arial"/>
                <w:sz w:val="16"/>
                <w:szCs w:val="16"/>
                <w:color w:val="auto"/>
              </w:rPr>
              <w:t>0.9</w:t>
            </w:r>
          </w:p>
        </w:tc>
        <w:tc>
          <w:tcPr>
            <w:tcW w:w="2120" w:type="dxa"/>
            <w:vAlign w:val="bottom"/>
          </w:tcPr>
          <w:p>
            <w:pPr>
              <w:jc w:val="right"/>
              <w:ind w:right="779"/>
              <w:spacing w:after="0"/>
              <w:rPr>
                <w:sz w:val="20"/>
                <w:szCs w:val="20"/>
                <w:color w:val="auto"/>
              </w:rPr>
            </w:pPr>
            <w:r>
              <w:rPr>
                <w:rFonts w:ascii="Arial" w:cs="Arial" w:eastAsia="Arial" w:hAnsi="Arial"/>
                <w:sz w:val="16"/>
                <w:szCs w:val="16"/>
                <w:color w:val="auto"/>
              </w:rPr>
              <w:t>2.0</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r>
      <w:tr>
        <w:trPr>
          <w:trHeight w:val="115"/>
        </w:trPr>
        <w:tc>
          <w:tcPr>
            <w:tcW w:w="37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91"/>
        </w:trPr>
        <w:tc>
          <w:tcPr>
            <w:tcW w:w="37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21"/>
        </w:trPr>
        <w:tc>
          <w:tcPr>
            <w:tcW w:w="3720" w:type="dxa"/>
            <w:vAlign w:val="bottom"/>
            <w:shd w:val="clear" w:color="auto" w:fill="DDDDDD"/>
          </w:tcPr>
          <w:p>
            <w:pPr>
              <w:spacing w:after="0"/>
              <w:rPr>
                <w:sz w:val="19"/>
                <w:szCs w:val="19"/>
                <w:color w:val="auto"/>
              </w:rPr>
            </w:pP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b w:val="1"/>
                <w:bCs w:val="1"/>
                <w:color w:val="auto"/>
              </w:rPr>
              <w:t>$ 4.3</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b w:val="1"/>
                <w:bCs w:val="1"/>
                <w:color w:val="auto"/>
              </w:rPr>
              <w:t>$ 5.7</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b w:val="1"/>
                <w:bCs w:val="1"/>
                <w:color w:val="auto"/>
              </w:rPr>
              <w:t>$ 1.2</w:t>
            </w:r>
          </w:p>
        </w:tc>
        <w:tc>
          <w:tcPr>
            <w:tcW w:w="20" w:type="dxa"/>
            <w:vAlign w:val="bottom"/>
          </w:tcPr>
          <w:p>
            <w:pPr>
              <w:spacing w:after="0"/>
              <w:rPr>
                <w:sz w:val="19"/>
                <w:szCs w:val="19"/>
                <w:color w:val="auto"/>
              </w:rPr>
            </w:pPr>
          </w:p>
        </w:tc>
      </w:tr>
      <w:tr>
        <w:trPr>
          <w:trHeight w:val="119"/>
        </w:trPr>
        <w:tc>
          <w:tcPr>
            <w:tcW w:w="37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6"/>
                <w:szCs w:val="16"/>
                <w:color w:val="auto"/>
              </w:rPr>
              <w:t>International</w:t>
            </w:r>
          </w:p>
        </w:tc>
        <w:tc>
          <w:tcPr>
            <w:tcW w:w="4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720" w:type="dxa"/>
            <w:vAlign w:val="bottom"/>
            <w:shd w:val="clear" w:color="auto" w:fill="DDDDDD"/>
          </w:tcPr>
          <w:p>
            <w:pPr>
              <w:ind w:left="400"/>
              <w:spacing w:after="0"/>
              <w:rPr>
                <w:sz w:val="20"/>
                <w:szCs w:val="20"/>
                <w:color w:val="auto"/>
              </w:rPr>
            </w:pPr>
            <w:r>
              <w:rPr>
                <w:rFonts w:ascii="Arial" w:cs="Arial" w:eastAsia="Arial" w:hAnsi="Arial"/>
                <w:sz w:val="16"/>
                <w:szCs w:val="16"/>
                <w:color w:val="auto"/>
              </w:rPr>
              <w:t>Current</w:t>
            </w: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color w:val="auto"/>
              </w:rPr>
              <w:t>$ 4.3</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color w:val="auto"/>
              </w:rPr>
              <w:t>$ 3.5</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auto"/>
              </w:rPr>
              <w:t>$ 5.0</w:t>
            </w:r>
          </w:p>
        </w:tc>
        <w:tc>
          <w:tcPr>
            <w:tcW w:w="20" w:type="dxa"/>
            <w:vAlign w:val="bottom"/>
          </w:tcPr>
          <w:p>
            <w:pPr>
              <w:spacing w:after="0"/>
              <w:rPr>
                <w:sz w:val="19"/>
                <w:szCs w:val="19"/>
                <w:color w:val="auto"/>
              </w:rPr>
            </w:pPr>
          </w:p>
        </w:tc>
      </w:tr>
      <w:tr>
        <w:trPr>
          <w:trHeight w:val="205"/>
        </w:trPr>
        <w:tc>
          <w:tcPr>
            <w:tcW w:w="3720" w:type="dxa"/>
            <w:vAlign w:val="bottom"/>
          </w:tcPr>
          <w:p>
            <w:pPr>
              <w:ind w:left="400"/>
              <w:spacing w:after="0"/>
              <w:rPr>
                <w:sz w:val="20"/>
                <w:szCs w:val="20"/>
                <w:color w:val="auto"/>
              </w:rPr>
            </w:pPr>
            <w:r>
              <w:rPr>
                <w:rFonts w:ascii="Arial" w:cs="Arial" w:eastAsia="Arial" w:hAnsi="Arial"/>
                <w:sz w:val="16"/>
                <w:szCs w:val="16"/>
                <w:color w:val="auto"/>
              </w:rPr>
              <w:t>Deferred</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(2.0)</w:t>
            </w:r>
          </w:p>
        </w:tc>
        <w:tc>
          <w:tcPr>
            <w:tcW w:w="2120" w:type="dxa"/>
            <w:vAlign w:val="bottom"/>
          </w:tcPr>
          <w:p>
            <w:pPr>
              <w:jc w:val="right"/>
              <w:ind w:right="779"/>
              <w:spacing w:after="0"/>
              <w:rPr>
                <w:sz w:val="20"/>
                <w:szCs w:val="20"/>
                <w:color w:val="auto"/>
              </w:rPr>
            </w:pPr>
            <w:r>
              <w:rPr>
                <w:rFonts w:ascii="Arial" w:cs="Arial" w:eastAsia="Arial" w:hAnsi="Arial"/>
                <w:sz w:val="16"/>
                <w:szCs w:val="16"/>
                <w:color w:val="auto"/>
              </w:rPr>
              <w:t>0.6</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r>
      <w:tr>
        <w:trPr>
          <w:trHeight w:val="115"/>
        </w:trPr>
        <w:tc>
          <w:tcPr>
            <w:tcW w:w="37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91"/>
        </w:trPr>
        <w:tc>
          <w:tcPr>
            <w:tcW w:w="37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21"/>
        </w:trPr>
        <w:tc>
          <w:tcPr>
            <w:tcW w:w="3720" w:type="dxa"/>
            <w:vAlign w:val="bottom"/>
            <w:shd w:val="clear" w:color="auto" w:fill="DDDDDD"/>
          </w:tcPr>
          <w:p>
            <w:pPr>
              <w:spacing w:after="0"/>
              <w:rPr>
                <w:sz w:val="19"/>
                <w:szCs w:val="19"/>
                <w:color w:val="auto"/>
              </w:rPr>
            </w:pP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b w:val="1"/>
                <w:bCs w:val="1"/>
                <w:color w:val="auto"/>
              </w:rPr>
              <w:t>$ 2.3</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b w:val="1"/>
                <w:bCs w:val="1"/>
                <w:color w:val="auto"/>
              </w:rPr>
              <w:t>$ 4.1</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b w:val="1"/>
                <w:bCs w:val="1"/>
                <w:color w:val="auto"/>
              </w:rPr>
              <w:t>$ 6.2</w:t>
            </w:r>
          </w:p>
        </w:tc>
        <w:tc>
          <w:tcPr>
            <w:tcW w:w="20" w:type="dxa"/>
            <w:vAlign w:val="bottom"/>
          </w:tcPr>
          <w:p>
            <w:pPr>
              <w:spacing w:after="0"/>
              <w:rPr>
                <w:sz w:val="19"/>
                <w:szCs w:val="19"/>
                <w:color w:val="auto"/>
              </w:rPr>
            </w:pPr>
          </w:p>
        </w:tc>
      </w:tr>
      <w:tr>
        <w:trPr>
          <w:trHeight w:val="119"/>
        </w:trPr>
        <w:tc>
          <w:tcPr>
            <w:tcW w:w="37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720" w:type="dxa"/>
            <w:vAlign w:val="bottom"/>
            <w:shd w:val="clear" w:color="auto" w:fill="DDDDDD"/>
          </w:tcPr>
          <w:p>
            <w:pPr>
              <w:ind w:left="400"/>
              <w:spacing w:after="0"/>
              <w:rPr>
                <w:sz w:val="20"/>
                <w:szCs w:val="20"/>
                <w:color w:val="auto"/>
              </w:rPr>
            </w:pPr>
            <w:r>
              <w:rPr>
                <w:rFonts w:ascii="Arial" w:cs="Arial" w:eastAsia="Arial" w:hAnsi="Arial"/>
                <w:sz w:val="16"/>
                <w:szCs w:val="16"/>
                <w:b w:val="1"/>
                <w:bCs w:val="1"/>
                <w:color w:val="auto"/>
              </w:rPr>
              <w:t>Current</w:t>
            </w: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b w:val="1"/>
                <w:bCs w:val="1"/>
                <w:color w:val="auto"/>
              </w:rPr>
              <w:t>$ 19.2</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b w:val="1"/>
                <w:bCs w:val="1"/>
                <w:color w:val="auto"/>
              </w:rPr>
              <w:t>$ 36.6</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b w:val="1"/>
                <w:bCs w:val="1"/>
                <w:color w:val="auto"/>
              </w:rPr>
              <w:t>$ 35.9</w:t>
            </w:r>
          </w:p>
        </w:tc>
        <w:tc>
          <w:tcPr>
            <w:tcW w:w="20" w:type="dxa"/>
            <w:vAlign w:val="bottom"/>
          </w:tcPr>
          <w:p>
            <w:pPr>
              <w:spacing w:after="0"/>
              <w:rPr>
                <w:sz w:val="19"/>
                <w:szCs w:val="19"/>
                <w:color w:val="auto"/>
              </w:rPr>
            </w:pPr>
          </w:p>
        </w:tc>
      </w:tr>
      <w:tr>
        <w:trPr>
          <w:trHeight w:val="209"/>
        </w:trPr>
        <w:tc>
          <w:tcPr>
            <w:tcW w:w="3720" w:type="dxa"/>
            <w:vAlign w:val="bottom"/>
          </w:tcPr>
          <w:p>
            <w:pPr>
              <w:ind w:left="400"/>
              <w:spacing w:after="0"/>
              <w:rPr>
                <w:sz w:val="20"/>
                <w:szCs w:val="20"/>
                <w:color w:val="auto"/>
              </w:rPr>
            </w:pPr>
            <w:r>
              <w:rPr>
                <w:rFonts w:ascii="Arial" w:cs="Arial" w:eastAsia="Arial" w:hAnsi="Arial"/>
                <w:sz w:val="16"/>
                <w:szCs w:val="16"/>
                <w:b w:val="1"/>
                <w:bCs w:val="1"/>
                <w:color w:val="auto"/>
              </w:rPr>
              <w:t>Deferred</w:t>
            </w:r>
          </w:p>
        </w:tc>
        <w:tc>
          <w:tcPr>
            <w:tcW w:w="4040" w:type="dxa"/>
            <w:vAlign w:val="bottom"/>
          </w:tcPr>
          <w:p>
            <w:pPr>
              <w:jc w:val="right"/>
              <w:ind w:right="839"/>
              <w:spacing w:after="0"/>
              <w:rPr>
                <w:sz w:val="20"/>
                <w:szCs w:val="20"/>
                <w:color w:val="auto"/>
              </w:rPr>
            </w:pPr>
            <w:r>
              <w:rPr>
                <w:rFonts w:ascii="Arial" w:cs="Arial" w:eastAsia="Arial" w:hAnsi="Arial"/>
                <w:sz w:val="16"/>
                <w:szCs w:val="16"/>
                <w:b w:val="1"/>
                <w:bCs w:val="1"/>
                <w:color w:val="auto"/>
              </w:rPr>
              <w:t>12.3</w:t>
            </w:r>
          </w:p>
        </w:tc>
        <w:tc>
          <w:tcPr>
            <w:tcW w:w="2120" w:type="dxa"/>
            <w:vAlign w:val="bottom"/>
          </w:tcPr>
          <w:p>
            <w:pPr>
              <w:jc w:val="right"/>
              <w:ind w:right="779"/>
              <w:spacing w:after="0"/>
              <w:rPr>
                <w:sz w:val="20"/>
                <w:szCs w:val="20"/>
                <w:color w:val="auto"/>
              </w:rPr>
            </w:pPr>
            <w:r>
              <w:rPr>
                <w:rFonts w:ascii="Arial" w:cs="Arial" w:eastAsia="Arial" w:hAnsi="Arial"/>
                <w:sz w:val="16"/>
                <w:szCs w:val="16"/>
                <w:b w:val="1"/>
                <w:bCs w:val="1"/>
                <w:color w:val="auto"/>
              </w:rPr>
              <w:t>18.0</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(15.1)</w:t>
            </w:r>
          </w:p>
        </w:tc>
        <w:tc>
          <w:tcPr>
            <w:tcW w:w="20" w:type="dxa"/>
            <w:vAlign w:val="bottom"/>
          </w:tcPr>
          <w:p>
            <w:pPr>
              <w:spacing w:after="0"/>
              <w:rPr>
                <w:sz w:val="18"/>
                <w:szCs w:val="18"/>
                <w:color w:val="auto"/>
              </w:rPr>
            </w:pPr>
          </w:p>
        </w:tc>
      </w:tr>
      <w:tr>
        <w:trPr>
          <w:trHeight w:val="111"/>
        </w:trPr>
        <w:tc>
          <w:tcPr>
            <w:tcW w:w="372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91"/>
        </w:trPr>
        <w:tc>
          <w:tcPr>
            <w:tcW w:w="37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21"/>
        </w:trPr>
        <w:tc>
          <w:tcPr>
            <w:tcW w:w="3720" w:type="dxa"/>
            <w:vAlign w:val="bottom"/>
            <w:shd w:val="clear" w:color="auto" w:fill="DDDDDD"/>
          </w:tcPr>
          <w:p>
            <w:pPr>
              <w:spacing w:after="0"/>
              <w:rPr>
                <w:sz w:val="19"/>
                <w:szCs w:val="19"/>
                <w:color w:val="auto"/>
              </w:rPr>
            </w:pPr>
          </w:p>
        </w:tc>
        <w:tc>
          <w:tcPr>
            <w:tcW w:w="4040" w:type="dxa"/>
            <w:vAlign w:val="bottom"/>
            <w:shd w:val="clear" w:color="auto" w:fill="DDDDDD"/>
          </w:tcPr>
          <w:p>
            <w:pPr>
              <w:jc w:val="right"/>
              <w:ind w:right="839"/>
              <w:spacing w:after="0"/>
              <w:rPr>
                <w:sz w:val="20"/>
                <w:szCs w:val="20"/>
                <w:color w:val="auto"/>
              </w:rPr>
            </w:pPr>
            <w:r>
              <w:rPr>
                <w:rFonts w:ascii="Arial" w:cs="Arial" w:eastAsia="Arial" w:hAnsi="Arial"/>
                <w:sz w:val="16"/>
                <w:szCs w:val="16"/>
                <w:b w:val="1"/>
                <w:bCs w:val="1"/>
                <w:color w:val="auto"/>
              </w:rPr>
              <w:t>$ 31.5</w:t>
            </w:r>
          </w:p>
        </w:tc>
        <w:tc>
          <w:tcPr>
            <w:tcW w:w="2120" w:type="dxa"/>
            <w:vAlign w:val="bottom"/>
            <w:shd w:val="clear" w:color="auto" w:fill="DDDDDD"/>
          </w:tcPr>
          <w:p>
            <w:pPr>
              <w:jc w:val="right"/>
              <w:ind w:right="779"/>
              <w:spacing w:after="0"/>
              <w:rPr>
                <w:sz w:val="20"/>
                <w:szCs w:val="20"/>
                <w:color w:val="auto"/>
              </w:rPr>
            </w:pPr>
            <w:r>
              <w:rPr>
                <w:rFonts w:ascii="Arial" w:cs="Arial" w:eastAsia="Arial" w:hAnsi="Arial"/>
                <w:sz w:val="16"/>
                <w:szCs w:val="16"/>
                <w:b w:val="1"/>
                <w:bCs w:val="1"/>
                <w:color w:val="auto"/>
              </w:rPr>
              <w:t>$ 54.6</w:t>
            </w:r>
          </w:p>
        </w:tc>
        <w:tc>
          <w:tcPr>
            <w:tcW w:w="1540" w:type="dxa"/>
            <w:vAlign w:val="bottom"/>
            <w:shd w:val="clear" w:color="auto" w:fill="DDDDDD"/>
          </w:tcPr>
          <w:p>
            <w:pPr>
              <w:jc w:val="right"/>
              <w:ind w:right="199"/>
              <w:spacing w:after="0"/>
              <w:rPr>
                <w:sz w:val="20"/>
                <w:szCs w:val="20"/>
                <w:color w:val="auto"/>
              </w:rPr>
            </w:pPr>
            <w:r>
              <w:rPr>
                <w:rFonts w:ascii="Arial" w:cs="Arial" w:eastAsia="Arial" w:hAnsi="Arial"/>
                <w:sz w:val="16"/>
                <w:szCs w:val="16"/>
                <w:b w:val="1"/>
                <w:bCs w:val="1"/>
                <w:color w:val="auto"/>
              </w:rPr>
              <w:t>$ 20.8</w:t>
            </w:r>
          </w:p>
        </w:tc>
        <w:tc>
          <w:tcPr>
            <w:tcW w:w="20" w:type="dxa"/>
            <w:vAlign w:val="bottom"/>
          </w:tcPr>
          <w:p>
            <w:pPr>
              <w:spacing w:after="0"/>
              <w:rPr>
                <w:sz w:val="19"/>
                <w:szCs w:val="19"/>
                <w:color w:val="auto"/>
              </w:rPr>
            </w:pPr>
          </w:p>
        </w:tc>
      </w:tr>
      <w:tr>
        <w:trPr>
          <w:trHeight w:val="119"/>
        </w:trPr>
        <w:tc>
          <w:tcPr>
            <w:tcW w:w="37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868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8685"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-2512695</wp:posOffset>
            </wp:positionV>
            <wp:extent cx="12700" cy="28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-2512695</wp:posOffset>
            </wp:positionV>
            <wp:extent cx="12700" cy="28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-1684020</wp:posOffset>
            </wp:positionV>
            <wp:extent cx="12700" cy="285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-1684020</wp:posOffset>
            </wp:positionV>
            <wp:extent cx="12700" cy="28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-855980</wp:posOffset>
            </wp:positionV>
            <wp:extent cx="12700" cy="285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-855980</wp:posOffset>
            </wp:positionV>
            <wp:extent cx="12700" cy="28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40"/>
        <w:spacing w:after="0" w:line="283" w:lineRule="auto"/>
        <w:rPr>
          <w:sz w:val="20"/>
          <w:szCs w:val="20"/>
          <w:color w:val="auto"/>
        </w:rPr>
      </w:pPr>
      <w:r>
        <w:rPr>
          <w:rFonts w:ascii="Arial" w:cs="Arial" w:eastAsia="Arial" w:hAnsi="Arial"/>
          <w:sz w:val="16"/>
          <w:szCs w:val="16"/>
          <w:color w:val="auto"/>
        </w:rPr>
        <w:t>The provisions for income taxes attributable to earnings before Cumulative effect of accounting change for the fiscal year ended May 31 differ from the amount of tax determined by applying the federal statutory rate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5868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540" w:type="dxa"/>
            <w:vAlign w:val="bottom"/>
          </w:tcPr>
          <w:p>
            <w:pPr>
              <w:jc w:val="right"/>
              <w:ind w:right="538"/>
              <w:spacing w:after="0"/>
              <w:rPr>
                <w:sz w:val="20"/>
                <w:szCs w:val="20"/>
                <w:color w:val="auto"/>
              </w:rPr>
            </w:pPr>
            <w:r>
              <w:rPr>
                <w:rFonts w:ascii="Arial" w:cs="Arial" w:eastAsia="Arial" w:hAnsi="Arial"/>
                <w:sz w:val="20"/>
                <w:szCs w:val="20"/>
                <w:b w:val="1"/>
                <w:bCs w:val="1"/>
                <w:color w:val="auto"/>
              </w:rPr>
              <w:t>2003</w:t>
            </w:r>
          </w:p>
        </w:tc>
        <w:tc>
          <w:tcPr>
            <w:tcW w:w="1480" w:type="dxa"/>
            <w:vAlign w:val="bottom"/>
          </w:tcPr>
          <w:p>
            <w:pPr>
              <w:jc w:val="right"/>
              <w:ind w:right="538"/>
              <w:spacing w:after="0"/>
              <w:rPr>
                <w:sz w:val="20"/>
                <w:szCs w:val="20"/>
                <w:color w:val="auto"/>
              </w:rPr>
            </w:pPr>
            <w:r>
              <w:rPr>
                <w:rFonts w:ascii="Arial" w:cs="Arial" w:eastAsia="Arial" w:hAnsi="Arial"/>
                <w:sz w:val="20"/>
                <w:szCs w:val="20"/>
                <w:b w:val="1"/>
                <w:bCs w:val="1"/>
                <w:color w:val="auto"/>
              </w:rPr>
              <w:t>2002</w:t>
            </w:r>
          </w:p>
        </w:tc>
        <w:tc>
          <w:tcPr>
            <w:tcW w:w="1280" w:type="dxa"/>
            <w:vAlign w:val="bottom"/>
          </w:tcPr>
          <w:p>
            <w:pPr>
              <w:jc w:val="right"/>
              <w:ind w:right="338"/>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100" w:type="dxa"/>
            <w:vAlign w:val="bottom"/>
            <w:tcBorders>
              <w:bottom w:val="single" w:sz="8" w:color="808080"/>
            </w:tcBorders>
          </w:tcPr>
          <w:p>
            <w:pPr>
              <w:spacing w:after="0"/>
              <w:rPr>
                <w:sz w:val="7"/>
                <w:szCs w:val="7"/>
                <w:color w:val="auto"/>
              </w:rPr>
            </w:pPr>
          </w:p>
        </w:tc>
        <w:tc>
          <w:tcPr>
            <w:tcW w:w="3540" w:type="dxa"/>
            <w:vAlign w:val="bottom"/>
            <w:tcBorders>
              <w:bottom w:val="single" w:sz="8" w:color="808080"/>
            </w:tcBorders>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5120" w:type="dxa"/>
            <w:vAlign w:val="bottom"/>
            <w:gridSpan w:val="2"/>
          </w:tcPr>
          <w:p>
            <w:pPr>
              <w:spacing w:after="0"/>
              <w:rPr>
                <w:sz w:val="20"/>
                <w:szCs w:val="20"/>
                <w:color w:val="auto"/>
              </w:rPr>
            </w:pPr>
            <w:r>
              <w:rPr>
                <w:rFonts w:ascii="Arial" w:cs="Arial" w:eastAsia="Arial" w:hAnsi="Arial"/>
                <w:sz w:val="16"/>
                <w:szCs w:val="16"/>
                <w:color w:val="auto"/>
              </w:rPr>
              <w:t>Computed federal</w:t>
            </w:r>
          </w:p>
        </w:tc>
        <w:tc>
          <w:tcPr>
            <w:tcW w:w="3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ind w:left="380"/>
              <w:spacing w:after="0"/>
              <w:rPr>
                <w:sz w:val="20"/>
                <w:szCs w:val="20"/>
                <w:color w:val="auto"/>
              </w:rPr>
            </w:pPr>
            <w:r>
              <w:rPr>
                <w:rFonts w:ascii="Arial" w:cs="Arial" w:eastAsia="Arial" w:hAnsi="Arial"/>
                <w:sz w:val="16"/>
                <w:szCs w:val="16"/>
                <w:color w:val="auto"/>
              </w:rPr>
              <w:t>statutory provision</w:t>
            </w:r>
          </w:p>
        </w:tc>
        <w:tc>
          <w:tcPr>
            <w:tcW w:w="3540" w:type="dxa"/>
            <w:vAlign w:val="bottom"/>
          </w:tcPr>
          <w:p>
            <w:pPr>
              <w:jc w:val="right"/>
              <w:ind w:right="538"/>
              <w:spacing w:after="0"/>
              <w:rPr>
                <w:sz w:val="20"/>
                <w:szCs w:val="20"/>
                <w:color w:val="auto"/>
              </w:rPr>
            </w:pPr>
            <w:r>
              <w:rPr>
                <w:rFonts w:ascii="Arial" w:cs="Arial" w:eastAsia="Arial" w:hAnsi="Arial"/>
                <w:sz w:val="16"/>
                <w:szCs w:val="16"/>
                <w:color w:val="auto"/>
              </w:rPr>
              <w:t>$ 31.5</w:t>
            </w:r>
          </w:p>
        </w:tc>
        <w:tc>
          <w:tcPr>
            <w:tcW w:w="1480" w:type="dxa"/>
            <w:vAlign w:val="bottom"/>
          </w:tcPr>
          <w:p>
            <w:pPr>
              <w:jc w:val="right"/>
              <w:ind w:right="538"/>
              <w:spacing w:after="0"/>
              <w:rPr>
                <w:sz w:val="20"/>
                <w:szCs w:val="20"/>
                <w:color w:val="auto"/>
              </w:rPr>
            </w:pPr>
            <w:r>
              <w:rPr>
                <w:rFonts w:ascii="Arial" w:cs="Arial" w:eastAsia="Arial" w:hAnsi="Arial"/>
                <w:sz w:val="16"/>
                <w:szCs w:val="16"/>
                <w:color w:val="auto"/>
              </w:rPr>
              <w:t>$ 53.7</w:t>
            </w:r>
          </w:p>
        </w:tc>
        <w:tc>
          <w:tcPr>
            <w:tcW w:w="1280" w:type="dxa"/>
            <w:vAlign w:val="bottom"/>
          </w:tcPr>
          <w:p>
            <w:pPr>
              <w:jc w:val="right"/>
              <w:ind w:right="338"/>
              <w:spacing w:after="0"/>
              <w:rPr>
                <w:sz w:val="20"/>
                <w:szCs w:val="20"/>
                <w:color w:val="auto"/>
              </w:rPr>
            </w:pPr>
            <w:r>
              <w:rPr>
                <w:rFonts w:ascii="Arial" w:cs="Arial" w:eastAsia="Arial" w:hAnsi="Arial"/>
                <w:sz w:val="16"/>
                <w:szCs w:val="16"/>
                <w:color w:val="auto"/>
              </w:rPr>
              <w:t>$ 20.0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DDDDDD"/>
          </w:tcPr>
          <w:p>
            <w:pPr>
              <w:spacing w:after="0"/>
              <w:rPr>
                <w:sz w:val="20"/>
                <w:szCs w:val="20"/>
                <w:color w:val="auto"/>
              </w:rPr>
            </w:pPr>
            <w:r>
              <w:rPr>
                <w:rFonts w:ascii="Arial" w:cs="Arial" w:eastAsia="Arial" w:hAnsi="Arial"/>
                <w:sz w:val="16"/>
                <w:szCs w:val="16"/>
                <w:color w:val="auto"/>
              </w:rPr>
              <w:t>State income tax provision,</w:t>
            </w:r>
          </w:p>
        </w:tc>
        <w:tc>
          <w:tcPr>
            <w:tcW w:w="3540" w:type="dxa"/>
            <w:vAlign w:val="bottom"/>
            <w:shd w:val="clear" w:color="auto" w:fill="DDDDDD"/>
          </w:tcPr>
          <w:p>
            <w:pPr>
              <w:spacing w:after="0"/>
              <w:rPr>
                <w:sz w:val="16"/>
                <w:szCs w:val="16"/>
                <w:color w:val="auto"/>
              </w:rPr>
            </w:pPr>
          </w:p>
        </w:tc>
        <w:tc>
          <w:tcPr>
            <w:tcW w:w="148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net of federal income tax benefit</w:t>
            </w:r>
          </w:p>
        </w:tc>
        <w:tc>
          <w:tcPr>
            <w:tcW w:w="3540" w:type="dxa"/>
            <w:vAlign w:val="bottom"/>
            <w:shd w:val="clear" w:color="auto" w:fill="DDDDDD"/>
          </w:tcPr>
          <w:p>
            <w:pPr>
              <w:jc w:val="right"/>
              <w:ind w:right="538"/>
              <w:spacing w:after="0"/>
              <w:rPr>
                <w:sz w:val="20"/>
                <w:szCs w:val="20"/>
                <w:color w:val="auto"/>
              </w:rPr>
            </w:pPr>
            <w:r>
              <w:rPr>
                <w:rFonts w:ascii="Arial" w:cs="Arial" w:eastAsia="Arial" w:hAnsi="Arial"/>
                <w:sz w:val="16"/>
                <w:szCs w:val="16"/>
                <w:color w:val="auto"/>
              </w:rPr>
              <w:t>2.8</w:t>
            </w:r>
          </w:p>
        </w:tc>
        <w:tc>
          <w:tcPr>
            <w:tcW w:w="1480" w:type="dxa"/>
            <w:vAlign w:val="bottom"/>
            <w:shd w:val="clear" w:color="auto" w:fill="DDDDDD"/>
          </w:tcPr>
          <w:p>
            <w:pPr>
              <w:jc w:val="right"/>
              <w:ind w:right="538"/>
              <w:spacing w:after="0"/>
              <w:rPr>
                <w:sz w:val="20"/>
                <w:szCs w:val="20"/>
                <w:color w:val="auto"/>
              </w:rPr>
            </w:pPr>
            <w:r>
              <w:rPr>
                <w:rFonts w:ascii="Arial" w:cs="Arial" w:eastAsia="Arial" w:hAnsi="Arial"/>
                <w:sz w:val="16"/>
                <w:szCs w:val="16"/>
                <w:color w:val="auto"/>
              </w:rPr>
              <w:t>3.6</w:t>
            </w:r>
          </w:p>
        </w:tc>
        <w:tc>
          <w:tcPr>
            <w:tcW w:w="1280" w:type="dxa"/>
            <w:vAlign w:val="bottom"/>
            <w:shd w:val="clear" w:color="auto" w:fill="DDDDDD"/>
          </w:tcPr>
          <w:p>
            <w:pPr>
              <w:jc w:val="right"/>
              <w:ind w:right="338"/>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Difference in effective tax rates</w:t>
            </w:r>
          </w:p>
        </w:tc>
        <w:tc>
          <w:tcPr>
            <w:tcW w:w="3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ind w:left="380"/>
              <w:spacing w:after="0"/>
              <w:rPr>
                <w:sz w:val="20"/>
                <w:szCs w:val="20"/>
                <w:color w:val="auto"/>
              </w:rPr>
            </w:pPr>
            <w:r>
              <w:rPr>
                <w:rFonts w:ascii="Arial" w:cs="Arial" w:eastAsia="Arial" w:hAnsi="Arial"/>
                <w:sz w:val="16"/>
                <w:szCs w:val="16"/>
                <w:color w:val="auto"/>
              </w:rPr>
              <w:t>on earnings of foreign subsidiaries</w:t>
            </w:r>
          </w:p>
        </w:tc>
        <w:tc>
          <w:tcPr>
            <w:tcW w:w="3540" w:type="dxa"/>
            <w:vAlign w:val="bottom"/>
          </w:tcPr>
          <w:p>
            <w:pPr>
              <w:jc w:val="right"/>
              <w:ind w:right="498"/>
              <w:spacing w:after="0"/>
              <w:rPr>
                <w:sz w:val="20"/>
                <w:szCs w:val="20"/>
                <w:color w:val="auto"/>
              </w:rPr>
            </w:pPr>
            <w:r>
              <w:rPr>
                <w:rFonts w:ascii="Arial" w:cs="Arial" w:eastAsia="Arial" w:hAnsi="Arial"/>
                <w:sz w:val="16"/>
                <w:szCs w:val="16"/>
                <w:color w:val="auto"/>
              </w:rPr>
              <w:t>(1.4)</w:t>
            </w:r>
          </w:p>
        </w:tc>
        <w:tc>
          <w:tcPr>
            <w:tcW w:w="1480" w:type="dxa"/>
            <w:vAlign w:val="bottom"/>
          </w:tcPr>
          <w:p>
            <w:pPr>
              <w:jc w:val="right"/>
              <w:ind w:right="498"/>
              <w:spacing w:after="0"/>
              <w:rPr>
                <w:sz w:val="20"/>
                <w:szCs w:val="20"/>
                <w:color w:val="auto"/>
              </w:rPr>
            </w:pPr>
            <w:r>
              <w:rPr>
                <w:rFonts w:ascii="Arial" w:cs="Arial" w:eastAsia="Arial" w:hAnsi="Arial"/>
                <w:sz w:val="16"/>
                <w:szCs w:val="16"/>
                <w:color w:val="auto"/>
              </w:rPr>
              <w:t>(0.7)</w:t>
            </w:r>
          </w:p>
        </w:tc>
        <w:tc>
          <w:tcPr>
            <w:tcW w:w="1280" w:type="dxa"/>
            <w:vAlign w:val="bottom"/>
          </w:tcPr>
          <w:p>
            <w:pPr>
              <w:jc w:val="right"/>
              <w:ind w:right="338"/>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DDDDDD"/>
          </w:tcPr>
          <w:p>
            <w:pPr>
              <w:spacing w:after="0"/>
              <w:rPr>
                <w:sz w:val="20"/>
                <w:szCs w:val="20"/>
                <w:color w:val="auto"/>
              </w:rPr>
            </w:pPr>
            <w:r>
              <w:rPr>
                <w:rFonts w:ascii="Arial" w:cs="Arial" w:eastAsia="Arial" w:hAnsi="Arial"/>
                <w:sz w:val="16"/>
                <w:szCs w:val="16"/>
                <w:color w:val="auto"/>
              </w:rPr>
              <w:t>Charitable contributions</w:t>
            </w:r>
          </w:p>
        </w:tc>
        <w:tc>
          <w:tcPr>
            <w:tcW w:w="3540" w:type="dxa"/>
            <w:vAlign w:val="bottom"/>
            <w:shd w:val="clear" w:color="auto" w:fill="DDDDDD"/>
          </w:tcPr>
          <w:p>
            <w:pPr>
              <w:jc w:val="right"/>
              <w:ind w:right="498"/>
              <w:spacing w:after="0"/>
              <w:rPr>
                <w:sz w:val="20"/>
                <w:szCs w:val="20"/>
                <w:color w:val="auto"/>
              </w:rPr>
            </w:pPr>
            <w:r>
              <w:rPr>
                <w:rFonts w:ascii="Arial" w:cs="Arial" w:eastAsia="Arial" w:hAnsi="Arial"/>
                <w:sz w:val="16"/>
                <w:szCs w:val="16"/>
                <w:color w:val="auto"/>
              </w:rPr>
              <w:t>(1.4)</w:t>
            </w:r>
          </w:p>
        </w:tc>
        <w:tc>
          <w:tcPr>
            <w:tcW w:w="1480" w:type="dxa"/>
            <w:vAlign w:val="bottom"/>
            <w:shd w:val="clear" w:color="auto" w:fill="DDDDDD"/>
          </w:tcPr>
          <w:p>
            <w:pPr>
              <w:jc w:val="right"/>
              <w:ind w:right="498"/>
              <w:spacing w:after="0"/>
              <w:rPr>
                <w:sz w:val="20"/>
                <w:szCs w:val="20"/>
                <w:color w:val="auto"/>
              </w:rPr>
            </w:pPr>
            <w:r>
              <w:rPr>
                <w:rFonts w:ascii="Arial" w:cs="Arial" w:eastAsia="Arial" w:hAnsi="Arial"/>
                <w:sz w:val="16"/>
                <w:szCs w:val="16"/>
                <w:color w:val="auto"/>
              </w:rPr>
              <w:t>(1.8)</w:t>
            </w:r>
          </w:p>
        </w:tc>
        <w:tc>
          <w:tcPr>
            <w:tcW w:w="1280" w:type="dxa"/>
            <w:vAlign w:val="bottom"/>
            <w:shd w:val="clear" w:color="auto" w:fill="DDDDDD"/>
          </w:tcPr>
          <w:p>
            <w:pPr>
              <w:jc w:val="right"/>
              <w:ind w:right="278"/>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Other — net</w:t>
            </w:r>
          </w:p>
        </w:tc>
        <w:tc>
          <w:tcPr>
            <w:tcW w:w="3540" w:type="dxa"/>
            <w:vAlign w:val="bottom"/>
          </w:tcPr>
          <w:p>
            <w:pPr>
              <w:jc w:val="right"/>
              <w:ind w:right="538"/>
              <w:spacing w:after="0"/>
              <w:rPr>
                <w:sz w:val="20"/>
                <w:szCs w:val="20"/>
                <w:color w:val="auto"/>
              </w:rPr>
            </w:pPr>
            <w:r>
              <w:rPr>
                <w:rFonts w:ascii="Arial" w:cs="Arial" w:eastAsia="Arial" w:hAnsi="Arial"/>
                <w:sz w:val="16"/>
                <w:szCs w:val="16"/>
                <w:color w:val="auto"/>
              </w:rPr>
              <w:t>0.0</w:t>
            </w:r>
          </w:p>
        </w:tc>
        <w:tc>
          <w:tcPr>
            <w:tcW w:w="1480" w:type="dxa"/>
            <w:vAlign w:val="bottom"/>
          </w:tcPr>
          <w:p>
            <w:pPr>
              <w:jc w:val="right"/>
              <w:ind w:right="498"/>
              <w:spacing w:after="0"/>
              <w:rPr>
                <w:sz w:val="20"/>
                <w:szCs w:val="20"/>
                <w:color w:val="auto"/>
              </w:rPr>
            </w:pPr>
            <w:r>
              <w:rPr>
                <w:rFonts w:ascii="Arial" w:cs="Arial" w:eastAsia="Arial" w:hAnsi="Arial"/>
                <w:sz w:val="16"/>
                <w:szCs w:val="16"/>
                <w:color w:val="auto"/>
              </w:rPr>
              <w:t>(0.2)</w:t>
            </w:r>
          </w:p>
        </w:tc>
        <w:tc>
          <w:tcPr>
            <w:tcW w:w="1280" w:type="dxa"/>
            <w:vAlign w:val="bottom"/>
          </w:tcPr>
          <w:p>
            <w:pPr>
              <w:jc w:val="right"/>
              <w:ind w:right="278"/>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808080"/>
            </w:tcBorders>
            <w:gridSpan w:val="2"/>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1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10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Total provision for income taxes</w:t>
            </w:r>
          </w:p>
        </w:tc>
        <w:tc>
          <w:tcPr>
            <w:tcW w:w="3540" w:type="dxa"/>
            <w:vAlign w:val="bottom"/>
            <w:shd w:val="clear" w:color="auto" w:fill="DDDDDD"/>
          </w:tcPr>
          <w:p>
            <w:pPr>
              <w:jc w:val="right"/>
              <w:ind w:right="538"/>
              <w:spacing w:after="0"/>
              <w:rPr>
                <w:sz w:val="20"/>
                <w:szCs w:val="20"/>
                <w:color w:val="auto"/>
              </w:rPr>
            </w:pPr>
            <w:r>
              <w:rPr>
                <w:rFonts w:ascii="Arial" w:cs="Arial" w:eastAsia="Arial" w:hAnsi="Arial"/>
                <w:sz w:val="16"/>
                <w:szCs w:val="16"/>
                <w:b w:val="1"/>
                <w:bCs w:val="1"/>
                <w:color w:val="auto"/>
              </w:rPr>
              <w:t>$ 31.5</w:t>
            </w:r>
          </w:p>
        </w:tc>
        <w:tc>
          <w:tcPr>
            <w:tcW w:w="1480" w:type="dxa"/>
            <w:vAlign w:val="bottom"/>
            <w:shd w:val="clear" w:color="auto" w:fill="DDDDDD"/>
          </w:tcPr>
          <w:p>
            <w:pPr>
              <w:jc w:val="right"/>
              <w:ind w:right="538"/>
              <w:spacing w:after="0"/>
              <w:rPr>
                <w:sz w:val="20"/>
                <w:szCs w:val="20"/>
                <w:color w:val="auto"/>
              </w:rPr>
            </w:pPr>
            <w:r>
              <w:rPr>
                <w:rFonts w:ascii="Arial" w:cs="Arial" w:eastAsia="Arial" w:hAnsi="Arial"/>
                <w:sz w:val="16"/>
                <w:szCs w:val="16"/>
                <w:b w:val="1"/>
                <w:bCs w:val="1"/>
                <w:color w:val="auto"/>
              </w:rPr>
              <w:t>$ 54.6</w:t>
            </w:r>
          </w:p>
        </w:tc>
        <w:tc>
          <w:tcPr>
            <w:tcW w:w="1280" w:type="dxa"/>
            <w:vAlign w:val="bottom"/>
            <w:shd w:val="clear" w:color="auto" w:fill="DDDDDD"/>
          </w:tcPr>
          <w:p>
            <w:pPr>
              <w:jc w:val="right"/>
              <w:ind w:right="338"/>
              <w:spacing w:after="0"/>
              <w:rPr>
                <w:sz w:val="20"/>
                <w:szCs w:val="20"/>
                <w:color w:val="auto"/>
              </w:rPr>
            </w:pPr>
            <w:r>
              <w:rPr>
                <w:rFonts w:ascii="Arial" w:cs="Arial" w:eastAsia="Arial" w:hAnsi="Arial"/>
                <w:sz w:val="16"/>
                <w:szCs w:val="16"/>
                <w:b w:val="1"/>
                <w:bCs w:val="1"/>
                <w:color w:val="auto"/>
              </w:rPr>
              <w:t>$ 20.8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5120" w:type="dxa"/>
            <w:vAlign w:val="bottom"/>
            <w:tcBorders>
              <w:bottom w:val="single" w:sz="8" w:color="808080"/>
            </w:tcBorders>
            <w:gridSpan w:val="2"/>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Effective tax rates</w:t>
            </w:r>
          </w:p>
        </w:tc>
        <w:tc>
          <w:tcPr>
            <w:tcW w:w="3540" w:type="dxa"/>
            <w:vAlign w:val="bottom"/>
          </w:tcPr>
          <w:p>
            <w:pPr>
              <w:jc w:val="right"/>
              <w:ind w:right="378"/>
              <w:spacing w:after="0"/>
              <w:rPr>
                <w:sz w:val="20"/>
                <w:szCs w:val="20"/>
                <w:color w:val="auto"/>
              </w:rPr>
            </w:pPr>
            <w:r>
              <w:rPr>
                <w:rFonts w:ascii="Arial" w:cs="Arial" w:eastAsia="Arial" w:hAnsi="Arial"/>
                <w:sz w:val="16"/>
                <w:szCs w:val="16"/>
                <w:b w:val="1"/>
                <w:bCs w:val="1"/>
                <w:color w:val="auto"/>
              </w:rPr>
              <w:t>35.0%</w:t>
            </w:r>
          </w:p>
        </w:tc>
        <w:tc>
          <w:tcPr>
            <w:tcW w:w="1480" w:type="dxa"/>
            <w:vAlign w:val="bottom"/>
          </w:tcPr>
          <w:p>
            <w:pPr>
              <w:jc w:val="right"/>
              <w:ind w:right="378"/>
              <w:spacing w:after="0"/>
              <w:rPr>
                <w:sz w:val="20"/>
                <w:szCs w:val="20"/>
                <w:color w:val="auto"/>
              </w:rPr>
            </w:pPr>
            <w:r>
              <w:rPr>
                <w:rFonts w:ascii="Arial" w:cs="Arial" w:eastAsia="Arial" w:hAnsi="Arial"/>
                <w:sz w:val="16"/>
                <w:szCs w:val="16"/>
                <w:b w:val="1"/>
                <w:bCs w:val="1"/>
                <w:color w:val="auto"/>
              </w:rPr>
              <w:t>35.6%</w:t>
            </w:r>
          </w:p>
        </w:tc>
        <w:tc>
          <w:tcPr>
            <w:tcW w:w="1280" w:type="dxa"/>
            <w:vAlign w:val="bottom"/>
          </w:tcPr>
          <w:p>
            <w:pPr>
              <w:jc w:val="right"/>
              <w:ind w:right="178"/>
              <w:spacing w:after="0"/>
              <w:rPr>
                <w:sz w:val="20"/>
                <w:szCs w:val="20"/>
                <w:color w:val="auto"/>
              </w:rPr>
            </w:pPr>
            <w:r>
              <w:rPr>
                <w:rFonts w:ascii="Arial" w:cs="Arial" w:eastAsia="Arial" w:hAnsi="Arial"/>
                <w:sz w:val="16"/>
                <w:szCs w:val="16"/>
                <w:b w:val="1"/>
                <w:bCs w:val="1"/>
                <w:color w:val="auto"/>
              </w:rPr>
              <w:t>36.5%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5100" w:type="dxa"/>
            <w:vAlign w:val="bottom"/>
            <w:tcBorders>
              <w:bottom w:val="single" w:sz="8" w:color="808080"/>
            </w:tcBorders>
          </w:tcPr>
          <w:p>
            <w:pPr>
              <w:spacing w:after="0"/>
              <w:rPr>
                <w:sz w:val="12"/>
                <w:szCs w:val="12"/>
                <w:color w:val="auto"/>
              </w:rPr>
            </w:pPr>
          </w:p>
        </w:tc>
        <w:tc>
          <w:tcPr>
            <w:tcW w:w="354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-316865</wp:posOffset>
            </wp:positionV>
            <wp:extent cx="12700" cy="28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-316865</wp:posOffset>
            </wp:positionV>
            <wp:extent cx="12700" cy="285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undistributed earnings of foreign subsidiaries at May 31, 2003 are $18.1. Any remittance of foreign earnings would not result in any significant additional tax.</w:t>
      </w:r>
    </w:p>
    <w:p>
      <w:pPr>
        <w:spacing w:after="0" w:line="210" w:lineRule="exact"/>
        <w:rPr>
          <w:sz w:val="20"/>
          <w:szCs w:val="20"/>
          <w:color w:val="auto"/>
        </w:rPr>
      </w:pPr>
    </w:p>
    <w:p>
      <w:pPr>
        <w:ind w:right="640"/>
        <w:spacing w:after="0" w:line="283" w:lineRule="auto"/>
        <w:rPr>
          <w:sz w:val="20"/>
          <w:szCs w:val="20"/>
          <w:color w:val="auto"/>
        </w:rPr>
      </w:pPr>
      <w:r>
        <w:rPr>
          <w:rFonts w:ascii="Arial" w:cs="Arial" w:eastAsia="Arial" w:hAnsi="Arial"/>
          <w:sz w:val="16"/>
          <w:szCs w:val="16"/>
          <w:color w:val="auto"/>
        </w:rPr>
        <w:t>At May 31, 2003, the Company has a charitable deduction carryforward of $9.6, which expires in the fiscal years ending May 31, 2007 and 2008 and a foreign tax credit carryforward of $0.8 which expires in the fiscal year ending May 31, 2007.</w:t>
      </w:r>
    </w:p>
    <w:p>
      <w:pPr>
        <w:spacing w:after="0" w:line="157"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and the amounts used for income tax purposes as determined under enacted tax laws and rates. The tax effects of items that give rise to deferred tax assets and liabilities as of May 31 for the indicated fiscal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173990</wp:posOffset>
            </wp:positionV>
            <wp:extent cx="725868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60" w:type="dxa"/>
            <w:vAlign w:val="bottom"/>
          </w:tcPr>
          <w:p>
            <w:pPr>
              <w:spacing w:after="0"/>
              <w:rPr>
                <w:sz w:val="22"/>
                <w:szCs w:val="22"/>
                <w:color w:val="auto"/>
              </w:rPr>
            </w:pPr>
          </w:p>
        </w:tc>
        <w:tc>
          <w:tcPr>
            <w:tcW w:w="4340" w:type="dxa"/>
            <w:vAlign w:val="bottom"/>
          </w:tcPr>
          <w:p>
            <w:pPr>
              <w:jc w:val="right"/>
              <w:ind w:right="478"/>
              <w:spacing w:after="0"/>
              <w:rPr>
                <w:sz w:val="20"/>
                <w:szCs w:val="20"/>
                <w:color w:val="auto"/>
              </w:rPr>
            </w:pPr>
            <w:r>
              <w:rPr>
                <w:rFonts w:ascii="Arial" w:cs="Arial" w:eastAsia="Arial" w:hAnsi="Arial"/>
                <w:sz w:val="20"/>
                <w:szCs w:val="20"/>
                <w:b w:val="1"/>
                <w:bCs w:val="1"/>
                <w:color w:val="auto"/>
              </w:rPr>
              <w:t>2003</w:t>
            </w:r>
          </w:p>
        </w:tc>
        <w:tc>
          <w:tcPr>
            <w:tcW w:w="1120" w:type="dxa"/>
            <w:vAlign w:val="bottom"/>
          </w:tcPr>
          <w:p>
            <w:pPr>
              <w:jc w:val="right"/>
              <w:ind w:right="118"/>
              <w:spacing w:after="0"/>
              <w:rPr>
                <w:sz w:val="20"/>
                <w:szCs w:val="20"/>
                <w:color w:val="auto"/>
              </w:rPr>
            </w:pPr>
            <w:r>
              <w:rPr>
                <w:rFonts w:ascii="Arial" w:cs="Arial" w:eastAsia="Arial" w:hAnsi="Arial"/>
                <w:sz w:val="20"/>
                <w:szCs w:val="20"/>
                <w:b w:val="1"/>
                <w:bCs w:val="1"/>
                <w:color w:val="auto"/>
              </w:rPr>
              <w:t>2002</w:t>
            </w:r>
          </w:p>
        </w:tc>
        <w:tc>
          <w:tcPr>
            <w:tcW w:w="20" w:type="dxa"/>
            <w:vAlign w:val="bottom"/>
          </w:tcPr>
          <w:p>
            <w:pPr>
              <w:spacing w:after="0"/>
              <w:rPr>
                <w:sz w:val="22"/>
                <w:szCs w:val="22"/>
                <w:color w:val="auto"/>
              </w:rPr>
            </w:pPr>
          </w:p>
        </w:tc>
      </w:tr>
      <w:tr>
        <w:trPr>
          <w:trHeight w:val="90"/>
        </w:trPr>
        <w:tc>
          <w:tcPr>
            <w:tcW w:w="5960" w:type="dxa"/>
            <w:vAlign w:val="bottom"/>
            <w:tcBorders>
              <w:bottom w:val="single" w:sz="8" w:color="808080"/>
            </w:tcBorders>
          </w:tcPr>
          <w:p>
            <w:pPr>
              <w:spacing w:after="0"/>
              <w:rPr>
                <w:sz w:val="7"/>
                <w:szCs w:val="7"/>
                <w:color w:val="auto"/>
              </w:rPr>
            </w:pPr>
          </w:p>
        </w:tc>
        <w:tc>
          <w:tcPr>
            <w:tcW w:w="434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86"/>
        </w:trPr>
        <w:tc>
          <w:tcPr>
            <w:tcW w:w="5960" w:type="dxa"/>
            <w:vAlign w:val="bottom"/>
          </w:tcPr>
          <w:p>
            <w:pPr>
              <w:spacing w:after="0"/>
              <w:rPr>
                <w:sz w:val="20"/>
                <w:szCs w:val="20"/>
                <w:color w:val="auto"/>
              </w:rPr>
            </w:pPr>
            <w:r>
              <w:rPr>
                <w:rFonts w:ascii="Arial" w:cs="Arial" w:eastAsia="Arial" w:hAnsi="Arial"/>
                <w:sz w:val="16"/>
                <w:szCs w:val="16"/>
                <w:color w:val="auto"/>
              </w:rPr>
              <w:t>Net deferred tax assets:</w:t>
            </w:r>
          </w:p>
        </w:tc>
        <w:tc>
          <w:tcPr>
            <w:tcW w:w="4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5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5960" w:type="dxa"/>
            <w:vAlign w:val="bottom"/>
            <w:shd w:val="clear" w:color="auto" w:fill="DDDDDD"/>
          </w:tcPr>
          <w:p>
            <w:pPr>
              <w:ind w:left="400"/>
              <w:spacing w:after="0"/>
              <w:rPr>
                <w:sz w:val="20"/>
                <w:szCs w:val="20"/>
                <w:color w:val="auto"/>
              </w:rPr>
            </w:pPr>
            <w:r>
              <w:rPr>
                <w:rFonts w:ascii="Arial" w:cs="Arial" w:eastAsia="Arial" w:hAnsi="Arial"/>
                <w:sz w:val="16"/>
                <w:szCs w:val="16"/>
                <w:color w:val="auto"/>
              </w:rPr>
              <w:t>Tax uniform capitalization</w:t>
            </w:r>
          </w:p>
        </w:tc>
        <w:tc>
          <w:tcPr>
            <w:tcW w:w="4340" w:type="dxa"/>
            <w:vAlign w:val="bottom"/>
            <w:shd w:val="clear" w:color="auto" w:fill="DDDDDD"/>
          </w:tcPr>
          <w:p>
            <w:pPr>
              <w:jc w:val="right"/>
              <w:ind w:right="478"/>
              <w:spacing w:after="0"/>
              <w:rPr>
                <w:sz w:val="20"/>
                <w:szCs w:val="20"/>
                <w:color w:val="auto"/>
              </w:rPr>
            </w:pPr>
            <w:r>
              <w:rPr>
                <w:rFonts w:ascii="Arial" w:cs="Arial" w:eastAsia="Arial" w:hAnsi="Arial"/>
                <w:sz w:val="16"/>
                <w:szCs w:val="16"/>
                <w:color w:val="auto"/>
              </w:rPr>
              <w:t>$ 24.3</w:t>
            </w:r>
          </w:p>
        </w:tc>
        <w:tc>
          <w:tcPr>
            <w:tcW w:w="1120" w:type="dxa"/>
            <w:vAlign w:val="bottom"/>
            <w:shd w:val="clear" w:color="auto" w:fill="DDDDDD"/>
          </w:tcPr>
          <w:p>
            <w:pPr>
              <w:jc w:val="right"/>
              <w:ind w:right="118"/>
              <w:spacing w:after="0"/>
              <w:rPr>
                <w:sz w:val="20"/>
                <w:szCs w:val="20"/>
                <w:color w:val="auto"/>
              </w:rPr>
            </w:pPr>
            <w:r>
              <w:rPr>
                <w:rFonts w:ascii="Arial" w:cs="Arial" w:eastAsia="Arial" w:hAnsi="Arial"/>
                <w:sz w:val="16"/>
                <w:szCs w:val="16"/>
                <w:color w:val="auto"/>
              </w:rPr>
              <w:t>$ 26.5</w:t>
            </w:r>
          </w:p>
        </w:tc>
        <w:tc>
          <w:tcPr>
            <w:tcW w:w="20" w:type="dxa"/>
            <w:vAlign w:val="bottom"/>
          </w:tcPr>
          <w:p>
            <w:pPr>
              <w:spacing w:after="0"/>
              <w:rPr>
                <w:sz w:val="19"/>
                <w:szCs w:val="19"/>
                <w:color w:val="auto"/>
              </w:rPr>
            </w:pPr>
          </w:p>
        </w:tc>
      </w:tr>
      <w:tr>
        <w:trPr>
          <w:trHeight w:val="213"/>
        </w:trPr>
        <w:tc>
          <w:tcPr>
            <w:tcW w:w="5960" w:type="dxa"/>
            <w:vAlign w:val="bottom"/>
          </w:tcPr>
          <w:p>
            <w:pPr>
              <w:ind w:left="400"/>
              <w:spacing w:after="0"/>
              <w:rPr>
                <w:sz w:val="20"/>
                <w:szCs w:val="20"/>
                <w:color w:val="auto"/>
              </w:rPr>
            </w:pPr>
            <w:r>
              <w:rPr>
                <w:rFonts w:ascii="Arial" w:cs="Arial" w:eastAsia="Arial" w:hAnsi="Arial"/>
                <w:sz w:val="16"/>
                <w:szCs w:val="16"/>
                <w:color w:val="auto"/>
              </w:rPr>
              <w:t>Inventory reserves</w:t>
            </w:r>
          </w:p>
        </w:tc>
        <w:tc>
          <w:tcPr>
            <w:tcW w:w="4340" w:type="dxa"/>
            <w:vAlign w:val="bottom"/>
          </w:tcPr>
          <w:p>
            <w:pPr>
              <w:jc w:val="right"/>
              <w:ind w:right="478"/>
              <w:spacing w:after="0"/>
              <w:rPr>
                <w:sz w:val="20"/>
                <w:szCs w:val="20"/>
                <w:color w:val="auto"/>
              </w:rPr>
            </w:pPr>
            <w:r>
              <w:rPr>
                <w:rFonts w:ascii="Arial" w:cs="Arial" w:eastAsia="Arial" w:hAnsi="Arial"/>
                <w:sz w:val="16"/>
                <w:szCs w:val="16"/>
                <w:color w:val="auto"/>
              </w:rPr>
              <w:t>16.7</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8"/>
                <w:szCs w:val="18"/>
                <w:color w:val="auto"/>
              </w:rPr>
            </w:pPr>
          </w:p>
        </w:tc>
      </w:tr>
      <w:tr>
        <w:trPr>
          <w:trHeight w:val="230"/>
        </w:trPr>
        <w:tc>
          <w:tcPr>
            <w:tcW w:w="59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Allowance for doubtful accounts</w:t>
            </w:r>
          </w:p>
        </w:tc>
        <w:tc>
          <w:tcPr>
            <w:tcW w:w="4340" w:type="dxa"/>
            <w:vAlign w:val="bottom"/>
            <w:shd w:val="clear" w:color="auto" w:fill="DDDDDD"/>
          </w:tcPr>
          <w:p>
            <w:pPr>
              <w:jc w:val="right"/>
              <w:ind w:right="478"/>
              <w:spacing w:after="0"/>
              <w:rPr>
                <w:sz w:val="20"/>
                <w:szCs w:val="20"/>
                <w:color w:val="auto"/>
              </w:rPr>
            </w:pPr>
            <w:r>
              <w:rPr>
                <w:rFonts w:ascii="Arial" w:cs="Arial" w:eastAsia="Arial" w:hAnsi="Arial"/>
                <w:sz w:val="16"/>
                <w:szCs w:val="16"/>
                <w:color w:val="auto"/>
              </w:rPr>
              <w:t>19.6</w:t>
            </w:r>
          </w:p>
        </w:tc>
        <w:tc>
          <w:tcPr>
            <w:tcW w:w="1120" w:type="dxa"/>
            <w:vAlign w:val="bottom"/>
            <w:shd w:val="clear" w:color="auto" w:fill="DDDDDD"/>
          </w:tcPr>
          <w:p>
            <w:pPr>
              <w:jc w:val="right"/>
              <w:ind w:right="118"/>
              <w:spacing w:after="0"/>
              <w:rPr>
                <w:sz w:val="20"/>
                <w:szCs w:val="20"/>
                <w:color w:val="auto"/>
              </w:rPr>
            </w:pPr>
            <w:r>
              <w:rPr>
                <w:rFonts w:ascii="Arial" w:cs="Arial" w:eastAsia="Arial" w:hAnsi="Arial"/>
                <w:sz w:val="16"/>
                <w:szCs w:val="16"/>
                <w:color w:val="auto"/>
              </w:rPr>
              <w:t>19.9</w:t>
            </w:r>
          </w:p>
        </w:tc>
        <w:tc>
          <w:tcPr>
            <w:tcW w:w="20" w:type="dxa"/>
            <w:vAlign w:val="bottom"/>
          </w:tcPr>
          <w:p>
            <w:pPr>
              <w:spacing w:after="0"/>
              <w:rPr>
                <w:sz w:val="19"/>
                <w:szCs w:val="19"/>
                <w:color w:val="auto"/>
              </w:rPr>
            </w:pPr>
          </w:p>
        </w:tc>
      </w:tr>
      <w:tr>
        <w:trPr>
          <w:trHeight w:val="213"/>
        </w:trPr>
        <w:tc>
          <w:tcPr>
            <w:tcW w:w="5960" w:type="dxa"/>
            <w:vAlign w:val="bottom"/>
          </w:tcPr>
          <w:p>
            <w:pPr>
              <w:ind w:left="400"/>
              <w:spacing w:after="0"/>
              <w:rPr>
                <w:sz w:val="20"/>
                <w:szCs w:val="20"/>
                <w:color w:val="auto"/>
              </w:rPr>
            </w:pPr>
            <w:r>
              <w:rPr>
                <w:rFonts w:ascii="Arial" w:cs="Arial" w:eastAsia="Arial" w:hAnsi="Arial"/>
                <w:sz w:val="16"/>
                <w:szCs w:val="16"/>
                <w:color w:val="auto"/>
              </w:rPr>
              <w:t>Other accounting reserves</w:t>
            </w:r>
          </w:p>
        </w:tc>
        <w:tc>
          <w:tcPr>
            <w:tcW w:w="4340" w:type="dxa"/>
            <w:vAlign w:val="bottom"/>
          </w:tcPr>
          <w:p>
            <w:pPr>
              <w:jc w:val="right"/>
              <w:ind w:right="478"/>
              <w:spacing w:after="0"/>
              <w:rPr>
                <w:sz w:val="20"/>
                <w:szCs w:val="20"/>
                <w:color w:val="auto"/>
              </w:rPr>
            </w:pPr>
            <w:r>
              <w:rPr>
                <w:rFonts w:ascii="Arial" w:cs="Arial" w:eastAsia="Arial" w:hAnsi="Arial"/>
                <w:sz w:val="16"/>
                <w:szCs w:val="16"/>
                <w:color w:val="auto"/>
              </w:rPr>
              <w:t>18.4</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8"/>
                <w:szCs w:val="18"/>
                <w:color w:val="auto"/>
              </w:rPr>
            </w:pPr>
          </w:p>
        </w:tc>
      </w:tr>
      <w:tr>
        <w:trPr>
          <w:trHeight w:val="196"/>
        </w:trPr>
        <w:tc>
          <w:tcPr>
            <w:tcW w:w="5960" w:type="dxa"/>
            <w:vAlign w:val="bottom"/>
            <w:shd w:val="clear" w:color="auto" w:fill="DDDDDD"/>
          </w:tcPr>
          <w:p>
            <w:pPr>
              <w:ind w:left="400"/>
              <w:spacing w:after="0"/>
              <w:rPr>
                <w:sz w:val="20"/>
                <w:szCs w:val="20"/>
                <w:color w:val="auto"/>
              </w:rPr>
            </w:pPr>
            <w:r>
              <w:rPr>
                <w:rFonts w:ascii="Arial" w:cs="Arial" w:eastAsia="Arial" w:hAnsi="Arial"/>
                <w:sz w:val="16"/>
                <w:szCs w:val="16"/>
                <w:color w:val="auto"/>
              </w:rPr>
              <w:t>Post-retirement, post-employment</w:t>
            </w:r>
          </w:p>
        </w:tc>
        <w:tc>
          <w:tcPr>
            <w:tcW w:w="434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5960" w:type="dxa"/>
            <w:vAlign w:val="bottom"/>
            <w:shd w:val="clear" w:color="auto" w:fill="DDDDDD"/>
          </w:tcPr>
          <w:p>
            <w:pPr>
              <w:ind w:left="800"/>
              <w:spacing w:after="0"/>
              <w:rPr>
                <w:sz w:val="20"/>
                <w:szCs w:val="20"/>
                <w:color w:val="auto"/>
              </w:rPr>
            </w:pPr>
            <w:r>
              <w:rPr>
                <w:rFonts w:ascii="Arial" w:cs="Arial" w:eastAsia="Arial" w:hAnsi="Arial"/>
                <w:sz w:val="16"/>
                <w:szCs w:val="16"/>
                <w:color w:val="auto"/>
              </w:rPr>
              <w:t>and pension obligations</w:t>
            </w:r>
          </w:p>
        </w:tc>
        <w:tc>
          <w:tcPr>
            <w:tcW w:w="4340" w:type="dxa"/>
            <w:vAlign w:val="bottom"/>
            <w:shd w:val="clear" w:color="auto" w:fill="DDDDDD"/>
          </w:tcPr>
          <w:p>
            <w:pPr>
              <w:jc w:val="right"/>
              <w:ind w:right="478"/>
              <w:spacing w:after="0"/>
              <w:rPr>
                <w:sz w:val="20"/>
                <w:szCs w:val="20"/>
                <w:color w:val="auto"/>
              </w:rPr>
            </w:pPr>
            <w:r>
              <w:rPr>
                <w:rFonts w:ascii="Arial" w:cs="Arial" w:eastAsia="Arial" w:hAnsi="Arial"/>
                <w:sz w:val="16"/>
                <w:szCs w:val="16"/>
                <w:color w:val="auto"/>
              </w:rPr>
              <w:t>21.3</w:t>
            </w:r>
          </w:p>
        </w:tc>
        <w:tc>
          <w:tcPr>
            <w:tcW w:w="1120" w:type="dxa"/>
            <w:vAlign w:val="bottom"/>
            <w:shd w:val="clear" w:color="auto" w:fill="DDDDDD"/>
          </w:tcPr>
          <w:p>
            <w:pPr>
              <w:jc w:val="right"/>
              <w:ind w:right="118"/>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7"/>
                <w:szCs w:val="17"/>
                <w:color w:val="auto"/>
              </w:rPr>
            </w:pPr>
          </w:p>
        </w:tc>
      </w:tr>
      <w:tr>
        <w:trPr>
          <w:trHeight w:val="213"/>
        </w:trPr>
        <w:tc>
          <w:tcPr>
            <w:tcW w:w="5960" w:type="dxa"/>
            <w:vAlign w:val="bottom"/>
          </w:tcPr>
          <w:p>
            <w:pPr>
              <w:ind w:left="400"/>
              <w:spacing w:after="0"/>
              <w:rPr>
                <w:sz w:val="20"/>
                <w:szCs w:val="20"/>
                <w:color w:val="auto"/>
              </w:rPr>
            </w:pPr>
            <w:r>
              <w:rPr>
                <w:rFonts w:ascii="Arial" w:cs="Arial" w:eastAsia="Arial" w:hAnsi="Arial"/>
                <w:sz w:val="16"/>
                <w:szCs w:val="16"/>
                <w:color w:val="auto"/>
              </w:rPr>
              <w:t>Tax carryforwards</w:t>
            </w:r>
          </w:p>
        </w:tc>
        <w:tc>
          <w:tcPr>
            <w:tcW w:w="4340" w:type="dxa"/>
            <w:vAlign w:val="bottom"/>
          </w:tcPr>
          <w:p>
            <w:pPr>
              <w:jc w:val="right"/>
              <w:ind w:right="478"/>
              <w:spacing w:after="0"/>
              <w:rPr>
                <w:sz w:val="20"/>
                <w:szCs w:val="20"/>
                <w:color w:val="auto"/>
              </w:rPr>
            </w:pPr>
            <w:r>
              <w:rPr>
                <w:rFonts w:ascii="Arial" w:cs="Arial" w:eastAsia="Arial" w:hAnsi="Arial"/>
                <w:sz w:val="16"/>
                <w:szCs w:val="16"/>
                <w:color w:val="auto"/>
              </w:rPr>
              <w:t>5.1</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r>
      <w:tr>
        <w:trPr>
          <w:trHeight w:val="230"/>
        </w:trPr>
        <w:tc>
          <w:tcPr>
            <w:tcW w:w="5960" w:type="dxa"/>
            <w:vAlign w:val="bottom"/>
            <w:shd w:val="clear" w:color="auto" w:fill="DDDDDD"/>
          </w:tcPr>
          <w:p>
            <w:pPr>
              <w:ind w:left="400"/>
              <w:spacing w:after="0"/>
              <w:rPr>
                <w:sz w:val="20"/>
                <w:szCs w:val="20"/>
                <w:color w:val="auto"/>
              </w:rPr>
            </w:pPr>
            <w:r>
              <w:rPr>
                <w:rFonts w:ascii="Arial" w:cs="Arial" w:eastAsia="Arial" w:hAnsi="Arial"/>
                <w:sz w:val="16"/>
                <w:szCs w:val="16"/>
                <w:color w:val="auto"/>
              </w:rPr>
              <w:t>Prepaid expenses</w:t>
            </w:r>
          </w:p>
        </w:tc>
        <w:tc>
          <w:tcPr>
            <w:tcW w:w="4340" w:type="dxa"/>
            <w:vAlign w:val="bottom"/>
            <w:shd w:val="clear" w:color="auto" w:fill="DDDDDD"/>
          </w:tcPr>
          <w:p>
            <w:pPr>
              <w:jc w:val="right"/>
              <w:ind w:right="418"/>
              <w:spacing w:after="0"/>
              <w:rPr>
                <w:sz w:val="20"/>
                <w:szCs w:val="20"/>
                <w:color w:val="auto"/>
              </w:rPr>
            </w:pPr>
            <w:r>
              <w:rPr>
                <w:rFonts w:ascii="Arial" w:cs="Arial" w:eastAsia="Arial" w:hAnsi="Arial"/>
                <w:sz w:val="16"/>
                <w:szCs w:val="16"/>
                <w:color w:val="auto"/>
              </w:rPr>
              <w:t>(15.2)</w:t>
            </w:r>
          </w:p>
        </w:tc>
        <w:tc>
          <w:tcPr>
            <w:tcW w:w="112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19"/>
                <w:szCs w:val="19"/>
                <w:color w:val="auto"/>
              </w:rPr>
            </w:pPr>
          </w:p>
        </w:tc>
      </w:tr>
      <w:tr>
        <w:trPr>
          <w:trHeight w:val="213"/>
        </w:trPr>
        <w:tc>
          <w:tcPr>
            <w:tcW w:w="596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4340" w:type="dxa"/>
            <w:vAlign w:val="bottom"/>
          </w:tcPr>
          <w:p>
            <w:pPr>
              <w:jc w:val="right"/>
              <w:ind w:right="418"/>
              <w:spacing w:after="0"/>
              <w:rPr>
                <w:sz w:val="20"/>
                <w:szCs w:val="20"/>
                <w:color w:val="auto"/>
              </w:rPr>
            </w:pPr>
            <w:r>
              <w:rPr>
                <w:rFonts w:ascii="Arial" w:cs="Arial" w:eastAsia="Arial" w:hAnsi="Arial"/>
                <w:sz w:val="16"/>
                <w:szCs w:val="16"/>
                <w:color w:val="auto"/>
              </w:rPr>
              <w:t>(10.7)</w:t>
            </w: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8"/>
                <w:szCs w:val="18"/>
                <w:color w:val="auto"/>
              </w:rPr>
            </w:pPr>
          </w:p>
        </w:tc>
      </w:tr>
      <w:tr>
        <w:trPr>
          <w:trHeight w:val="230"/>
        </w:trPr>
        <w:tc>
          <w:tcPr>
            <w:tcW w:w="5960" w:type="dxa"/>
            <w:vAlign w:val="bottom"/>
            <w:shd w:val="clear" w:color="auto" w:fill="DDDDDD"/>
          </w:tcPr>
          <w:p>
            <w:pPr>
              <w:ind w:left="400"/>
              <w:spacing w:after="0"/>
              <w:rPr>
                <w:sz w:val="20"/>
                <w:szCs w:val="20"/>
                <w:color w:val="auto"/>
              </w:rPr>
            </w:pPr>
            <w:r>
              <w:rPr>
                <w:rFonts w:ascii="Arial" w:cs="Arial" w:eastAsia="Arial" w:hAnsi="Arial"/>
                <w:sz w:val="16"/>
                <w:szCs w:val="16"/>
                <w:color w:val="auto"/>
              </w:rPr>
              <w:t>Other — net</w:t>
            </w:r>
          </w:p>
        </w:tc>
        <w:tc>
          <w:tcPr>
            <w:tcW w:w="4340" w:type="dxa"/>
            <w:vAlign w:val="bottom"/>
            <w:shd w:val="clear" w:color="auto" w:fill="DDDDDD"/>
          </w:tcPr>
          <w:p>
            <w:pPr>
              <w:jc w:val="right"/>
              <w:ind w:right="418"/>
              <w:spacing w:after="0"/>
              <w:rPr>
                <w:sz w:val="20"/>
                <w:szCs w:val="20"/>
                <w:color w:val="auto"/>
              </w:rPr>
            </w:pPr>
            <w:r>
              <w:rPr>
                <w:rFonts w:ascii="Arial" w:cs="Arial" w:eastAsia="Arial" w:hAnsi="Arial"/>
                <w:sz w:val="16"/>
                <w:szCs w:val="16"/>
                <w:color w:val="auto"/>
              </w:rPr>
              <w:t>(1.5)</w:t>
            </w:r>
          </w:p>
        </w:tc>
        <w:tc>
          <w:tcPr>
            <w:tcW w:w="112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9"/>
                <w:szCs w:val="19"/>
                <w:color w:val="auto"/>
              </w:rPr>
            </w:pPr>
          </w:p>
        </w:tc>
      </w:tr>
      <w:tr>
        <w:trPr>
          <w:trHeight w:val="98"/>
        </w:trPr>
        <w:tc>
          <w:tcPr>
            <w:tcW w:w="596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86"/>
        </w:trPr>
        <w:tc>
          <w:tcPr>
            <w:tcW w:w="5960" w:type="dxa"/>
            <w:vAlign w:val="bottom"/>
          </w:tcPr>
          <w:p>
            <w:pPr>
              <w:spacing w:after="0"/>
              <w:rPr>
                <w:sz w:val="20"/>
                <w:szCs w:val="20"/>
                <w:color w:val="auto"/>
              </w:rPr>
            </w:pPr>
            <w:r>
              <w:rPr>
                <w:rFonts w:ascii="Arial" w:cs="Arial" w:eastAsia="Arial" w:hAnsi="Arial"/>
                <w:sz w:val="16"/>
                <w:szCs w:val="16"/>
                <w:b w:val="1"/>
                <w:bCs w:val="1"/>
                <w:color w:val="auto"/>
              </w:rPr>
              <w:t>Total net deferred tax assets</w:t>
            </w:r>
          </w:p>
        </w:tc>
        <w:tc>
          <w:tcPr>
            <w:tcW w:w="4340" w:type="dxa"/>
            <w:vAlign w:val="bottom"/>
          </w:tcPr>
          <w:p>
            <w:pPr>
              <w:jc w:val="right"/>
              <w:ind w:right="478"/>
              <w:spacing w:after="0"/>
              <w:rPr>
                <w:sz w:val="20"/>
                <w:szCs w:val="20"/>
                <w:color w:val="auto"/>
              </w:rPr>
            </w:pPr>
            <w:r>
              <w:rPr>
                <w:rFonts w:ascii="Arial" w:cs="Arial" w:eastAsia="Arial" w:hAnsi="Arial"/>
                <w:sz w:val="16"/>
                <w:szCs w:val="16"/>
                <w:b w:val="1"/>
                <w:bCs w:val="1"/>
                <w:color w:val="auto"/>
              </w:rPr>
              <w:t>$ 78.0</w:t>
            </w:r>
          </w:p>
        </w:tc>
        <w:tc>
          <w:tcPr>
            <w:tcW w:w="1120" w:type="dxa"/>
            <w:vAlign w:val="bottom"/>
          </w:tcPr>
          <w:p>
            <w:pPr>
              <w:jc w:val="right"/>
              <w:ind w:right="118"/>
              <w:spacing w:after="0"/>
              <w:rPr>
                <w:sz w:val="20"/>
                <w:szCs w:val="20"/>
                <w:color w:val="auto"/>
              </w:rPr>
            </w:pPr>
            <w:r>
              <w:rPr>
                <w:rFonts w:ascii="Arial" w:cs="Arial" w:eastAsia="Arial" w:hAnsi="Arial"/>
                <w:sz w:val="16"/>
                <w:szCs w:val="16"/>
                <w:b w:val="1"/>
                <w:bCs w:val="1"/>
                <w:color w:val="auto"/>
              </w:rPr>
              <w:t>$ 87.7</w:t>
            </w:r>
          </w:p>
        </w:tc>
        <w:tc>
          <w:tcPr>
            <w:tcW w:w="20" w:type="dxa"/>
            <w:vAlign w:val="bottom"/>
          </w:tcPr>
          <w:p>
            <w:pPr>
              <w:spacing w:after="0"/>
              <w:rPr>
                <w:sz w:val="24"/>
                <w:szCs w:val="24"/>
                <w:color w:val="auto"/>
              </w:rPr>
            </w:pPr>
          </w:p>
        </w:tc>
      </w:tr>
      <w:tr>
        <w:trPr>
          <w:trHeight w:val="145"/>
        </w:trPr>
        <w:tc>
          <w:tcPr>
            <w:tcW w:w="5960" w:type="dxa"/>
            <w:vAlign w:val="bottom"/>
            <w:tcBorders>
              <w:bottom w:val="single" w:sz="8" w:color="808080"/>
            </w:tcBorders>
          </w:tcPr>
          <w:p>
            <w:pPr>
              <w:spacing w:after="0"/>
              <w:rPr>
                <w:sz w:val="12"/>
                <w:szCs w:val="12"/>
                <w:color w:val="auto"/>
              </w:rPr>
            </w:pPr>
          </w:p>
        </w:tc>
        <w:tc>
          <w:tcPr>
            <w:tcW w:w="4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40"/>
          </w:cols>
          <w:pgMar w:left="240" w:top="225" w:right="219" w:bottom="0" w:gutter="0" w:footer="0" w:header="0"/>
        </w:sectPr>
      </w:pPr>
    </w:p>
    <w:bookmarkStart w:id="31" w:name="page32"/>
    <w:bookmarkEnd w:id="31"/>
    <w:p>
      <w:pPr>
        <w:jc w:val="center"/>
        <w:ind w:right="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Net deferred tax assets of $78.0 at May 31, 2003 and $87.7 at May 31, 2002 include $1.2 in Other accrued expenses at May 31, 2003 and $3.1 and $4.6 in Other noncurrent liabilities at May 31, 2003 and 2002,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CAPITAL STOCK AND STOCK OPTIONS</w:t>
      </w:r>
    </w:p>
    <w:p>
      <w:pPr>
        <w:spacing w:after="0" w:line="22"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Scholastic Corporation has authorized capital stock of 2,500,000 shares of Class A Stock, par value $0.01 per share (the “Class A Stock”); 70,000,000 shares of Common Stock, par value $0.01 per share (the “Common Stock”); and 2,000,000 shares of Preferred Stock, par value $1.00 per share (the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A and Common Stock</w:t>
      </w:r>
    </w:p>
    <w:p>
      <w:pPr>
        <w:spacing w:after="0" w:line="2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At May 31, 2003, 1,656,200 shares of Class A Stock and 37,608,333 shares of Common Stock were outstanding. At May 31, 2003, Scholastic Corporation had reserved for issuance 11,346,808 shares of Common Stock. Of these shares, 9,314,998 shares were reserved for issuance under the Company’s stock option plans (including shares available for grant and options currently outstanding), 1,656,200 shares were reserved for issuance upon conversion of the Class A Stock and 375,610 shares were reserved for future issuances under the Company’s stock purchase plans.</w:t>
      </w:r>
    </w:p>
    <w:p>
      <w:pPr>
        <w:spacing w:after="0" w:line="17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only voting rights vested in the holders of Common Stock, except as required by law, are the election of such number of directors as shall equal at least one-fifth of the members of the Board of Directors. The holders of Class A Stock are entitled to elect all other directors and to vote on all other matters. Holders of Class A Stock and Common Stock are entitled to one vote per share on matters on which they are entitled to vote. The holders of Class A Stock have the right, at their option, to convert shares of Class A Stock into shares of Common Stock on a share-for-share basis.</w:t>
      </w:r>
    </w:p>
    <w:p>
      <w:pPr>
        <w:spacing w:after="0" w:line="172"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With the exception of voting rights and conversion rights, and as to the rights of holders of Preferred Stock if issued, the Class A Stock and the Common Stock are equal in rank and are entitled to dividends and distributions, when and if declared by the Board of Directors. Scholastic Corporation has not paid any cash dividends since its public offering in 1992 and has no current plans to pay any dividends on its Class A Stock or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Preferred Stock may be issued in one or more series, with the rights of each series, including voting rights, to be determined by the Board of Directors before each issuance.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To date, no shares of Preferred Stock have been issued.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Company presently has three stockholder-approved employee stock plans: the Scholastic Corporation 1992 Stock Option Plan (the “1992 Plan”), under which no further options are issuable, the Scholastic Corporation 1995 Stock Option Plan (the “1995 Plan”) and the Scholastic Corporation 2001 Stock Incentive Plan (the “2001 Plan”). The 1995 Plan provides for the issuance of non-qualified stock options and incentive stock options. The 2001 Plan provides for the issuance of non-qualified stock options, incentive stock options, restricted stock and other stock-based awards. At May 31, 2003, non-qualified stock options to purchase 678,900; 4,316,358; and 1,587,500 shares of Common Stock were outstanding under the 1992 Plan, 1995 Plan and 2001 Plan, respectively; and 0; 27,490; and 2,411,250 shares of Common Stock were available for additional awards under the 1992 Plan, 1995 Plan and 2001 Plan, respectively.</w:t>
      </w:r>
    </w:p>
    <w:p>
      <w:pPr>
        <w:spacing w:after="0" w:line="175"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The Company also maintains two stockholder-approved stock option plans for outside directors: the 1992 Outside Directors’ Stock Option Plan (the “1992 Directors’ Plan”), under which no further options are issuable, and the 1997 Outside Directors’ Stock Option Plan (the “1997 Directors’ Plan”), which provide for the grant of non-qualified stock options. The 1997 Directors’ Plan, as amended, provides for the automatic grant of 6,000 options to non-employee directors on the date of each annual Stockholders’ meeting. At May 31, 2003, options to purchase 257,500 and 12,000 shares of Common Stock were outstanding and 24,000 and 0 shares of Common Stock were available for additional awards under the 1997 Directors’ Plan and the 1992 Directors’ Plan, respectively. In September 2002 and January 2002, options were awarded under the 1997 Directors’ Plan at exercise prices of $43.54 and $49.70, respectively. On July 14, 2003, the Board of Directors approved Amendment No. 2 to the 1997 Directors’ Plan, subject to approval by the Class A Stockholders, to increase the shares of Common Stock authorized for issuance under the plan by 270,000.</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Generally, options granted under the various plans may not be exercised for a minimum of one year after the date of grant and expire ten years after the date of grant.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stock option activity for the three fiscal years ended May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0" w:type="dxa"/>
            <w:vAlign w:val="bottom"/>
          </w:tcPr>
          <w:p>
            <w:pPr>
              <w:jc w:val="right"/>
              <w:ind w:right="1058"/>
              <w:spacing w:after="0"/>
              <w:rPr>
                <w:sz w:val="20"/>
                <w:szCs w:val="20"/>
                <w:color w:val="auto"/>
              </w:rPr>
            </w:pPr>
            <w:r>
              <w:rPr>
                <w:rFonts w:ascii="Arial" w:cs="Arial" w:eastAsia="Arial" w:hAnsi="Arial"/>
                <w:sz w:val="20"/>
                <w:szCs w:val="20"/>
                <w:b w:val="1"/>
                <w:bCs w:val="1"/>
                <w:color w:val="auto"/>
                <w:w w:val="98"/>
              </w:rPr>
              <w:t>2003</w:t>
            </w:r>
          </w:p>
        </w:tc>
        <w:tc>
          <w:tcPr>
            <w:tcW w:w="960" w:type="dxa"/>
            <w:vAlign w:val="bottom"/>
          </w:tcPr>
          <w:p>
            <w:pPr>
              <w:spacing w:after="0"/>
              <w:rPr>
                <w:sz w:val="22"/>
                <w:szCs w:val="22"/>
                <w:color w:val="auto"/>
              </w:rPr>
            </w:pPr>
          </w:p>
        </w:tc>
        <w:tc>
          <w:tcPr>
            <w:tcW w:w="1500" w:type="dxa"/>
            <w:vAlign w:val="bottom"/>
          </w:tcPr>
          <w:p>
            <w:pPr>
              <w:jc w:val="right"/>
              <w:ind w:right="1018"/>
              <w:spacing w:after="0"/>
              <w:rPr>
                <w:sz w:val="20"/>
                <w:szCs w:val="20"/>
                <w:color w:val="auto"/>
              </w:rPr>
            </w:pPr>
            <w:r>
              <w:rPr>
                <w:rFonts w:ascii="Arial" w:cs="Arial" w:eastAsia="Arial" w:hAnsi="Arial"/>
                <w:sz w:val="20"/>
                <w:szCs w:val="20"/>
                <w:b w:val="1"/>
                <w:bCs w:val="1"/>
                <w:color w:val="auto"/>
                <w:w w:val="85"/>
              </w:rPr>
              <w:t>2002</w:t>
            </w:r>
          </w:p>
        </w:tc>
        <w:tc>
          <w:tcPr>
            <w:tcW w:w="1120" w:type="dxa"/>
            <w:vAlign w:val="bottom"/>
          </w:tcPr>
          <w:p>
            <w:pPr>
              <w:spacing w:after="0"/>
              <w:rPr>
                <w:sz w:val="22"/>
                <w:szCs w:val="22"/>
                <w:color w:val="auto"/>
              </w:rPr>
            </w:pPr>
          </w:p>
        </w:tc>
        <w:tc>
          <w:tcPr>
            <w:tcW w:w="1820" w:type="dxa"/>
            <w:vAlign w:val="bottom"/>
          </w:tcPr>
          <w:p>
            <w:pPr>
              <w:jc w:val="right"/>
              <w:ind w:right="1178"/>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8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right"/>
              <w:ind w:right="178"/>
              <w:spacing w:after="0"/>
              <w:rPr>
                <w:sz w:val="20"/>
                <w:szCs w:val="20"/>
                <w:color w:val="auto"/>
              </w:rPr>
            </w:pPr>
            <w:r>
              <w:rPr>
                <w:rFonts w:ascii="Arial" w:cs="Arial" w:eastAsia="Arial" w:hAnsi="Arial"/>
                <w:sz w:val="16"/>
                <w:szCs w:val="16"/>
                <w:b w:val="1"/>
                <w:bCs w:val="1"/>
                <w:color w:val="auto"/>
              </w:rPr>
              <w:t>Weighted</w:t>
            </w:r>
          </w:p>
        </w:tc>
        <w:tc>
          <w:tcPr>
            <w:tcW w:w="960" w:type="dxa"/>
            <w:vAlign w:val="bottom"/>
          </w:tcPr>
          <w:p>
            <w:pPr>
              <w:spacing w:after="0"/>
              <w:rPr>
                <w:sz w:val="24"/>
                <w:szCs w:val="24"/>
                <w:color w:val="auto"/>
              </w:rPr>
            </w:pPr>
          </w:p>
        </w:tc>
        <w:tc>
          <w:tcPr>
            <w:tcW w:w="1500" w:type="dxa"/>
            <w:vAlign w:val="bottom"/>
          </w:tcPr>
          <w:p>
            <w:pPr>
              <w:jc w:val="right"/>
              <w:ind w:right="138"/>
              <w:spacing w:after="0"/>
              <w:rPr>
                <w:sz w:val="20"/>
                <w:szCs w:val="20"/>
                <w:color w:val="auto"/>
              </w:rPr>
            </w:pPr>
            <w:r>
              <w:rPr>
                <w:rFonts w:ascii="Arial" w:cs="Arial" w:eastAsia="Arial" w:hAnsi="Arial"/>
                <w:sz w:val="16"/>
                <w:szCs w:val="16"/>
                <w:b w:val="1"/>
                <w:bCs w:val="1"/>
                <w:color w:val="auto"/>
              </w:rPr>
              <w:t>Weighted</w:t>
            </w:r>
          </w:p>
        </w:tc>
        <w:tc>
          <w:tcPr>
            <w:tcW w:w="1120" w:type="dxa"/>
            <w:vAlign w:val="bottom"/>
          </w:tcPr>
          <w:p>
            <w:pPr>
              <w:spacing w:after="0"/>
              <w:rPr>
                <w:sz w:val="24"/>
                <w:szCs w:val="24"/>
                <w:color w:val="auto"/>
              </w:rPr>
            </w:pPr>
          </w:p>
        </w:tc>
        <w:tc>
          <w:tcPr>
            <w:tcW w:w="1820" w:type="dxa"/>
            <w:vAlign w:val="bottom"/>
          </w:tcPr>
          <w:p>
            <w:pPr>
              <w:jc w:val="right"/>
              <w:ind w:right="238"/>
              <w:spacing w:after="0"/>
              <w:rPr>
                <w:sz w:val="20"/>
                <w:szCs w:val="20"/>
                <w:color w:val="auto"/>
              </w:rPr>
            </w:pPr>
            <w:r>
              <w:rPr>
                <w:rFonts w:ascii="Arial" w:cs="Arial" w:eastAsia="Arial" w:hAnsi="Arial"/>
                <w:sz w:val="16"/>
                <w:szCs w:val="16"/>
                <w:b w:val="1"/>
                <w:bCs w:val="1"/>
                <w:color w:val="auto"/>
              </w:rPr>
              <w:t>Weighted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tcPr>
          <w:p>
            <w:pPr>
              <w:jc w:val="right"/>
              <w:ind w:right="178"/>
              <w:spacing w:after="0"/>
              <w:rPr>
                <w:sz w:val="20"/>
                <w:szCs w:val="20"/>
                <w:color w:val="auto"/>
              </w:rPr>
            </w:pPr>
            <w:r>
              <w:rPr>
                <w:rFonts w:ascii="Arial" w:cs="Arial" w:eastAsia="Arial" w:hAnsi="Arial"/>
                <w:sz w:val="16"/>
                <w:szCs w:val="16"/>
                <w:b w:val="1"/>
                <w:bCs w:val="1"/>
                <w:color w:val="auto"/>
              </w:rPr>
              <w:t>Average</w:t>
            </w:r>
          </w:p>
        </w:tc>
        <w:tc>
          <w:tcPr>
            <w:tcW w:w="960" w:type="dxa"/>
            <w:vAlign w:val="bottom"/>
          </w:tcPr>
          <w:p>
            <w:pPr>
              <w:spacing w:after="0"/>
              <w:rPr>
                <w:sz w:val="19"/>
                <w:szCs w:val="19"/>
                <w:color w:val="auto"/>
              </w:rPr>
            </w:pPr>
          </w:p>
        </w:tc>
        <w:tc>
          <w:tcPr>
            <w:tcW w:w="1500" w:type="dxa"/>
            <w:vAlign w:val="bottom"/>
          </w:tcPr>
          <w:p>
            <w:pPr>
              <w:jc w:val="right"/>
              <w:ind w:right="138"/>
              <w:spacing w:after="0"/>
              <w:rPr>
                <w:sz w:val="20"/>
                <w:szCs w:val="20"/>
                <w:color w:val="auto"/>
              </w:rPr>
            </w:pPr>
            <w:r>
              <w:rPr>
                <w:rFonts w:ascii="Arial" w:cs="Arial" w:eastAsia="Arial" w:hAnsi="Arial"/>
                <w:sz w:val="16"/>
                <w:szCs w:val="16"/>
                <w:b w:val="1"/>
                <w:bCs w:val="1"/>
                <w:color w:val="auto"/>
              </w:rPr>
              <w:t>Average</w:t>
            </w:r>
          </w:p>
        </w:tc>
        <w:tc>
          <w:tcPr>
            <w:tcW w:w="1120" w:type="dxa"/>
            <w:vAlign w:val="bottom"/>
          </w:tcPr>
          <w:p>
            <w:pPr>
              <w:spacing w:after="0"/>
              <w:rPr>
                <w:sz w:val="19"/>
                <w:szCs w:val="19"/>
                <w:color w:val="auto"/>
              </w:rPr>
            </w:pPr>
          </w:p>
        </w:tc>
        <w:tc>
          <w:tcPr>
            <w:tcW w:w="1820" w:type="dxa"/>
            <w:vAlign w:val="bottom"/>
          </w:tcPr>
          <w:p>
            <w:pPr>
              <w:jc w:val="right"/>
              <w:ind w:right="238"/>
              <w:spacing w:after="0"/>
              <w:rPr>
                <w:sz w:val="20"/>
                <w:szCs w:val="20"/>
                <w:color w:val="auto"/>
              </w:rPr>
            </w:pPr>
            <w:r>
              <w:rPr>
                <w:rFonts w:ascii="Arial" w:cs="Arial" w:eastAsia="Arial" w:hAnsi="Arial"/>
                <w:sz w:val="16"/>
                <w:szCs w:val="16"/>
                <w:b w:val="1"/>
                <w:bCs w:val="1"/>
                <w:color w:val="auto"/>
              </w:rPr>
              <w:t>Average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b w:val="1"/>
                <w:bCs w:val="1"/>
                <w:color w:val="auto"/>
              </w:rPr>
              <w:t>Options</w:t>
            </w:r>
          </w:p>
        </w:tc>
        <w:tc>
          <w:tcPr>
            <w:tcW w:w="1600" w:type="dxa"/>
            <w:vAlign w:val="bottom"/>
          </w:tcPr>
          <w:p>
            <w:pPr>
              <w:jc w:val="right"/>
              <w:ind w:right="178"/>
              <w:spacing w:after="0"/>
              <w:rPr>
                <w:sz w:val="20"/>
                <w:szCs w:val="20"/>
                <w:color w:val="auto"/>
              </w:rPr>
            </w:pPr>
            <w:r>
              <w:rPr>
                <w:rFonts w:ascii="Arial" w:cs="Arial" w:eastAsia="Arial" w:hAnsi="Arial"/>
                <w:sz w:val="16"/>
                <w:szCs w:val="16"/>
                <w:b w:val="1"/>
                <w:bCs w:val="1"/>
                <w:color w:val="auto"/>
              </w:rPr>
              <w:t>Exercise Price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1500" w:type="dxa"/>
            <w:vAlign w:val="bottom"/>
          </w:tcPr>
          <w:p>
            <w:pPr>
              <w:jc w:val="right"/>
              <w:ind w:right="138"/>
              <w:spacing w:after="0"/>
              <w:rPr>
                <w:sz w:val="20"/>
                <w:szCs w:val="20"/>
                <w:color w:val="auto"/>
              </w:rPr>
            </w:pPr>
            <w:r>
              <w:rPr>
                <w:rFonts w:ascii="Arial" w:cs="Arial" w:eastAsia="Arial" w:hAnsi="Arial"/>
                <w:sz w:val="16"/>
                <w:szCs w:val="16"/>
                <w:b w:val="1"/>
                <w:bCs w:val="1"/>
                <w:color w:val="auto"/>
              </w:rPr>
              <w:t>Exercise Price</w:t>
            </w:r>
          </w:p>
        </w:tc>
        <w:tc>
          <w:tcPr>
            <w:tcW w:w="1120" w:type="dxa"/>
            <w:vAlign w:val="bottom"/>
          </w:tcPr>
          <w:p>
            <w:pPr>
              <w:jc w:val="right"/>
              <w:ind w:right="120"/>
              <w:spacing w:after="0"/>
              <w:rPr>
                <w:sz w:val="20"/>
                <w:szCs w:val="20"/>
                <w:color w:val="auto"/>
              </w:rPr>
            </w:pPr>
            <w:r>
              <w:rPr>
                <w:rFonts w:ascii="Arial" w:cs="Arial" w:eastAsia="Arial" w:hAnsi="Arial"/>
                <w:sz w:val="16"/>
                <w:szCs w:val="16"/>
                <w:b w:val="1"/>
                <w:bCs w:val="1"/>
                <w:color w:val="auto"/>
              </w:rPr>
              <w:t>Options</w:t>
            </w:r>
          </w:p>
        </w:tc>
        <w:tc>
          <w:tcPr>
            <w:tcW w:w="1820" w:type="dxa"/>
            <w:vAlign w:val="bottom"/>
          </w:tcPr>
          <w:p>
            <w:pPr>
              <w:jc w:val="right"/>
              <w:ind w:right="238"/>
              <w:spacing w:after="0"/>
              <w:rPr>
                <w:sz w:val="20"/>
                <w:szCs w:val="20"/>
                <w:color w:val="auto"/>
              </w:rPr>
            </w:pPr>
            <w:r>
              <w:rPr>
                <w:rFonts w:ascii="Arial" w:cs="Arial" w:eastAsia="Arial" w:hAnsi="Arial"/>
                <w:sz w:val="16"/>
                <w:szCs w:val="16"/>
                <w:b w:val="1"/>
                <w:bCs w:val="1"/>
                <w:color w:val="auto"/>
              </w:rPr>
              <w:t>Exercise Price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Outstanding — beginning of year</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5,539,712</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$ 27.58</w:t>
            </w:r>
          </w:p>
        </w:tc>
        <w:tc>
          <w:tcPr>
            <w:tcW w:w="960" w:type="dxa"/>
            <w:vAlign w:val="bottom"/>
          </w:tcPr>
          <w:p>
            <w:pPr>
              <w:jc w:val="right"/>
              <w:spacing w:after="0"/>
              <w:rPr>
                <w:sz w:val="20"/>
                <w:szCs w:val="20"/>
                <w:color w:val="auto"/>
              </w:rPr>
            </w:pPr>
            <w:r>
              <w:rPr>
                <w:rFonts w:ascii="Arial" w:cs="Arial" w:eastAsia="Arial" w:hAnsi="Arial"/>
                <w:sz w:val="16"/>
                <w:szCs w:val="16"/>
                <w:color w:val="auto"/>
              </w:rPr>
              <w:t>6,035,804</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$ 25.28</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5,568,966</w:t>
            </w:r>
          </w:p>
        </w:tc>
        <w:tc>
          <w:tcPr>
            <w:tcW w:w="1820" w:type="dxa"/>
            <w:vAlign w:val="bottom"/>
          </w:tcPr>
          <w:p>
            <w:pPr>
              <w:jc w:val="right"/>
              <w:ind w:right="238"/>
              <w:spacing w:after="0"/>
              <w:rPr>
                <w:sz w:val="20"/>
                <w:szCs w:val="20"/>
                <w:color w:val="auto"/>
              </w:rPr>
            </w:pPr>
            <w:r>
              <w:rPr>
                <w:rFonts w:ascii="Arial" w:cs="Arial" w:eastAsia="Arial" w:hAnsi="Arial"/>
                <w:sz w:val="16"/>
                <w:szCs w:val="16"/>
                <w:color w:val="auto"/>
              </w:rPr>
              <w:t>$ 22.05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94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Granted</w:t>
            </w:r>
          </w:p>
        </w:tc>
        <w:tc>
          <w:tcPr>
            <w:tcW w:w="1460" w:type="dxa"/>
            <w:vAlign w:val="bottom"/>
            <w:shd w:val="clear" w:color="auto" w:fill="DDDDDD"/>
          </w:tcPr>
          <w:p>
            <w:pPr>
              <w:jc w:val="right"/>
              <w:ind w:right="40"/>
              <w:spacing w:after="0"/>
              <w:rPr>
                <w:sz w:val="20"/>
                <w:szCs w:val="20"/>
                <w:color w:val="auto"/>
              </w:rPr>
            </w:pPr>
            <w:r>
              <w:rPr>
                <w:rFonts w:ascii="Arial" w:cs="Arial" w:eastAsia="Arial" w:hAnsi="Arial"/>
                <w:sz w:val="16"/>
                <w:szCs w:val="16"/>
                <w:color w:val="auto"/>
              </w:rPr>
              <w:t>1,392,240</w:t>
            </w:r>
          </w:p>
        </w:tc>
        <w:tc>
          <w:tcPr>
            <w:tcW w:w="1600" w:type="dxa"/>
            <w:vAlign w:val="bottom"/>
            <w:shd w:val="clear" w:color="auto" w:fill="DDDDDD"/>
          </w:tcPr>
          <w:p>
            <w:pPr>
              <w:jc w:val="right"/>
              <w:ind w:right="178"/>
              <w:spacing w:after="0"/>
              <w:rPr>
                <w:sz w:val="20"/>
                <w:szCs w:val="20"/>
                <w:color w:val="auto"/>
              </w:rPr>
            </w:pPr>
            <w:r>
              <w:rPr>
                <w:rFonts w:ascii="Arial" w:cs="Arial" w:eastAsia="Arial" w:hAnsi="Arial"/>
                <w:sz w:val="16"/>
                <w:szCs w:val="16"/>
                <w:color w:val="auto"/>
              </w:rPr>
              <w:t>32.69</w:t>
            </w: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692,000</w:t>
            </w:r>
          </w:p>
        </w:tc>
        <w:tc>
          <w:tcPr>
            <w:tcW w:w="1500" w:type="dxa"/>
            <w:vAlign w:val="bottom"/>
            <w:shd w:val="clear" w:color="auto" w:fill="DDDDDD"/>
          </w:tcPr>
          <w:p>
            <w:pPr>
              <w:jc w:val="right"/>
              <w:ind w:right="138"/>
              <w:spacing w:after="0"/>
              <w:rPr>
                <w:sz w:val="20"/>
                <w:szCs w:val="20"/>
                <w:color w:val="auto"/>
              </w:rPr>
            </w:pPr>
            <w:r>
              <w:rPr>
                <w:rFonts w:ascii="Arial" w:cs="Arial" w:eastAsia="Arial" w:hAnsi="Arial"/>
                <w:sz w:val="16"/>
                <w:szCs w:val="16"/>
                <w:color w:val="auto"/>
              </w:rPr>
              <w:t>42.62</w:t>
            </w:r>
          </w:p>
        </w:tc>
        <w:tc>
          <w:tcPr>
            <w:tcW w:w="1120" w:type="dxa"/>
            <w:vAlign w:val="bottom"/>
            <w:shd w:val="clear" w:color="auto" w:fill="DDDDDD"/>
          </w:tcPr>
          <w:p>
            <w:pPr>
              <w:jc w:val="right"/>
              <w:ind w:right="120"/>
              <w:spacing w:after="0"/>
              <w:rPr>
                <w:sz w:val="20"/>
                <w:szCs w:val="20"/>
                <w:color w:val="auto"/>
              </w:rPr>
            </w:pPr>
            <w:r>
              <w:rPr>
                <w:rFonts w:ascii="Arial" w:cs="Arial" w:eastAsia="Arial" w:hAnsi="Arial"/>
                <w:sz w:val="16"/>
                <w:szCs w:val="16"/>
                <w:color w:val="auto"/>
              </w:rPr>
              <w:t>1,724,000</w:t>
            </w:r>
          </w:p>
        </w:tc>
        <w:tc>
          <w:tcPr>
            <w:tcW w:w="1820" w:type="dxa"/>
            <w:vAlign w:val="bottom"/>
            <w:shd w:val="clear" w:color="auto" w:fill="DDDDDD"/>
          </w:tcPr>
          <w:p>
            <w:pPr>
              <w:jc w:val="right"/>
              <w:ind w:right="238"/>
              <w:spacing w:after="0"/>
              <w:rPr>
                <w:sz w:val="20"/>
                <w:szCs w:val="20"/>
                <w:color w:val="auto"/>
              </w:rPr>
            </w:pPr>
            <w:r>
              <w:rPr>
                <w:rFonts w:ascii="Arial" w:cs="Arial" w:eastAsia="Arial" w:hAnsi="Arial"/>
                <w:sz w:val="16"/>
                <w:szCs w:val="16"/>
                <w:color w:val="auto"/>
              </w:rPr>
              <w:t>32.81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6"/>
                <w:szCs w:val="16"/>
                <w:b w:val="1"/>
                <w:bCs w:val="1"/>
                <w:color w:val="auto"/>
              </w:rPr>
              <w:t>Exercised</w:t>
            </w:r>
          </w:p>
        </w:tc>
        <w:tc>
          <w:tcPr>
            <w:tcW w:w="1460" w:type="dxa"/>
            <w:vAlign w:val="bottom"/>
          </w:tcPr>
          <w:p>
            <w:pPr>
              <w:jc w:val="right"/>
              <w:spacing w:after="0"/>
              <w:rPr>
                <w:sz w:val="20"/>
                <w:szCs w:val="20"/>
                <w:color w:val="auto"/>
              </w:rPr>
            </w:pPr>
            <w:r>
              <w:rPr>
                <w:rFonts w:ascii="Arial" w:cs="Arial" w:eastAsia="Arial" w:hAnsi="Arial"/>
                <w:sz w:val="16"/>
                <w:szCs w:val="16"/>
                <w:color w:val="auto"/>
              </w:rPr>
              <w:t>(59,694)</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21.49</w:t>
            </w:r>
          </w:p>
        </w:tc>
        <w:tc>
          <w:tcPr>
            <w:tcW w:w="960" w:type="dxa"/>
            <w:vAlign w:val="bottom"/>
          </w:tcPr>
          <w:p>
            <w:pPr>
              <w:jc w:val="right"/>
              <w:spacing w:after="0"/>
              <w:rPr>
                <w:sz w:val="20"/>
                <w:szCs w:val="20"/>
                <w:color w:val="auto"/>
              </w:rPr>
            </w:pPr>
            <w:r>
              <w:rPr>
                <w:rFonts w:ascii="Arial" w:cs="Arial" w:eastAsia="Arial" w:hAnsi="Arial"/>
                <w:sz w:val="16"/>
                <w:szCs w:val="16"/>
                <w:color w:val="auto"/>
              </w:rPr>
              <w:t>(911,292)</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22.07</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(1,170,012)</w:t>
            </w:r>
          </w:p>
        </w:tc>
        <w:tc>
          <w:tcPr>
            <w:tcW w:w="1820" w:type="dxa"/>
            <w:vAlign w:val="bottom"/>
          </w:tcPr>
          <w:p>
            <w:pPr>
              <w:jc w:val="right"/>
              <w:ind w:right="238"/>
              <w:spacing w:after="0"/>
              <w:rPr>
                <w:sz w:val="20"/>
                <w:szCs w:val="20"/>
                <w:color w:val="auto"/>
              </w:rPr>
            </w:pPr>
            <w:r>
              <w:rPr>
                <w:rFonts w:ascii="Arial" w:cs="Arial" w:eastAsia="Arial" w:hAnsi="Arial"/>
                <w:sz w:val="16"/>
                <w:szCs w:val="16"/>
                <w:color w:val="auto"/>
              </w:rPr>
              <w:t>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Cancelled</w:t>
            </w:r>
          </w:p>
        </w:tc>
        <w:tc>
          <w:tcPr>
            <w:tcW w:w="14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(20,000)</w:t>
            </w:r>
          </w:p>
        </w:tc>
        <w:tc>
          <w:tcPr>
            <w:tcW w:w="1600" w:type="dxa"/>
            <w:vAlign w:val="bottom"/>
            <w:shd w:val="clear" w:color="auto" w:fill="DDDDDD"/>
          </w:tcPr>
          <w:p>
            <w:pPr>
              <w:jc w:val="right"/>
              <w:ind w:right="178"/>
              <w:spacing w:after="0"/>
              <w:rPr>
                <w:sz w:val="20"/>
                <w:szCs w:val="20"/>
                <w:color w:val="auto"/>
              </w:rPr>
            </w:pPr>
            <w:r>
              <w:rPr>
                <w:rFonts w:ascii="Arial" w:cs="Arial" w:eastAsia="Arial" w:hAnsi="Arial"/>
                <w:sz w:val="16"/>
                <w:szCs w:val="16"/>
                <w:color w:val="auto"/>
              </w:rPr>
              <w:t>34.31</w:t>
            </w: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(276,800)</w:t>
            </w:r>
          </w:p>
        </w:tc>
        <w:tc>
          <w:tcPr>
            <w:tcW w:w="1500" w:type="dxa"/>
            <w:vAlign w:val="bottom"/>
            <w:shd w:val="clear" w:color="auto" w:fill="DDDDDD"/>
          </w:tcPr>
          <w:p>
            <w:pPr>
              <w:jc w:val="right"/>
              <w:ind w:right="138"/>
              <w:spacing w:after="0"/>
              <w:rPr>
                <w:sz w:val="20"/>
                <w:szCs w:val="20"/>
                <w:color w:val="auto"/>
              </w:rPr>
            </w:pPr>
            <w:r>
              <w:rPr>
                <w:rFonts w:ascii="Arial" w:cs="Arial" w:eastAsia="Arial" w:hAnsi="Arial"/>
                <w:sz w:val="16"/>
                <w:szCs w:val="16"/>
                <w:color w:val="auto"/>
              </w:rPr>
              <w:t>32.79</w:t>
            </w:r>
          </w:p>
        </w:tc>
        <w:tc>
          <w:tcPr>
            <w:tcW w:w="1120" w:type="dxa"/>
            <w:vAlign w:val="bottom"/>
            <w:shd w:val="clear" w:color="auto" w:fill="DDDDDD"/>
          </w:tcPr>
          <w:p>
            <w:pPr>
              <w:jc w:val="right"/>
              <w:ind w:right="60"/>
              <w:spacing w:after="0"/>
              <w:rPr>
                <w:sz w:val="20"/>
                <w:szCs w:val="20"/>
                <w:color w:val="auto"/>
              </w:rPr>
            </w:pPr>
            <w:r>
              <w:rPr>
                <w:rFonts w:ascii="Arial" w:cs="Arial" w:eastAsia="Arial" w:hAnsi="Arial"/>
                <w:sz w:val="16"/>
                <w:szCs w:val="16"/>
                <w:color w:val="auto"/>
              </w:rPr>
              <w:t>(87,150)</w:t>
            </w:r>
          </w:p>
        </w:tc>
        <w:tc>
          <w:tcPr>
            <w:tcW w:w="1820" w:type="dxa"/>
            <w:vAlign w:val="bottom"/>
            <w:shd w:val="clear" w:color="auto" w:fill="DDDDDD"/>
          </w:tcPr>
          <w:p>
            <w:pPr>
              <w:jc w:val="right"/>
              <w:ind w:right="238"/>
              <w:spacing w:after="0"/>
              <w:rPr>
                <w:sz w:val="20"/>
                <w:szCs w:val="20"/>
                <w:color w:val="auto"/>
              </w:rPr>
            </w:pPr>
            <w:r>
              <w:rPr>
                <w:rFonts w:ascii="Arial" w:cs="Arial" w:eastAsia="Arial" w:hAnsi="Arial"/>
                <w:sz w:val="16"/>
                <w:szCs w:val="16"/>
                <w:color w:val="auto"/>
              </w:rPr>
              <w:t>30.16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Outstanding — end of year</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6,852,258</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$ 28.65</w:t>
            </w:r>
          </w:p>
        </w:tc>
        <w:tc>
          <w:tcPr>
            <w:tcW w:w="960" w:type="dxa"/>
            <w:vAlign w:val="bottom"/>
          </w:tcPr>
          <w:p>
            <w:pPr>
              <w:jc w:val="right"/>
              <w:spacing w:after="0"/>
              <w:rPr>
                <w:sz w:val="20"/>
                <w:szCs w:val="20"/>
                <w:color w:val="auto"/>
              </w:rPr>
            </w:pPr>
            <w:r>
              <w:rPr>
                <w:rFonts w:ascii="Arial" w:cs="Arial" w:eastAsia="Arial" w:hAnsi="Arial"/>
                <w:sz w:val="16"/>
                <w:szCs w:val="16"/>
                <w:color w:val="auto"/>
              </w:rPr>
              <w:t>5,539,712</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$ 27.58</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6,035,804</w:t>
            </w:r>
          </w:p>
        </w:tc>
        <w:tc>
          <w:tcPr>
            <w:tcW w:w="1820" w:type="dxa"/>
            <w:vAlign w:val="bottom"/>
          </w:tcPr>
          <w:p>
            <w:pPr>
              <w:jc w:val="right"/>
              <w:ind w:right="238"/>
              <w:spacing w:after="0"/>
              <w:rPr>
                <w:sz w:val="20"/>
                <w:szCs w:val="20"/>
                <w:color w:val="auto"/>
              </w:rPr>
            </w:pPr>
            <w:r>
              <w:rPr>
                <w:rFonts w:ascii="Arial" w:cs="Arial" w:eastAsia="Arial" w:hAnsi="Arial"/>
                <w:sz w:val="16"/>
                <w:szCs w:val="16"/>
                <w:color w:val="auto"/>
              </w:rPr>
              <w:t>$ 25.28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960" w:type="dxa"/>
            <w:vAlign w:val="bottom"/>
            <w:tcBorders>
              <w:bottom w:val="single" w:sz="8" w:color="808080"/>
            </w:tcBorders>
            <w:gridSpan w:val="2"/>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16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94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Exercisable — end of year</w:t>
            </w:r>
          </w:p>
        </w:tc>
        <w:tc>
          <w:tcPr>
            <w:tcW w:w="1460" w:type="dxa"/>
            <w:vAlign w:val="bottom"/>
            <w:shd w:val="clear" w:color="auto" w:fill="DDDDDD"/>
          </w:tcPr>
          <w:p>
            <w:pPr>
              <w:jc w:val="right"/>
              <w:ind w:right="40"/>
              <w:spacing w:after="0"/>
              <w:rPr>
                <w:sz w:val="20"/>
                <w:szCs w:val="20"/>
                <w:color w:val="auto"/>
              </w:rPr>
            </w:pPr>
            <w:r>
              <w:rPr>
                <w:rFonts w:ascii="Arial" w:cs="Arial" w:eastAsia="Arial" w:hAnsi="Arial"/>
                <w:sz w:val="16"/>
                <w:szCs w:val="16"/>
                <w:color w:val="auto"/>
              </w:rPr>
              <w:t>4,669,518</w:t>
            </w:r>
          </w:p>
        </w:tc>
        <w:tc>
          <w:tcPr>
            <w:tcW w:w="1600" w:type="dxa"/>
            <w:vAlign w:val="bottom"/>
            <w:shd w:val="clear" w:color="auto" w:fill="DDDDDD"/>
          </w:tcPr>
          <w:p>
            <w:pPr>
              <w:jc w:val="right"/>
              <w:ind w:right="178"/>
              <w:spacing w:after="0"/>
              <w:rPr>
                <w:sz w:val="20"/>
                <w:szCs w:val="20"/>
                <w:color w:val="auto"/>
              </w:rPr>
            </w:pPr>
            <w:r>
              <w:rPr>
                <w:rFonts w:ascii="Arial" w:cs="Arial" w:eastAsia="Arial" w:hAnsi="Arial"/>
                <w:sz w:val="16"/>
                <w:szCs w:val="16"/>
                <w:color w:val="auto"/>
              </w:rPr>
              <w:t>$ 26.05</w:t>
            </w: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4,083,962</w:t>
            </w:r>
          </w:p>
        </w:tc>
        <w:tc>
          <w:tcPr>
            <w:tcW w:w="1500" w:type="dxa"/>
            <w:vAlign w:val="bottom"/>
            <w:shd w:val="clear" w:color="auto" w:fill="DDDDDD"/>
          </w:tcPr>
          <w:p>
            <w:pPr>
              <w:jc w:val="right"/>
              <w:ind w:right="138"/>
              <w:spacing w:after="0"/>
              <w:rPr>
                <w:sz w:val="20"/>
                <w:szCs w:val="20"/>
                <w:color w:val="auto"/>
              </w:rPr>
            </w:pPr>
            <w:r>
              <w:rPr>
                <w:rFonts w:ascii="Arial" w:cs="Arial" w:eastAsia="Arial" w:hAnsi="Arial"/>
                <w:sz w:val="16"/>
                <w:szCs w:val="16"/>
                <w:color w:val="auto"/>
              </w:rPr>
              <w:t>$ 24.52</w:t>
            </w:r>
          </w:p>
        </w:tc>
        <w:tc>
          <w:tcPr>
            <w:tcW w:w="1120" w:type="dxa"/>
            <w:vAlign w:val="bottom"/>
            <w:shd w:val="clear" w:color="auto" w:fill="DDDDDD"/>
          </w:tcPr>
          <w:p>
            <w:pPr>
              <w:jc w:val="right"/>
              <w:ind w:right="120"/>
              <w:spacing w:after="0"/>
              <w:rPr>
                <w:sz w:val="20"/>
                <w:szCs w:val="20"/>
                <w:color w:val="auto"/>
              </w:rPr>
            </w:pPr>
            <w:r>
              <w:rPr>
                <w:rFonts w:ascii="Arial" w:cs="Arial" w:eastAsia="Arial" w:hAnsi="Arial"/>
                <w:sz w:val="16"/>
                <w:szCs w:val="16"/>
                <w:color w:val="auto"/>
              </w:rPr>
              <w:t>3,588,804</w:t>
            </w:r>
          </w:p>
        </w:tc>
        <w:tc>
          <w:tcPr>
            <w:tcW w:w="1820" w:type="dxa"/>
            <w:vAlign w:val="bottom"/>
            <w:shd w:val="clear" w:color="auto" w:fill="DDDDDD"/>
          </w:tcPr>
          <w:p>
            <w:pPr>
              <w:jc w:val="right"/>
              <w:ind w:right="238"/>
              <w:spacing w:after="0"/>
              <w:rPr>
                <w:sz w:val="20"/>
                <w:szCs w:val="20"/>
                <w:color w:val="auto"/>
              </w:rPr>
            </w:pPr>
            <w:r>
              <w:rPr>
                <w:rFonts w:ascii="Arial" w:cs="Arial" w:eastAsia="Arial" w:hAnsi="Arial"/>
                <w:sz w:val="16"/>
                <w:szCs w:val="16"/>
                <w:color w:val="auto"/>
              </w:rPr>
              <w:t>$ 22.47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-316865</wp:posOffset>
            </wp:positionV>
            <wp:extent cx="12700" cy="285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-316865</wp:posOffset>
            </wp:positionV>
            <wp:extent cx="12700" cy="28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The following table sets forth information as of May 31, 2003 regarding weighted average exercise prices and weighted average remaining contractual lives for the remaining outstanding stock options, sorted by range of exercise price:</w:t>
      </w:r>
    </w:p>
    <w:p>
      <w:pPr>
        <w:sectPr>
          <w:pgSz w:w="11900" w:h="16838" w:orient="portrait"/>
          <w:cols w:equalWidth="0" w:num="1">
            <w:col w:w="11440"/>
          </w:cols>
          <w:pgMar w:left="240" w:top="131" w:right="219" w:bottom="0" w:gutter="0" w:footer="0" w:header="0"/>
        </w:sectPr>
      </w:pPr>
    </w:p>
    <w:p>
      <w:pPr>
        <w:spacing w:after="0" w:line="140" w:lineRule="exact"/>
        <w:rPr>
          <w:sz w:val="20"/>
          <w:szCs w:val="20"/>
          <w:color w:val="auto"/>
        </w:rPr>
      </w:pPr>
    </w:p>
    <w:p>
      <w:pPr>
        <w:ind w:left="4060"/>
        <w:spacing w:after="0"/>
        <w:tabs>
          <w:tab w:leader="none" w:pos="9220" w:val="left"/>
        </w:tabs>
        <w:rPr>
          <w:sz w:val="20"/>
          <w:szCs w:val="20"/>
          <w:color w:val="auto"/>
        </w:rPr>
      </w:pPr>
      <w:r>
        <w:rPr>
          <w:rFonts w:ascii="Arial" w:cs="Arial" w:eastAsia="Arial" w:hAnsi="Arial"/>
          <w:sz w:val="20"/>
          <w:szCs w:val="20"/>
          <w:b w:val="1"/>
          <w:bCs w:val="1"/>
          <w:color w:val="auto"/>
        </w:rPr>
        <w:t>Options Outstanding</w:t>
      </w:r>
      <w:r>
        <w:rPr>
          <w:sz w:val="20"/>
          <w:szCs w:val="20"/>
          <w:color w:val="auto"/>
        </w:rPr>
        <w:tab/>
      </w:r>
      <w:r>
        <w:rPr>
          <w:rFonts w:ascii="Arial" w:cs="Arial" w:eastAsia="Arial" w:hAnsi="Arial"/>
          <w:sz w:val="16"/>
          <w:szCs w:val="16"/>
          <w:b w:val="1"/>
          <w:bCs w:val="1"/>
          <w:color w:val="auto"/>
        </w:rPr>
        <w:t>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73025</wp:posOffset>
            </wp:positionV>
            <wp:extent cx="725868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40"/>
          </w:cols>
          <w:pgMar w:left="240" w:top="131" w:right="219" w:bottom="0" w:gutter="0" w:footer="0" w:header="0"/>
          <w:type w:val="continuous"/>
        </w:sectPr>
      </w:pPr>
    </w:p>
    <w:bookmarkStart w:id="32" w:name="page33"/>
    <w:bookmarkEnd w:id="3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0" w:type="dxa"/>
            <w:vAlign w:val="bottom"/>
          </w:tcPr>
          <w:p>
            <w:pPr>
              <w:jc w:val="right"/>
              <w:ind w:right="880"/>
              <w:spacing w:after="0"/>
              <w:rPr>
                <w:sz w:val="20"/>
                <w:szCs w:val="20"/>
                <w:color w:val="auto"/>
              </w:rPr>
            </w:pPr>
            <w:r>
              <w:rPr>
                <w:rFonts w:ascii="Arial" w:cs="Arial" w:eastAsia="Arial" w:hAnsi="Arial"/>
                <w:sz w:val="16"/>
                <w:szCs w:val="16"/>
                <w:b w:val="1"/>
                <w:bCs w:val="1"/>
                <w:color w:val="auto"/>
              </w:rPr>
              <w:t>Weighted</w:t>
            </w:r>
          </w:p>
        </w:tc>
        <w:tc>
          <w:tcPr>
            <w:tcW w:w="2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0" w:type="dxa"/>
            <w:vAlign w:val="bottom"/>
          </w:tcPr>
          <w:p>
            <w:pPr>
              <w:jc w:val="right"/>
              <w:ind w:right="880"/>
              <w:spacing w:after="0"/>
              <w:rPr>
                <w:sz w:val="20"/>
                <w:szCs w:val="20"/>
                <w:color w:val="auto"/>
              </w:rPr>
            </w:pPr>
            <w:r>
              <w:rPr>
                <w:rFonts w:ascii="Arial" w:cs="Arial" w:eastAsia="Arial" w:hAnsi="Arial"/>
                <w:sz w:val="16"/>
                <w:szCs w:val="16"/>
                <w:b w:val="1"/>
                <w:bCs w:val="1"/>
                <w:color w:val="auto"/>
              </w:rPr>
              <w:t>Average</w:t>
            </w:r>
          </w:p>
        </w:tc>
        <w:tc>
          <w:tcPr>
            <w:tcW w:w="2180" w:type="dxa"/>
            <w:vAlign w:val="bottom"/>
          </w:tcPr>
          <w:p>
            <w:pPr>
              <w:spacing w:after="0"/>
              <w:rPr>
                <w:sz w:val="19"/>
                <w:szCs w:val="19"/>
                <w:color w:val="auto"/>
              </w:rPr>
            </w:pPr>
          </w:p>
        </w:tc>
        <w:tc>
          <w:tcPr>
            <w:tcW w:w="1260" w:type="dxa"/>
            <w:vAlign w:val="bottom"/>
          </w:tcPr>
          <w:p>
            <w:pPr>
              <w:jc w:val="right"/>
              <w:ind w:right="140"/>
              <w:spacing w:after="0"/>
              <w:rPr>
                <w:sz w:val="20"/>
                <w:szCs w:val="20"/>
                <w:color w:val="auto"/>
              </w:rPr>
            </w:pPr>
            <w:r>
              <w:rPr>
                <w:rFonts w:ascii="Arial" w:cs="Arial" w:eastAsia="Arial" w:hAnsi="Arial"/>
                <w:sz w:val="16"/>
                <w:szCs w:val="16"/>
                <w:b w:val="1"/>
                <w:bCs w:val="1"/>
                <w:color w:val="auto"/>
              </w:rPr>
              <w:t>Weighted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0" w:type="dxa"/>
            <w:vAlign w:val="bottom"/>
          </w:tcPr>
          <w:p>
            <w:pPr>
              <w:jc w:val="right"/>
              <w:ind w:right="240"/>
              <w:spacing w:after="0"/>
              <w:rPr>
                <w:sz w:val="20"/>
                <w:szCs w:val="20"/>
                <w:color w:val="auto"/>
              </w:rPr>
            </w:pPr>
            <w:r>
              <w:rPr>
                <w:rFonts w:ascii="Arial" w:cs="Arial" w:eastAsia="Arial" w:hAnsi="Arial"/>
                <w:sz w:val="16"/>
                <w:szCs w:val="16"/>
                <w:b w:val="1"/>
                <w:bCs w:val="1"/>
                <w:color w:val="auto"/>
              </w:rPr>
              <w:t>Weighted</w:t>
            </w:r>
          </w:p>
        </w:tc>
        <w:tc>
          <w:tcPr>
            <w:tcW w:w="2000" w:type="dxa"/>
            <w:vAlign w:val="bottom"/>
          </w:tcPr>
          <w:p>
            <w:pPr>
              <w:jc w:val="right"/>
              <w:ind w:right="880"/>
              <w:spacing w:after="0"/>
              <w:rPr>
                <w:sz w:val="20"/>
                <w:szCs w:val="20"/>
                <w:color w:val="auto"/>
              </w:rPr>
            </w:pPr>
            <w:r>
              <w:rPr>
                <w:rFonts w:ascii="Arial" w:cs="Arial" w:eastAsia="Arial" w:hAnsi="Arial"/>
                <w:sz w:val="16"/>
                <w:szCs w:val="16"/>
                <w:b w:val="1"/>
                <w:bCs w:val="1"/>
                <w:color w:val="auto"/>
              </w:rPr>
              <w:t>Remaining</w:t>
            </w:r>
          </w:p>
        </w:tc>
        <w:tc>
          <w:tcPr>
            <w:tcW w:w="2180" w:type="dxa"/>
            <w:vAlign w:val="bottom"/>
          </w:tcPr>
          <w:p>
            <w:pPr>
              <w:spacing w:after="0"/>
              <w:rPr>
                <w:sz w:val="19"/>
                <w:szCs w:val="19"/>
                <w:color w:val="auto"/>
              </w:rPr>
            </w:pPr>
          </w:p>
        </w:tc>
        <w:tc>
          <w:tcPr>
            <w:tcW w:w="1260" w:type="dxa"/>
            <w:vAlign w:val="bottom"/>
          </w:tcPr>
          <w:p>
            <w:pPr>
              <w:jc w:val="right"/>
              <w:ind w:right="140"/>
              <w:spacing w:after="0"/>
              <w:rPr>
                <w:sz w:val="20"/>
                <w:szCs w:val="20"/>
                <w:color w:val="auto"/>
              </w:rPr>
            </w:pPr>
            <w:r>
              <w:rPr>
                <w:rFonts w:ascii="Arial" w:cs="Arial" w:eastAsia="Arial" w:hAnsi="Arial"/>
                <w:sz w:val="16"/>
                <w:szCs w:val="16"/>
                <w:b w:val="1"/>
                <w:bCs w:val="1"/>
                <w:color w:val="auto"/>
              </w:rPr>
              <w:t>Average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0" w:type="dxa"/>
            <w:vAlign w:val="bottom"/>
          </w:tcPr>
          <w:p>
            <w:pPr>
              <w:jc w:val="right"/>
              <w:ind w:right="240"/>
              <w:spacing w:after="0"/>
              <w:rPr>
                <w:sz w:val="20"/>
                <w:szCs w:val="20"/>
                <w:color w:val="auto"/>
              </w:rPr>
            </w:pPr>
            <w:r>
              <w:rPr>
                <w:rFonts w:ascii="Arial" w:cs="Arial" w:eastAsia="Arial" w:hAnsi="Arial"/>
                <w:sz w:val="16"/>
                <w:szCs w:val="16"/>
                <w:b w:val="1"/>
                <w:bCs w:val="1"/>
                <w:color w:val="auto"/>
              </w:rPr>
              <w:t>Average</w:t>
            </w:r>
          </w:p>
        </w:tc>
        <w:tc>
          <w:tcPr>
            <w:tcW w:w="2000" w:type="dxa"/>
            <w:vAlign w:val="bottom"/>
          </w:tcPr>
          <w:p>
            <w:pPr>
              <w:jc w:val="right"/>
              <w:ind w:right="880"/>
              <w:spacing w:after="0"/>
              <w:rPr>
                <w:sz w:val="20"/>
                <w:szCs w:val="20"/>
                <w:color w:val="auto"/>
              </w:rPr>
            </w:pPr>
            <w:r>
              <w:rPr>
                <w:rFonts w:ascii="Arial" w:cs="Arial" w:eastAsia="Arial" w:hAnsi="Arial"/>
                <w:sz w:val="16"/>
                <w:szCs w:val="16"/>
                <w:b w:val="1"/>
                <w:bCs w:val="1"/>
                <w:color w:val="auto"/>
              </w:rPr>
              <w:t>Contractual</w:t>
            </w:r>
          </w:p>
        </w:tc>
        <w:tc>
          <w:tcPr>
            <w:tcW w:w="2180" w:type="dxa"/>
            <w:vAlign w:val="bottom"/>
          </w:tcPr>
          <w:p>
            <w:pPr>
              <w:jc w:val="right"/>
              <w:ind w:right="340"/>
              <w:spacing w:after="0"/>
              <w:rPr>
                <w:sz w:val="20"/>
                <w:szCs w:val="20"/>
                <w:color w:val="auto"/>
              </w:rPr>
            </w:pPr>
            <w:r>
              <w:rPr>
                <w:rFonts w:ascii="Arial" w:cs="Arial" w:eastAsia="Arial" w:hAnsi="Arial"/>
                <w:sz w:val="16"/>
                <w:szCs w:val="16"/>
                <w:b w:val="1"/>
                <w:bCs w:val="1"/>
                <w:color w:val="auto"/>
              </w:rPr>
              <w:t>Number</w:t>
            </w:r>
          </w:p>
        </w:tc>
        <w:tc>
          <w:tcPr>
            <w:tcW w:w="1260" w:type="dxa"/>
            <w:vAlign w:val="bottom"/>
          </w:tcPr>
          <w:p>
            <w:pPr>
              <w:jc w:val="right"/>
              <w:ind w:right="140"/>
              <w:spacing w:after="0"/>
              <w:rPr>
                <w:sz w:val="20"/>
                <w:szCs w:val="20"/>
                <w:color w:val="auto"/>
              </w:rPr>
            </w:pPr>
            <w:r>
              <w:rPr>
                <w:rFonts w:ascii="Arial" w:cs="Arial" w:eastAsia="Arial" w:hAnsi="Arial"/>
                <w:sz w:val="16"/>
                <w:szCs w:val="16"/>
                <w:b w:val="1"/>
                <w:bCs w:val="1"/>
                <w:color w:val="auto"/>
              </w:rPr>
              <w:t>Exercise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Options Price Range</w:t>
            </w:r>
          </w:p>
        </w:tc>
        <w:tc>
          <w:tcPr>
            <w:tcW w:w="1960" w:type="dxa"/>
            <w:vAlign w:val="bottom"/>
          </w:tcPr>
          <w:p>
            <w:pPr>
              <w:jc w:val="right"/>
              <w:ind w:right="220"/>
              <w:spacing w:after="0"/>
              <w:rPr>
                <w:sz w:val="20"/>
                <w:szCs w:val="20"/>
                <w:color w:val="auto"/>
              </w:rPr>
            </w:pPr>
            <w:r>
              <w:rPr>
                <w:rFonts w:ascii="Arial" w:cs="Arial" w:eastAsia="Arial" w:hAnsi="Arial"/>
                <w:sz w:val="16"/>
                <w:szCs w:val="16"/>
                <w:b w:val="1"/>
                <w:bCs w:val="1"/>
                <w:color w:val="auto"/>
              </w:rPr>
              <w:t>Number</w:t>
            </w:r>
          </w:p>
        </w:tc>
        <w:tc>
          <w:tcPr>
            <w:tcW w:w="1600" w:type="dxa"/>
            <w:vAlign w:val="bottom"/>
          </w:tcPr>
          <w:p>
            <w:pPr>
              <w:jc w:val="right"/>
              <w:ind w:right="240"/>
              <w:spacing w:after="0"/>
              <w:rPr>
                <w:sz w:val="20"/>
                <w:szCs w:val="20"/>
                <w:color w:val="auto"/>
              </w:rPr>
            </w:pPr>
            <w:r>
              <w:rPr>
                <w:rFonts w:ascii="Arial" w:cs="Arial" w:eastAsia="Arial" w:hAnsi="Arial"/>
                <w:sz w:val="16"/>
                <w:szCs w:val="16"/>
                <w:b w:val="1"/>
                <w:bCs w:val="1"/>
                <w:color w:val="auto"/>
              </w:rPr>
              <w:t>Exercise Price</w:t>
            </w:r>
          </w:p>
        </w:tc>
        <w:tc>
          <w:tcPr>
            <w:tcW w:w="2000" w:type="dxa"/>
            <w:vAlign w:val="bottom"/>
          </w:tcPr>
          <w:p>
            <w:pPr>
              <w:jc w:val="right"/>
              <w:ind w:right="880"/>
              <w:spacing w:after="0"/>
              <w:rPr>
                <w:sz w:val="20"/>
                <w:szCs w:val="20"/>
                <w:color w:val="auto"/>
              </w:rPr>
            </w:pPr>
            <w:r>
              <w:rPr>
                <w:rFonts w:ascii="Arial" w:cs="Arial" w:eastAsia="Arial" w:hAnsi="Arial"/>
                <w:sz w:val="16"/>
                <w:szCs w:val="16"/>
                <w:b w:val="1"/>
                <w:bCs w:val="1"/>
                <w:color w:val="auto"/>
              </w:rPr>
              <w:t>Life</w:t>
            </w:r>
          </w:p>
        </w:tc>
        <w:tc>
          <w:tcPr>
            <w:tcW w:w="2180" w:type="dxa"/>
            <w:vAlign w:val="bottom"/>
          </w:tcPr>
          <w:p>
            <w:pPr>
              <w:jc w:val="right"/>
              <w:ind w:right="340"/>
              <w:spacing w:after="0"/>
              <w:rPr>
                <w:sz w:val="20"/>
                <w:szCs w:val="20"/>
                <w:color w:val="auto"/>
              </w:rPr>
            </w:pPr>
            <w:r>
              <w:rPr>
                <w:rFonts w:ascii="Arial" w:cs="Arial" w:eastAsia="Arial" w:hAnsi="Arial"/>
                <w:sz w:val="16"/>
                <w:szCs w:val="16"/>
                <w:b w:val="1"/>
                <w:bCs w:val="1"/>
                <w:color w:val="auto"/>
              </w:rPr>
              <w:t>Exercisable</w:t>
            </w:r>
          </w:p>
        </w:tc>
        <w:tc>
          <w:tcPr>
            <w:tcW w:w="1260" w:type="dxa"/>
            <w:vAlign w:val="bottom"/>
          </w:tcPr>
          <w:p>
            <w:pPr>
              <w:jc w:val="right"/>
              <w:ind w:right="140"/>
              <w:spacing w:after="0"/>
              <w:rPr>
                <w:sz w:val="20"/>
                <w:szCs w:val="20"/>
                <w:color w:val="auto"/>
              </w:rPr>
            </w:pPr>
            <w:r>
              <w:rPr>
                <w:rFonts w:ascii="Arial" w:cs="Arial" w:eastAsia="Arial" w:hAnsi="Arial"/>
                <w:sz w:val="16"/>
                <w:szCs w:val="16"/>
                <w:b w:val="1"/>
                <w:bCs w:val="1"/>
                <w:color w:val="auto"/>
              </w:rPr>
              <w:t>Price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$15.73 — $20.97</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1,726,868</w:t>
            </w:r>
          </w:p>
        </w:tc>
        <w:tc>
          <w:tcPr>
            <w:tcW w:w="1600" w:type="dxa"/>
            <w:vAlign w:val="bottom"/>
          </w:tcPr>
          <w:p>
            <w:pPr>
              <w:jc w:val="right"/>
              <w:ind w:right="240"/>
              <w:spacing w:after="0"/>
              <w:rPr>
                <w:sz w:val="20"/>
                <w:szCs w:val="20"/>
                <w:color w:val="auto"/>
              </w:rPr>
            </w:pPr>
            <w:r>
              <w:rPr>
                <w:rFonts w:ascii="Arial" w:cs="Arial" w:eastAsia="Arial" w:hAnsi="Arial"/>
                <w:sz w:val="16"/>
                <w:szCs w:val="16"/>
                <w:color w:val="auto"/>
              </w:rPr>
              <w:t>$ 18.34</w:t>
            </w:r>
          </w:p>
        </w:tc>
        <w:tc>
          <w:tcPr>
            <w:tcW w:w="2000" w:type="dxa"/>
            <w:vAlign w:val="bottom"/>
          </w:tcPr>
          <w:p>
            <w:pPr>
              <w:jc w:val="right"/>
              <w:ind w:right="880"/>
              <w:spacing w:after="0"/>
              <w:rPr>
                <w:sz w:val="20"/>
                <w:szCs w:val="20"/>
                <w:color w:val="auto"/>
              </w:rPr>
            </w:pPr>
            <w:r>
              <w:rPr>
                <w:rFonts w:ascii="Arial" w:cs="Arial" w:eastAsia="Arial" w:hAnsi="Arial"/>
                <w:sz w:val="16"/>
                <w:szCs w:val="16"/>
                <w:color w:val="auto"/>
              </w:rPr>
              <w:t>4.5 years</w:t>
            </w:r>
          </w:p>
        </w:tc>
        <w:tc>
          <w:tcPr>
            <w:tcW w:w="2180" w:type="dxa"/>
            <w:vAlign w:val="bottom"/>
          </w:tcPr>
          <w:p>
            <w:pPr>
              <w:jc w:val="right"/>
              <w:ind w:right="340"/>
              <w:spacing w:after="0"/>
              <w:rPr>
                <w:sz w:val="20"/>
                <w:szCs w:val="20"/>
                <w:color w:val="auto"/>
              </w:rPr>
            </w:pPr>
            <w:r>
              <w:rPr>
                <w:rFonts w:ascii="Arial" w:cs="Arial" w:eastAsia="Arial" w:hAnsi="Arial"/>
                <w:sz w:val="16"/>
                <w:szCs w:val="16"/>
                <w:color w:val="auto"/>
              </w:rPr>
              <w:t>1,726,868</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$ 18.34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40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$20.98 — $26.21</w:t>
            </w:r>
          </w:p>
        </w:tc>
        <w:tc>
          <w:tcPr>
            <w:tcW w:w="1960" w:type="dxa"/>
            <w:vAlign w:val="bottom"/>
            <w:shd w:val="clear" w:color="auto" w:fill="DDDDDD"/>
          </w:tcPr>
          <w:p>
            <w:pPr>
              <w:jc w:val="right"/>
              <w:ind w:right="220"/>
              <w:spacing w:after="0"/>
              <w:rPr>
                <w:sz w:val="20"/>
                <w:szCs w:val="20"/>
                <w:color w:val="auto"/>
              </w:rPr>
            </w:pPr>
            <w:r>
              <w:rPr>
                <w:rFonts w:ascii="Arial" w:cs="Arial" w:eastAsia="Arial" w:hAnsi="Arial"/>
                <w:sz w:val="16"/>
                <w:szCs w:val="16"/>
                <w:color w:val="auto"/>
              </w:rPr>
              <w:t>1,433,000</w:t>
            </w:r>
          </w:p>
        </w:tc>
        <w:tc>
          <w:tcPr>
            <w:tcW w:w="1600" w:type="dxa"/>
            <w:vAlign w:val="bottom"/>
            <w:shd w:val="clear" w:color="auto" w:fill="DDDDDD"/>
          </w:tcPr>
          <w:p>
            <w:pPr>
              <w:jc w:val="right"/>
              <w:ind w:right="240"/>
              <w:spacing w:after="0"/>
              <w:rPr>
                <w:sz w:val="20"/>
                <w:szCs w:val="20"/>
                <w:color w:val="auto"/>
              </w:rPr>
            </w:pPr>
            <w:r>
              <w:rPr>
                <w:rFonts w:ascii="Arial" w:cs="Arial" w:eastAsia="Arial" w:hAnsi="Arial"/>
                <w:sz w:val="16"/>
                <w:szCs w:val="16"/>
                <w:color w:val="auto"/>
              </w:rPr>
              <w:t>25.19</w:t>
            </w:r>
          </w:p>
        </w:tc>
        <w:tc>
          <w:tcPr>
            <w:tcW w:w="2000" w:type="dxa"/>
            <w:vAlign w:val="bottom"/>
            <w:shd w:val="clear" w:color="auto" w:fill="DDDDDD"/>
          </w:tcPr>
          <w:p>
            <w:pPr>
              <w:jc w:val="right"/>
              <w:ind w:right="880"/>
              <w:spacing w:after="0"/>
              <w:rPr>
                <w:sz w:val="20"/>
                <w:szCs w:val="20"/>
                <w:color w:val="auto"/>
              </w:rPr>
            </w:pPr>
            <w:r>
              <w:rPr>
                <w:rFonts w:ascii="Arial" w:cs="Arial" w:eastAsia="Arial" w:hAnsi="Arial"/>
                <w:sz w:val="16"/>
                <w:szCs w:val="16"/>
                <w:color w:val="auto"/>
              </w:rPr>
              <w:t>7.0 years</w:t>
            </w:r>
          </w:p>
        </w:tc>
        <w:tc>
          <w:tcPr>
            <w:tcW w:w="218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919,000</w:t>
            </w:r>
          </w:p>
        </w:tc>
        <w:tc>
          <w:tcPr>
            <w:tcW w:w="126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25.37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$26.22 — $31.45</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740,400</w:t>
            </w:r>
          </w:p>
        </w:tc>
        <w:tc>
          <w:tcPr>
            <w:tcW w:w="1600" w:type="dxa"/>
            <w:vAlign w:val="bottom"/>
          </w:tcPr>
          <w:p>
            <w:pPr>
              <w:jc w:val="right"/>
              <w:ind w:right="240"/>
              <w:spacing w:after="0"/>
              <w:rPr>
                <w:sz w:val="20"/>
                <w:szCs w:val="20"/>
                <w:color w:val="auto"/>
              </w:rPr>
            </w:pPr>
            <w:r>
              <w:rPr>
                <w:rFonts w:ascii="Arial" w:cs="Arial" w:eastAsia="Arial" w:hAnsi="Arial"/>
                <w:sz w:val="16"/>
                <w:szCs w:val="16"/>
                <w:color w:val="auto"/>
              </w:rPr>
              <w:t>29.44</w:t>
            </w:r>
          </w:p>
        </w:tc>
        <w:tc>
          <w:tcPr>
            <w:tcW w:w="2000" w:type="dxa"/>
            <w:vAlign w:val="bottom"/>
          </w:tcPr>
          <w:p>
            <w:pPr>
              <w:jc w:val="right"/>
              <w:ind w:right="880"/>
              <w:spacing w:after="0"/>
              <w:rPr>
                <w:sz w:val="20"/>
                <w:szCs w:val="20"/>
                <w:color w:val="auto"/>
              </w:rPr>
            </w:pPr>
            <w:r>
              <w:rPr>
                <w:rFonts w:ascii="Arial" w:cs="Arial" w:eastAsia="Arial" w:hAnsi="Arial"/>
                <w:sz w:val="16"/>
                <w:szCs w:val="16"/>
                <w:color w:val="auto"/>
              </w:rPr>
              <w:t>3.5 years</w:t>
            </w:r>
          </w:p>
        </w:tc>
        <w:tc>
          <w:tcPr>
            <w:tcW w:w="2180" w:type="dxa"/>
            <w:vAlign w:val="bottom"/>
          </w:tcPr>
          <w:p>
            <w:pPr>
              <w:jc w:val="right"/>
              <w:ind w:right="340"/>
              <w:spacing w:after="0"/>
              <w:rPr>
                <w:sz w:val="20"/>
                <w:szCs w:val="20"/>
                <w:color w:val="auto"/>
              </w:rPr>
            </w:pPr>
            <w:r>
              <w:rPr>
                <w:rFonts w:ascii="Arial" w:cs="Arial" w:eastAsia="Arial" w:hAnsi="Arial"/>
                <w:sz w:val="16"/>
                <w:szCs w:val="16"/>
                <w:color w:val="auto"/>
              </w:rPr>
              <w:t>730,400</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$31.46 — $36.69</w:t>
            </w:r>
          </w:p>
        </w:tc>
        <w:tc>
          <w:tcPr>
            <w:tcW w:w="1960" w:type="dxa"/>
            <w:vAlign w:val="bottom"/>
            <w:shd w:val="clear" w:color="auto" w:fill="DDDDDD"/>
          </w:tcPr>
          <w:p>
            <w:pPr>
              <w:jc w:val="right"/>
              <w:ind w:right="220"/>
              <w:spacing w:after="0"/>
              <w:rPr>
                <w:sz w:val="20"/>
                <w:szCs w:val="20"/>
                <w:color w:val="auto"/>
              </w:rPr>
            </w:pPr>
            <w:r>
              <w:rPr>
                <w:rFonts w:ascii="Arial" w:cs="Arial" w:eastAsia="Arial" w:hAnsi="Arial"/>
                <w:sz w:val="16"/>
                <w:szCs w:val="16"/>
                <w:color w:val="auto"/>
              </w:rPr>
              <w:t>2,166,740</w:t>
            </w:r>
          </w:p>
        </w:tc>
        <w:tc>
          <w:tcPr>
            <w:tcW w:w="1600" w:type="dxa"/>
            <w:vAlign w:val="bottom"/>
            <w:shd w:val="clear" w:color="auto" w:fill="DDDDDD"/>
          </w:tcPr>
          <w:p>
            <w:pPr>
              <w:jc w:val="right"/>
              <w:ind w:right="240"/>
              <w:spacing w:after="0"/>
              <w:rPr>
                <w:sz w:val="20"/>
                <w:szCs w:val="20"/>
                <w:color w:val="auto"/>
              </w:rPr>
            </w:pPr>
            <w:r>
              <w:rPr>
                <w:rFonts w:ascii="Arial" w:cs="Arial" w:eastAsia="Arial" w:hAnsi="Arial"/>
                <w:sz w:val="16"/>
                <w:szCs w:val="16"/>
                <w:color w:val="auto"/>
              </w:rPr>
              <w:t>33.69</w:t>
            </w:r>
          </w:p>
        </w:tc>
        <w:tc>
          <w:tcPr>
            <w:tcW w:w="2000" w:type="dxa"/>
            <w:vAlign w:val="bottom"/>
            <w:shd w:val="clear" w:color="auto" w:fill="DDDDDD"/>
          </w:tcPr>
          <w:p>
            <w:pPr>
              <w:jc w:val="right"/>
              <w:ind w:right="880"/>
              <w:spacing w:after="0"/>
              <w:rPr>
                <w:sz w:val="20"/>
                <w:szCs w:val="20"/>
                <w:color w:val="auto"/>
              </w:rPr>
            </w:pPr>
            <w:r>
              <w:rPr>
                <w:rFonts w:ascii="Arial" w:cs="Arial" w:eastAsia="Arial" w:hAnsi="Arial"/>
                <w:sz w:val="16"/>
                <w:szCs w:val="16"/>
                <w:color w:val="auto"/>
              </w:rPr>
              <w:t>7.8 years</w:t>
            </w:r>
          </w:p>
        </w:tc>
        <w:tc>
          <w:tcPr>
            <w:tcW w:w="218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972,500</w:t>
            </w:r>
          </w:p>
        </w:tc>
        <w:tc>
          <w:tcPr>
            <w:tcW w:w="126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32.06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$36.70 — $41.94</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142,250</w:t>
            </w:r>
          </w:p>
        </w:tc>
        <w:tc>
          <w:tcPr>
            <w:tcW w:w="1600" w:type="dxa"/>
            <w:vAlign w:val="bottom"/>
          </w:tcPr>
          <w:p>
            <w:pPr>
              <w:jc w:val="right"/>
              <w:ind w:right="240"/>
              <w:spacing w:after="0"/>
              <w:rPr>
                <w:sz w:val="20"/>
                <w:szCs w:val="20"/>
                <w:color w:val="auto"/>
              </w:rPr>
            </w:pPr>
            <w:r>
              <w:rPr>
                <w:rFonts w:ascii="Arial" w:cs="Arial" w:eastAsia="Arial" w:hAnsi="Arial"/>
                <w:sz w:val="16"/>
                <w:szCs w:val="16"/>
                <w:color w:val="auto"/>
              </w:rPr>
              <w:t>38.36</w:t>
            </w:r>
          </w:p>
        </w:tc>
        <w:tc>
          <w:tcPr>
            <w:tcW w:w="2000" w:type="dxa"/>
            <w:vAlign w:val="bottom"/>
          </w:tcPr>
          <w:p>
            <w:pPr>
              <w:jc w:val="right"/>
              <w:ind w:right="880"/>
              <w:spacing w:after="0"/>
              <w:rPr>
                <w:sz w:val="20"/>
                <w:szCs w:val="20"/>
                <w:color w:val="auto"/>
              </w:rPr>
            </w:pPr>
            <w:r>
              <w:rPr>
                <w:rFonts w:ascii="Arial" w:cs="Arial" w:eastAsia="Arial" w:hAnsi="Arial"/>
                <w:sz w:val="16"/>
                <w:szCs w:val="16"/>
                <w:color w:val="auto"/>
              </w:rPr>
              <w:t>8.5 years</w:t>
            </w:r>
          </w:p>
        </w:tc>
        <w:tc>
          <w:tcPr>
            <w:tcW w:w="2180" w:type="dxa"/>
            <w:vAlign w:val="bottom"/>
          </w:tcPr>
          <w:p>
            <w:pPr>
              <w:jc w:val="right"/>
              <w:ind w:right="340"/>
              <w:spacing w:after="0"/>
              <w:rPr>
                <w:sz w:val="20"/>
                <w:szCs w:val="20"/>
                <w:color w:val="auto"/>
              </w:rPr>
            </w:pPr>
            <w:r>
              <w:rPr>
                <w:rFonts w:ascii="Arial" w:cs="Arial" w:eastAsia="Arial" w:hAnsi="Arial"/>
                <w:sz w:val="16"/>
                <w:szCs w:val="16"/>
                <w:color w:val="auto"/>
              </w:rPr>
              <w:t>58,250</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38.08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$41.95 — $47.18</w:t>
            </w:r>
          </w:p>
        </w:tc>
        <w:tc>
          <w:tcPr>
            <w:tcW w:w="1960" w:type="dxa"/>
            <w:vAlign w:val="bottom"/>
            <w:shd w:val="clear" w:color="auto" w:fill="DDDDDD"/>
          </w:tcPr>
          <w:p>
            <w:pPr>
              <w:jc w:val="right"/>
              <w:ind w:right="220"/>
              <w:spacing w:after="0"/>
              <w:rPr>
                <w:sz w:val="20"/>
                <w:szCs w:val="20"/>
                <w:color w:val="auto"/>
              </w:rPr>
            </w:pPr>
            <w:r>
              <w:rPr>
                <w:rFonts w:ascii="Arial" w:cs="Arial" w:eastAsia="Arial" w:hAnsi="Arial"/>
                <w:sz w:val="16"/>
                <w:szCs w:val="16"/>
                <w:color w:val="auto"/>
              </w:rPr>
              <w:t>551,000</w:t>
            </w:r>
          </w:p>
        </w:tc>
        <w:tc>
          <w:tcPr>
            <w:tcW w:w="1600" w:type="dxa"/>
            <w:vAlign w:val="bottom"/>
            <w:shd w:val="clear" w:color="auto" w:fill="DDDDDD"/>
          </w:tcPr>
          <w:p>
            <w:pPr>
              <w:jc w:val="right"/>
              <w:ind w:right="240"/>
              <w:spacing w:after="0"/>
              <w:rPr>
                <w:sz w:val="20"/>
                <w:szCs w:val="20"/>
                <w:color w:val="auto"/>
              </w:rPr>
            </w:pPr>
            <w:r>
              <w:rPr>
                <w:rFonts w:ascii="Arial" w:cs="Arial" w:eastAsia="Arial" w:hAnsi="Arial"/>
                <w:sz w:val="16"/>
                <w:szCs w:val="16"/>
                <w:color w:val="auto"/>
              </w:rPr>
              <w:t>43.02</w:t>
            </w:r>
          </w:p>
        </w:tc>
        <w:tc>
          <w:tcPr>
            <w:tcW w:w="2000" w:type="dxa"/>
            <w:vAlign w:val="bottom"/>
            <w:shd w:val="clear" w:color="auto" w:fill="DDDDDD"/>
          </w:tcPr>
          <w:p>
            <w:pPr>
              <w:jc w:val="right"/>
              <w:ind w:right="880"/>
              <w:spacing w:after="0"/>
              <w:rPr>
                <w:sz w:val="20"/>
                <w:szCs w:val="20"/>
                <w:color w:val="auto"/>
              </w:rPr>
            </w:pPr>
            <w:r>
              <w:rPr>
                <w:rFonts w:ascii="Arial" w:cs="Arial" w:eastAsia="Arial" w:hAnsi="Arial"/>
                <w:sz w:val="16"/>
                <w:szCs w:val="16"/>
                <w:color w:val="auto"/>
              </w:rPr>
              <w:t>8.5 years</w:t>
            </w:r>
          </w:p>
        </w:tc>
        <w:tc>
          <w:tcPr>
            <w:tcW w:w="218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198,000</w:t>
            </w:r>
          </w:p>
        </w:tc>
        <w:tc>
          <w:tcPr>
            <w:tcW w:w="1260" w:type="dxa"/>
            <w:vAlign w:val="bottom"/>
            <w:shd w:val="clear" w:color="auto" w:fill="DDDDDD"/>
          </w:tcPr>
          <w:p>
            <w:pPr>
              <w:jc w:val="right"/>
              <w:ind w:right="140"/>
              <w:spacing w:after="0"/>
              <w:rPr>
                <w:sz w:val="20"/>
                <w:szCs w:val="20"/>
                <w:color w:val="auto"/>
              </w:rPr>
            </w:pPr>
            <w:r>
              <w:rPr>
                <w:rFonts w:ascii="Arial" w:cs="Arial" w:eastAsia="Arial" w:hAnsi="Arial"/>
                <w:sz w:val="16"/>
                <w:szCs w:val="16"/>
                <w:color w:val="auto"/>
              </w:rPr>
              <w:t>43.13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$47.19 — $52.42</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92,000</w:t>
            </w:r>
          </w:p>
        </w:tc>
        <w:tc>
          <w:tcPr>
            <w:tcW w:w="1600" w:type="dxa"/>
            <w:vAlign w:val="bottom"/>
          </w:tcPr>
          <w:p>
            <w:pPr>
              <w:jc w:val="right"/>
              <w:ind w:right="240"/>
              <w:spacing w:after="0"/>
              <w:rPr>
                <w:sz w:val="20"/>
                <w:szCs w:val="20"/>
                <w:color w:val="auto"/>
              </w:rPr>
            </w:pPr>
            <w:r>
              <w:rPr>
                <w:rFonts w:ascii="Arial" w:cs="Arial" w:eastAsia="Arial" w:hAnsi="Arial"/>
                <w:sz w:val="16"/>
                <w:szCs w:val="16"/>
                <w:color w:val="auto"/>
              </w:rPr>
              <w:t>50.25</w:t>
            </w:r>
          </w:p>
        </w:tc>
        <w:tc>
          <w:tcPr>
            <w:tcW w:w="2000" w:type="dxa"/>
            <w:vAlign w:val="bottom"/>
          </w:tcPr>
          <w:p>
            <w:pPr>
              <w:jc w:val="right"/>
              <w:ind w:right="880"/>
              <w:spacing w:after="0"/>
              <w:rPr>
                <w:sz w:val="20"/>
                <w:szCs w:val="20"/>
                <w:color w:val="auto"/>
              </w:rPr>
            </w:pPr>
            <w:r>
              <w:rPr>
                <w:rFonts w:ascii="Arial" w:cs="Arial" w:eastAsia="Arial" w:hAnsi="Arial"/>
                <w:sz w:val="16"/>
                <w:szCs w:val="16"/>
                <w:color w:val="auto"/>
              </w:rPr>
              <w:t>7.7 years</w:t>
            </w:r>
          </w:p>
        </w:tc>
        <w:tc>
          <w:tcPr>
            <w:tcW w:w="2180" w:type="dxa"/>
            <w:vAlign w:val="bottom"/>
          </w:tcPr>
          <w:p>
            <w:pPr>
              <w:jc w:val="right"/>
              <w:ind w:right="340"/>
              <w:spacing w:after="0"/>
              <w:rPr>
                <w:sz w:val="20"/>
                <w:szCs w:val="20"/>
                <w:color w:val="auto"/>
              </w:rPr>
            </w:pPr>
            <w:r>
              <w:rPr>
                <w:rFonts w:ascii="Arial" w:cs="Arial" w:eastAsia="Arial" w:hAnsi="Arial"/>
                <w:sz w:val="16"/>
                <w:szCs w:val="16"/>
                <w:color w:val="auto"/>
              </w:rPr>
              <w:t>64,500</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49.92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0" w:type="dxa"/>
            <w:vAlign w:val="bottom"/>
          </w:tcPr>
          <w:p>
            <w:pPr>
              <w:jc w:val="right"/>
              <w:ind w:right="100"/>
              <w:spacing w:after="0"/>
              <w:rPr>
                <w:sz w:val="20"/>
                <w:szCs w:val="20"/>
                <w:color w:val="auto"/>
              </w:rPr>
            </w:pPr>
            <w:r>
              <w:rPr>
                <w:rFonts w:ascii="Arial" w:cs="Arial" w:eastAsia="Arial" w:hAnsi="Arial"/>
                <w:sz w:val="16"/>
                <w:szCs w:val="16"/>
                <w:color w:val="auto"/>
              </w:rPr>
              <w:t>47</w:t>
            </w: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808080"/>
            </w:tcBorders>
          </w:tcPr>
          <w:p>
            <w:pPr>
              <w:spacing w:after="0"/>
              <w:rPr>
                <w:sz w:val="20"/>
                <w:szCs w:val="20"/>
                <w:color w:val="auto"/>
              </w:rPr>
            </w:pPr>
          </w:p>
        </w:tc>
        <w:tc>
          <w:tcPr>
            <w:tcW w:w="2400" w:type="dxa"/>
            <w:vAlign w:val="bottom"/>
            <w:tcBorders>
              <w:bottom w:val="single" w:sz="8" w:color="808080"/>
            </w:tcBorders>
          </w:tcPr>
          <w:p>
            <w:pPr>
              <w:spacing w:after="0"/>
              <w:rPr>
                <w:sz w:val="20"/>
                <w:szCs w:val="20"/>
                <w:color w:val="auto"/>
              </w:rPr>
            </w:pPr>
          </w:p>
        </w:tc>
        <w:tc>
          <w:tcPr>
            <w:tcW w:w="1960" w:type="dxa"/>
            <w:vAlign w:val="bottom"/>
            <w:tcBorders>
              <w:bottom w:val="single" w:sz="8" w:color="808080"/>
            </w:tcBorders>
          </w:tcPr>
          <w:p>
            <w:pPr>
              <w:spacing w:after="0"/>
              <w:rPr>
                <w:sz w:val="20"/>
                <w:szCs w:val="20"/>
                <w:color w:val="auto"/>
              </w:rPr>
            </w:pPr>
          </w:p>
        </w:tc>
        <w:tc>
          <w:tcPr>
            <w:tcW w:w="1600" w:type="dxa"/>
            <w:vAlign w:val="bottom"/>
            <w:tcBorders>
              <w:bottom w:val="single" w:sz="8" w:color="808080"/>
            </w:tcBorders>
          </w:tcPr>
          <w:p>
            <w:pPr>
              <w:spacing w:after="0"/>
              <w:rPr>
                <w:sz w:val="20"/>
                <w:szCs w:val="20"/>
                <w:color w:val="auto"/>
              </w:rPr>
            </w:pPr>
          </w:p>
        </w:tc>
        <w:tc>
          <w:tcPr>
            <w:tcW w:w="2000" w:type="dxa"/>
            <w:vAlign w:val="bottom"/>
            <w:tcBorders>
              <w:bottom w:val="single" w:sz="8" w:color="808080"/>
            </w:tcBorders>
          </w:tcPr>
          <w:p>
            <w:pPr>
              <w:spacing w:after="0"/>
              <w:rPr>
                <w:sz w:val="20"/>
                <w:szCs w:val="20"/>
                <w:color w:val="auto"/>
              </w:rPr>
            </w:pPr>
          </w:p>
        </w:tc>
        <w:tc>
          <w:tcPr>
            <w:tcW w:w="2180" w:type="dxa"/>
            <w:vAlign w:val="bottom"/>
            <w:tcBorders>
              <w:bottom w:val="single" w:sz="8" w:color="808080"/>
            </w:tcBorders>
          </w:tcPr>
          <w:p>
            <w:pPr>
              <w:spacing w:after="0"/>
              <w:rPr>
                <w:sz w:val="20"/>
                <w:szCs w:val="20"/>
                <w:color w:val="auto"/>
              </w:rPr>
            </w:pPr>
          </w:p>
        </w:tc>
        <w:tc>
          <w:tcPr>
            <w:tcW w:w="126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-636905</wp:posOffset>
            </wp:positionV>
            <wp:extent cx="12700" cy="285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-636905</wp:posOffset>
            </wp:positionV>
            <wp:extent cx="12700" cy="285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maintains an Employee Stock Purchase Plan (“ESPP”), which is offered to eligible U.S. employees. The ESPP permits participating employees to purchase Common Stock, through after-tax payroll deductions, on a quarterly basis at a 15% discount from the lower of the closing price of the Common Stock on NASDAQ on the first or last business day of each fiscal quarter. During fiscal 2003, 2002 and 2001, the Company issued 131,417, 71,073 and 55,630 shares under the ESPP at a weighted average price of $25.54, $35.87 and $28.41 per share, respectively. At May 31, 2003, 34,807 shares were authorized to be issued under the ESPP. On July 14, 2003, the Board of Directors approved an amendment to the ESPP, subject to approval by the Class A Stockholders, in order to increase the number of shares of Common Stock authorized for issuance under the ESPP by 500,000.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Stock Purchase Plan</w:t>
      </w: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 maintains a Management Stock Purchase Plan (“MSPP”), which allows certain members of senior management to defer up to 100% of their annual cash bonus payment in the form of restricted stock units (“RSUs”). The RSUs are purchased by the employee at a discount from the lowest closing price of the Common Stock on NASDAQ during the fiscal quarter in which such bonuses are payable and are converted into shares of Common Stock on a one-for-one basis at the end of the applicable deferral period. Effective June 1, 2002, the MSPP was amended to increase the discount on the purchase of RSUs to 25% from 15%. During fiscal 2003, 2002 and 2001, the Company allocated 62,071 RSUs, 45,301 RSUs, and 27,330 RSUs to participants under the MSPP at a weighted average price of $25.22, $30.60 and $22.61 per RSU, resulting in an expense of $0.5, $0.2 and $0.1, respectively. Effective December 18, 2002, the MSPP was amended to allow certain additional management personnel to purchase RSU’s at a discount rate of 10%.</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EMPLOYEE BENEFIT PLANS</w:t>
      </w:r>
    </w:p>
    <w:p>
      <w:pPr>
        <w:spacing w:after="0" w:line="2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has a cash balance retirement plan (the “Pension Plan”), which covers the majority of the U.S. employees who meet certain eligibility requirements. The Company funds all of the contributions for the Pension Plan. Benefits generally are based on the Company’s contributions and interest credits allocated to participants accounts based on years of benefit service and annual pensionable earnings. It is the Company’s policy to fund the minimum amount required by the Employee Retirement Income Security Act (“ERISA”) of 1974, as amended.</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Scholastic Ltd., one of the Company’s wholly-owned subsidiaries, has a defined benefit pension plan (the “U.K. Pension Plan”) that covers United Kingdom employees who meet various eligibility requirements. Benefits are based on years of service and on a percentage of compensation near retirement. The U.K. Pension Plan is funded by contributions from the U.K. subsidiary and its employees.</w:t>
      </w:r>
    </w:p>
    <w:p>
      <w:pPr>
        <w:spacing w:after="0" w:line="167"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Grolier Ltd., the Company’s wholly-owned subsidiary in Canada, provides a defined benefit pension plan (the “Grolier Canada Pension Plan”) that covers employees who meet certain eligibility requirements. All full time employees are eligible to participate in the plan after two years of employment. The Company’s contributions to the fund have been suspended due to an actuarial surplus. Employees are not required to contribute to the fund.</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Company provides certain Post-Retirement Benefits (the “U.S. Post-Retirement Benefits”) consisting of certain healthcare and life insurance benefits provided to retired U.S. employees. A majority of the Company’s U.S. employees may become eligible for these benefits if they reach normal retirement age while working for the Company. In fiscal 2003, the Company amended the U.S. Post-Retirement Benefits by increasing the participants’ contribution rate. The impact of this amendment was to reduce the benefit obligation by $8.6. The balance was recorded as unrecognized prior service cost and will be amortized over 14½ years. At May 31, 2003, the unrecognized prior service cost remaining is $8.1.</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The following table sets forth the change in benefit obligation and plan assets and reconciliation of funded status under the Pension Plan, the U.K. Pension Plan, the Grolier Canada Pension Plan and the U.S. Post-Retirement Benefits for the two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5868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4200" w:type="dxa"/>
            <w:vAlign w:val="bottom"/>
            <w:gridSpan w:val="2"/>
          </w:tcPr>
          <w:p>
            <w:pPr>
              <w:jc w:val="right"/>
              <w:ind w:right="634"/>
              <w:spacing w:after="0"/>
              <w:rPr>
                <w:sz w:val="20"/>
                <w:szCs w:val="20"/>
                <w:color w:val="auto"/>
              </w:rPr>
            </w:pPr>
            <w:r>
              <w:rPr>
                <w:rFonts w:ascii="Arial" w:cs="Arial" w:eastAsia="Arial" w:hAnsi="Arial"/>
                <w:sz w:val="20"/>
                <w:szCs w:val="20"/>
                <w:b w:val="1"/>
                <w:bCs w:val="1"/>
                <w:color w:val="auto"/>
              </w:rPr>
              <w:t>Pension Benefits</w:t>
            </w:r>
          </w:p>
        </w:tc>
        <w:tc>
          <w:tcPr>
            <w:tcW w:w="2260" w:type="dxa"/>
            <w:vAlign w:val="bottom"/>
            <w:gridSpan w:val="2"/>
          </w:tcPr>
          <w:p>
            <w:pPr>
              <w:jc w:val="right"/>
              <w:ind w:right="454"/>
              <w:spacing w:after="0"/>
              <w:rPr>
                <w:sz w:val="20"/>
                <w:szCs w:val="20"/>
                <w:color w:val="auto"/>
              </w:rPr>
            </w:pPr>
            <w:r>
              <w:rPr>
                <w:rFonts w:ascii="Arial" w:cs="Arial" w:eastAsia="Arial" w:hAnsi="Arial"/>
                <w:sz w:val="20"/>
                <w:szCs w:val="20"/>
                <w:b w:val="1"/>
                <w:bCs w:val="1"/>
                <w:color w:val="auto"/>
              </w:rPr>
              <w:t>Post-Retirement</w:t>
            </w:r>
          </w:p>
        </w:tc>
      </w:tr>
      <w:tr>
        <w:trPr>
          <w:trHeight w:val="255"/>
        </w:trPr>
        <w:tc>
          <w:tcPr>
            <w:tcW w:w="49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jc w:val="right"/>
              <w:ind w:right="69"/>
              <w:spacing w:after="0"/>
              <w:rPr>
                <w:sz w:val="20"/>
                <w:szCs w:val="20"/>
                <w:color w:val="auto"/>
              </w:rPr>
            </w:pPr>
            <w:r>
              <w:rPr>
                <w:rFonts w:ascii="Arial" w:cs="Arial" w:eastAsia="Arial" w:hAnsi="Arial"/>
                <w:sz w:val="20"/>
                <w:szCs w:val="20"/>
                <w:b w:val="1"/>
                <w:bCs w:val="1"/>
                <w:color w:val="auto"/>
              </w:rPr>
              <w:t>Benefits</w:t>
            </w:r>
          </w:p>
        </w:tc>
        <w:tc>
          <w:tcPr>
            <w:tcW w:w="720" w:type="dxa"/>
            <w:vAlign w:val="bottom"/>
          </w:tcPr>
          <w:p>
            <w:pPr>
              <w:spacing w:after="0"/>
              <w:rPr>
                <w:sz w:val="22"/>
                <w:szCs w:val="22"/>
                <w:color w:val="auto"/>
              </w:rPr>
            </w:pPr>
          </w:p>
        </w:tc>
      </w:tr>
      <w:tr>
        <w:trPr>
          <w:trHeight w:val="90"/>
        </w:trPr>
        <w:tc>
          <w:tcPr>
            <w:tcW w:w="4960" w:type="dxa"/>
            <w:vAlign w:val="bottom"/>
            <w:tcBorders>
              <w:bottom w:val="single" w:sz="8" w:color="808080"/>
            </w:tcBorders>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r>
      <w:tr>
        <w:trPr>
          <w:trHeight w:val="321"/>
        </w:trPr>
        <w:tc>
          <w:tcPr>
            <w:tcW w:w="4960" w:type="dxa"/>
            <w:vAlign w:val="bottom"/>
          </w:tcPr>
          <w:p>
            <w:pPr>
              <w:spacing w:after="0"/>
              <w:rPr>
                <w:sz w:val="24"/>
                <w:szCs w:val="24"/>
                <w:color w:val="auto"/>
              </w:rPr>
            </w:pPr>
          </w:p>
        </w:tc>
        <w:tc>
          <w:tcPr>
            <w:tcW w:w="3020" w:type="dxa"/>
            <w:vAlign w:val="bottom"/>
          </w:tcPr>
          <w:p>
            <w:pPr>
              <w:jc w:val="right"/>
              <w:ind w:right="291"/>
              <w:spacing w:after="0"/>
              <w:rPr>
                <w:sz w:val="20"/>
                <w:szCs w:val="20"/>
                <w:color w:val="auto"/>
              </w:rPr>
            </w:pPr>
            <w:r>
              <w:rPr>
                <w:rFonts w:ascii="Arial" w:cs="Arial" w:eastAsia="Arial" w:hAnsi="Arial"/>
                <w:sz w:val="20"/>
                <w:szCs w:val="20"/>
                <w:b w:val="1"/>
                <w:bCs w:val="1"/>
                <w:color w:val="auto"/>
              </w:rPr>
              <w:t>2003</w:t>
            </w:r>
          </w:p>
        </w:tc>
        <w:tc>
          <w:tcPr>
            <w:tcW w:w="1180" w:type="dxa"/>
            <w:vAlign w:val="bottom"/>
          </w:tcPr>
          <w:p>
            <w:pPr>
              <w:jc w:val="right"/>
              <w:ind w:right="254"/>
              <w:spacing w:after="0"/>
              <w:rPr>
                <w:sz w:val="20"/>
                <w:szCs w:val="20"/>
                <w:color w:val="auto"/>
              </w:rPr>
            </w:pPr>
            <w:r>
              <w:rPr>
                <w:rFonts w:ascii="Arial" w:cs="Arial" w:eastAsia="Arial" w:hAnsi="Arial"/>
                <w:sz w:val="20"/>
                <w:szCs w:val="20"/>
                <w:b w:val="1"/>
                <w:bCs w:val="1"/>
                <w:color w:val="auto"/>
              </w:rPr>
              <w:t>2002</w:t>
            </w:r>
          </w:p>
        </w:tc>
        <w:tc>
          <w:tcPr>
            <w:tcW w:w="1540" w:type="dxa"/>
            <w:vAlign w:val="bottom"/>
          </w:tcPr>
          <w:p>
            <w:pPr>
              <w:jc w:val="right"/>
              <w:ind w:right="569"/>
              <w:spacing w:after="0"/>
              <w:rPr>
                <w:sz w:val="20"/>
                <w:szCs w:val="20"/>
                <w:color w:val="auto"/>
              </w:rPr>
            </w:pPr>
            <w:r>
              <w:rPr>
                <w:rFonts w:ascii="Arial" w:cs="Arial" w:eastAsia="Arial" w:hAnsi="Arial"/>
                <w:sz w:val="20"/>
                <w:szCs w:val="20"/>
                <w:b w:val="1"/>
                <w:bCs w:val="1"/>
                <w:color w:val="auto"/>
              </w:rPr>
              <w:t>2003</w:t>
            </w:r>
          </w:p>
        </w:tc>
        <w:tc>
          <w:tcPr>
            <w:tcW w:w="720" w:type="dxa"/>
            <w:vAlign w:val="bottom"/>
          </w:tcPr>
          <w:p>
            <w:pPr>
              <w:jc w:val="right"/>
              <w:ind w:right="74"/>
              <w:spacing w:after="0"/>
              <w:rPr>
                <w:sz w:val="20"/>
                <w:szCs w:val="20"/>
                <w:color w:val="auto"/>
              </w:rPr>
            </w:pPr>
            <w:r>
              <w:rPr>
                <w:rFonts w:ascii="Arial" w:cs="Arial" w:eastAsia="Arial" w:hAnsi="Arial"/>
                <w:sz w:val="20"/>
                <w:szCs w:val="20"/>
                <w:b w:val="1"/>
                <w:bCs w:val="1"/>
                <w:color w:val="auto"/>
              </w:rPr>
              <w:t>2002</w:t>
            </w:r>
          </w:p>
        </w:tc>
      </w:tr>
      <w:tr>
        <w:trPr>
          <w:trHeight w:val="90"/>
        </w:trPr>
        <w:tc>
          <w:tcPr>
            <w:tcW w:w="4960" w:type="dxa"/>
            <w:vAlign w:val="bottom"/>
            <w:tcBorders>
              <w:bottom w:val="single" w:sz="8" w:color="808080"/>
            </w:tcBorders>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r>
      <w:tr>
        <w:trPr>
          <w:trHeight w:val="286"/>
        </w:trPr>
        <w:tc>
          <w:tcPr>
            <w:tcW w:w="4960" w:type="dxa"/>
            <w:vAlign w:val="bottom"/>
          </w:tcPr>
          <w:p>
            <w:pPr>
              <w:spacing w:after="0"/>
              <w:rPr>
                <w:sz w:val="20"/>
                <w:szCs w:val="20"/>
                <w:color w:val="auto"/>
              </w:rPr>
            </w:pPr>
            <w:r>
              <w:rPr>
                <w:rFonts w:ascii="Arial" w:cs="Arial" w:eastAsia="Arial" w:hAnsi="Arial"/>
                <w:sz w:val="16"/>
                <w:szCs w:val="16"/>
                <w:color w:val="auto"/>
              </w:rPr>
              <w:t>Change in benefit obligation</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
        </w:trPr>
        <w:tc>
          <w:tcPr>
            <w:tcW w:w="49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960" w:type="dxa"/>
            <w:vAlign w:val="bottom"/>
            <w:shd w:val="clear" w:color="auto" w:fill="DDDDDD"/>
          </w:tcPr>
          <w:p>
            <w:pPr>
              <w:ind w:left="400"/>
              <w:spacing w:after="0"/>
              <w:rPr>
                <w:sz w:val="20"/>
                <w:szCs w:val="20"/>
                <w:color w:val="auto"/>
              </w:rPr>
            </w:pPr>
            <w:r>
              <w:rPr>
                <w:rFonts w:ascii="Arial" w:cs="Arial" w:eastAsia="Arial" w:hAnsi="Arial"/>
                <w:sz w:val="16"/>
                <w:szCs w:val="16"/>
                <w:color w:val="auto"/>
              </w:rPr>
              <w:t>Benefit obligation at beginning of year</w:t>
            </w:r>
          </w:p>
        </w:tc>
        <w:tc>
          <w:tcPr>
            <w:tcW w:w="3020" w:type="dxa"/>
            <w:vAlign w:val="bottom"/>
            <w:shd w:val="clear" w:color="auto" w:fill="DDDDDD"/>
          </w:tcPr>
          <w:p>
            <w:pPr>
              <w:jc w:val="right"/>
              <w:ind w:right="291"/>
              <w:spacing w:after="0"/>
              <w:rPr>
                <w:sz w:val="20"/>
                <w:szCs w:val="20"/>
                <w:color w:val="auto"/>
              </w:rPr>
            </w:pPr>
            <w:r>
              <w:rPr>
                <w:rFonts w:ascii="Arial" w:cs="Arial" w:eastAsia="Arial" w:hAnsi="Arial"/>
                <w:sz w:val="16"/>
                <w:szCs w:val="16"/>
                <w:color w:val="auto"/>
              </w:rPr>
              <w:t>$ 111.6</w:t>
            </w:r>
          </w:p>
        </w:tc>
        <w:tc>
          <w:tcPr>
            <w:tcW w:w="1180" w:type="dxa"/>
            <w:vAlign w:val="bottom"/>
            <w:shd w:val="clear" w:color="auto" w:fill="DDDDDD"/>
          </w:tcPr>
          <w:p>
            <w:pPr>
              <w:jc w:val="right"/>
              <w:ind w:right="254"/>
              <w:spacing w:after="0"/>
              <w:rPr>
                <w:sz w:val="20"/>
                <w:szCs w:val="20"/>
                <w:color w:val="auto"/>
              </w:rPr>
            </w:pPr>
            <w:r>
              <w:rPr>
                <w:rFonts w:ascii="Arial" w:cs="Arial" w:eastAsia="Arial" w:hAnsi="Arial"/>
                <w:sz w:val="16"/>
                <w:szCs w:val="16"/>
                <w:color w:val="auto"/>
              </w:rPr>
              <w:t>$ 103.4</w:t>
            </w:r>
          </w:p>
        </w:tc>
        <w:tc>
          <w:tcPr>
            <w:tcW w:w="1540" w:type="dxa"/>
            <w:vAlign w:val="bottom"/>
            <w:shd w:val="clear" w:color="auto" w:fill="DDDDDD"/>
          </w:tcPr>
          <w:p>
            <w:pPr>
              <w:jc w:val="right"/>
              <w:ind w:right="569"/>
              <w:spacing w:after="0"/>
              <w:rPr>
                <w:sz w:val="20"/>
                <w:szCs w:val="20"/>
                <w:color w:val="auto"/>
              </w:rPr>
            </w:pPr>
            <w:r>
              <w:rPr>
                <w:rFonts w:ascii="Arial" w:cs="Arial" w:eastAsia="Arial" w:hAnsi="Arial"/>
                <w:sz w:val="16"/>
                <w:szCs w:val="16"/>
                <w:color w:val="auto"/>
              </w:rPr>
              <w:t>$ 23.4</w:t>
            </w:r>
          </w:p>
        </w:tc>
        <w:tc>
          <w:tcPr>
            <w:tcW w:w="720" w:type="dxa"/>
            <w:vAlign w:val="bottom"/>
            <w:shd w:val="clear" w:color="auto" w:fill="DDDDDD"/>
          </w:tcPr>
          <w:p>
            <w:pPr>
              <w:jc w:val="right"/>
              <w:ind w:right="74"/>
              <w:spacing w:after="0"/>
              <w:rPr>
                <w:sz w:val="20"/>
                <w:szCs w:val="20"/>
                <w:color w:val="auto"/>
              </w:rPr>
            </w:pPr>
            <w:r>
              <w:rPr>
                <w:rFonts w:ascii="Arial" w:cs="Arial" w:eastAsia="Arial" w:hAnsi="Arial"/>
                <w:sz w:val="16"/>
                <w:szCs w:val="16"/>
                <w:color w:val="auto"/>
              </w:rPr>
              <w:t>$ 18.3</w:t>
            </w:r>
          </w:p>
        </w:tc>
      </w:tr>
      <w:tr>
        <w:trPr>
          <w:trHeight w:val="213"/>
        </w:trPr>
        <w:tc>
          <w:tcPr>
            <w:tcW w:w="4960" w:type="dxa"/>
            <w:vAlign w:val="bottom"/>
          </w:tcPr>
          <w:p>
            <w:pPr>
              <w:ind w:left="400"/>
              <w:spacing w:after="0"/>
              <w:rPr>
                <w:sz w:val="20"/>
                <w:szCs w:val="20"/>
                <w:color w:val="auto"/>
              </w:rPr>
            </w:pPr>
            <w:r>
              <w:rPr>
                <w:rFonts w:ascii="Arial" w:cs="Arial" w:eastAsia="Arial" w:hAnsi="Arial"/>
                <w:sz w:val="16"/>
                <w:szCs w:val="16"/>
                <w:color w:val="auto"/>
              </w:rPr>
              <w:t>Service cost</w:t>
            </w:r>
          </w:p>
        </w:tc>
        <w:tc>
          <w:tcPr>
            <w:tcW w:w="3020" w:type="dxa"/>
            <w:vAlign w:val="bottom"/>
          </w:tcPr>
          <w:p>
            <w:pPr>
              <w:jc w:val="right"/>
              <w:ind w:right="291"/>
              <w:spacing w:after="0"/>
              <w:rPr>
                <w:sz w:val="20"/>
                <w:szCs w:val="20"/>
                <w:color w:val="auto"/>
              </w:rPr>
            </w:pPr>
            <w:r>
              <w:rPr>
                <w:rFonts w:ascii="Arial" w:cs="Arial" w:eastAsia="Arial" w:hAnsi="Arial"/>
                <w:sz w:val="16"/>
                <w:szCs w:val="16"/>
                <w:color w:val="auto"/>
              </w:rPr>
              <w:t>5.9</w:t>
            </w:r>
          </w:p>
        </w:tc>
        <w:tc>
          <w:tcPr>
            <w:tcW w:w="1180" w:type="dxa"/>
            <w:vAlign w:val="bottom"/>
          </w:tcPr>
          <w:p>
            <w:pPr>
              <w:jc w:val="right"/>
              <w:ind w:right="254"/>
              <w:spacing w:after="0"/>
              <w:rPr>
                <w:sz w:val="20"/>
                <w:szCs w:val="20"/>
                <w:color w:val="auto"/>
              </w:rPr>
            </w:pPr>
            <w:r>
              <w:rPr>
                <w:rFonts w:ascii="Arial" w:cs="Arial" w:eastAsia="Arial" w:hAnsi="Arial"/>
                <w:sz w:val="16"/>
                <w:szCs w:val="16"/>
                <w:color w:val="auto"/>
              </w:rPr>
              <w:t>4.7</w:t>
            </w:r>
          </w:p>
        </w:tc>
        <w:tc>
          <w:tcPr>
            <w:tcW w:w="1540" w:type="dxa"/>
            <w:vAlign w:val="bottom"/>
          </w:tcPr>
          <w:p>
            <w:pPr>
              <w:jc w:val="right"/>
              <w:ind w:right="569"/>
              <w:spacing w:after="0"/>
              <w:rPr>
                <w:sz w:val="20"/>
                <w:szCs w:val="20"/>
                <w:color w:val="auto"/>
              </w:rPr>
            </w:pPr>
            <w:r>
              <w:rPr>
                <w:rFonts w:ascii="Arial" w:cs="Arial" w:eastAsia="Arial" w:hAnsi="Arial"/>
                <w:sz w:val="16"/>
                <w:szCs w:val="16"/>
                <w:color w:val="auto"/>
              </w:rPr>
              <w:t>0.5</w:t>
            </w:r>
          </w:p>
        </w:tc>
        <w:tc>
          <w:tcPr>
            <w:tcW w:w="720" w:type="dxa"/>
            <w:vAlign w:val="bottom"/>
          </w:tcPr>
          <w:p>
            <w:pPr>
              <w:jc w:val="right"/>
              <w:ind w:right="74"/>
              <w:spacing w:after="0"/>
              <w:rPr>
                <w:sz w:val="20"/>
                <w:szCs w:val="20"/>
                <w:color w:val="auto"/>
              </w:rPr>
            </w:pPr>
            <w:r>
              <w:rPr>
                <w:rFonts w:ascii="Arial" w:cs="Arial" w:eastAsia="Arial" w:hAnsi="Arial"/>
                <w:sz w:val="16"/>
                <w:szCs w:val="16"/>
                <w:color w:val="auto"/>
              </w:rPr>
              <w:t>0.4</w:t>
            </w:r>
          </w:p>
        </w:tc>
      </w:tr>
      <w:tr>
        <w:trPr>
          <w:trHeight w:val="68"/>
        </w:trPr>
        <w:tc>
          <w:tcPr>
            <w:tcW w:w="4960" w:type="dxa"/>
            <w:vAlign w:val="bottom"/>
            <w:shd w:val="clear" w:color="auto" w:fill="DDDDDD"/>
          </w:tcPr>
          <w:p>
            <w:pPr>
              <w:spacing w:after="0"/>
              <w:rPr>
                <w:sz w:val="5"/>
                <w:szCs w:val="5"/>
                <w:color w:val="auto"/>
              </w:rPr>
            </w:pPr>
          </w:p>
        </w:tc>
        <w:tc>
          <w:tcPr>
            <w:tcW w:w="3020" w:type="dxa"/>
            <w:vAlign w:val="bottom"/>
            <w:shd w:val="clear" w:color="auto" w:fill="DDDDDD"/>
          </w:tcPr>
          <w:p>
            <w:pPr>
              <w:spacing w:after="0"/>
              <w:rPr>
                <w:sz w:val="5"/>
                <w:szCs w:val="5"/>
                <w:color w:val="auto"/>
              </w:rPr>
            </w:pPr>
          </w:p>
        </w:tc>
        <w:tc>
          <w:tcPr>
            <w:tcW w:w="1180" w:type="dxa"/>
            <w:vAlign w:val="bottom"/>
            <w:shd w:val="clear" w:color="auto" w:fill="DDDDDD"/>
          </w:tcPr>
          <w:p>
            <w:pPr>
              <w:spacing w:after="0"/>
              <w:rPr>
                <w:sz w:val="5"/>
                <w:szCs w:val="5"/>
                <w:color w:val="auto"/>
              </w:rPr>
            </w:pPr>
          </w:p>
        </w:tc>
        <w:tc>
          <w:tcPr>
            <w:tcW w:w="1540" w:type="dxa"/>
            <w:vAlign w:val="bottom"/>
            <w:shd w:val="clear" w:color="auto" w:fill="DDDDDD"/>
          </w:tcPr>
          <w:p>
            <w:pPr>
              <w:spacing w:after="0"/>
              <w:rPr>
                <w:sz w:val="5"/>
                <w:szCs w:val="5"/>
                <w:color w:val="auto"/>
              </w:rPr>
            </w:pPr>
          </w:p>
        </w:tc>
        <w:tc>
          <w:tcPr>
            <w:tcW w:w="720" w:type="dxa"/>
            <w:vAlign w:val="bottom"/>
            <w:shd w:val="clear" w:color="auto" w:fill="DDDDDD"/>
          </w:tcPr>
          <w:p>
            <w:pPr>
              <w:spacing w:after="0"/>
              <w:rPr>
                <w:sz w:val="5"/>
                <w:szCs w:val="5"/>
                <w:color w:val="auto"/>
              </w:rPr>
            </w:pPr>
          </w:p>
        </w:tc>
      </w:tr>
    </w:tbl>
    <w:p>
      <w:pPr>
        <w:sectPr>
          <w:pgSz w:w="11900" w:h="16900" w:orient="portrait"/>
          <w:cols w:equalWidth="0" w:num="1">
            <w:col w:w="11440"/>
          </w:cols>
          <w:pgMar w:left="240" w:top="127" w:right="219" w:bottom="0" w:gutter="0" w:footer="0" w:header="0"/>
        </w:sectPr>
      </w:pPr>
    </w:p>
    <w:bookmarkStart w:id="33" w:name="page34"/>
    <w:bookmarkEnd w:id="33"/>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Interest cost</w:t>
            </w:r>
          </w:p>
        </w:tc>
        <w:tc>
          <w:tcPr>
            <w:tcW w:w="2620" w:type="dxa"/>
            <w:vAlign w:val="bottom"/>
            <w:vMerge w:val="restart"/>
            <w:shd w:val="clear" w:color="auto" w:fill="DDDDDD"/>
          </w:tcPr>
          <w:p>
            <w:pPr>
              <w:jc w:val="right"/>
              <w:ind w:right="320"/>
              <w:spacing w:after="0"/>
              <w:rPr>
                <w:sz w:val="20"/>
                <w:szCs w:val="20"/>
                <w:color w:val="auto"/>
              </w:rPr>
            </w:pPr>
            <w:r>
              <w:rPr>
                <w:rFonts w:ascii="Arial" w:cs="Arial" w:eastAsia="Arial" w:hAnsi="Arial"/>
                <w:sz w:val="16"/>
                <w:szCs w:val="16"/>
                <w:color w:val="auto"/>
              </w:rPr>
              <w:t>7.7</w:t>
            </w:r>
          </w:p>
        </w:tc>
        <w:tc>
          <w:tcPr>
            <w:tcW w:w="1240" w:type="dxa"/>
            <w:vAlign w:val="bottom"/>
            <w:vMerge w:val="restart"/>
            <w:shd w:val="clear" w:color="auto" w:fill="DDDDDD"/>
          </w:tcPr>
          <w:p>
            <w:pPr>
              <w:jc w:val="right"/>
              <w:ind w:right="340"/>
              <w:spacing w:after="0"/>
              <w:rPr>
                <w:sz w:val="20"/>
                <w:szCs w:val="20"/>
                <w:color w:val="auto"/>
              </w:rPr>
            </w:pPr>
            <w:r>
              <w:rPr>
                <w:rFonts w:ascii="Arial" w:cs="Arial" w:eastAsia="Arial" w:hAnsi="Arial"/>
                <w:sz w:val="16"/>
                <w:szCs w:val="16"/>
                <w:color w:val="auto"/>
              </w:rPr>
              <w:t>7.4</w:t>
            </w:r>
          </w:p>
        </w:tc>
        <w:tc>
          <w:tcPr>
            <w:tcW w:w="1220" w:type="dxa"/>
            <w:vAlign w:val="bottom"/>
            <w:vMerge w:val="restart"/>
            <w:shd w:val="clear" w:color="auto" w:fill="DDDDDD"/>
          </w:tcPr>
          <w:p>
            <w:pPr>
              <w:jc w:val="right"/>
              <w:ind w:right="340"/>
              <w:spacing w:after="0"/>
              <w:rPr>
                <w:sz w:val="20"/>
                <w:szCs w:val="20"/>
                <w:color w:val="auto"/>
              </w:rPr>
            </w:pPr>
            <w:r>
              <w:rPr>
                <w:rFonts w:ascii="Arial" w:cs="Arial" w:eastAsia="Arial" w:hAnsi="Arial"/>
                <w:sz w:val="16"/>
                <w:szCs w:val="16"/>
                <w:color w:val="auto"/>
              </w:rPr>
              <w:t>1.8</w:t>
            </w:r>
          </w:p>
        </w:tc>
        <w:tc>
          <w:tcPr>
            <w:tcW w:w="960" w:type="dxa"/>
            <w:vAlign w:val="bottom"/>
            <w:vMerge w:val="restart"/>
            <w:shd w:val="clear" w:color="auto" w:fill="DDDDDD"/>
          </w:tcPr>
          <w:p>
            <w:pPr>
              <w:jc w:val="right"/>
              <w:ind w:right="80"/>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360" w:type="dxa"/>
            <w:vAlign w:val="bottom"/>
            <w:shd w:val="clear" w:color="auto" w:fill="DDDDDD"/>
          </w:tcPr>
          <w:p>
            <w:pPr>
              <w:spacing w:after="0"/>
              <w:rPr>
                <w:sz w:val="6"/>
                <w:szCs w:val="6"/>
                <w:color w:val="auto"/>
              </w:rPr>
            </w:pPr>
          </w:p>
        </w:tc>
        <w:tc>
          <w:tcPr>
            <w:tcW w:w="2620" w:type="dxa"/>
            <w:vAlign w:val="bottom"/>
            <w:vMerge w:val="continue"/>
            <w:shd w:val="clear" w:color="auto" w:fill="DDDDDD"/>
          </w:tcPr>
          <w:p>
            <w:pPr>
              <w:spacing w:after="0"/>
              <w:rPr>
                <w:sz w:val="6"/>
                <w:szCs w:val="6"/>
                <w:color w:val="auto"/>
              </w:rPr>
            </w:pPr>
          </w:p>
        </w:tc>
        <w:tc>
          <w:tcPr>
            <w:tcW w:w="1240" w:type="dxa"/>
            <w:vAlign w:val="bottom"/>
            <w:vMerge w:val="continue"/>
            <w:shd w:val="clear" w:color="auto" w:fill="DDDDDD"/>
          </w:tcPr>
          <w:p>
            <w:pPr>
              <w:spacing w:after="0"/>
              <w:rPr>
                <w:sz w:val="6"/>
                <w:szCs w:val="6"/>
                <w:color w:val="auto"/>
              </w:rPr>
            </w:pPr>
          </w:p>
        </w:tc>
        <w:tc>
          <w:tcPr>
            <w:tcW w:w="1220" w:type="dxa"/>
            <w:vAlign w:val="bottom"/>
            <w:vMerge w:val="continue"/>
            <w:shd w:val="clear" w:color="auto" w:fill="DDDDDD"/>
          </w:tcPr>
          <w:p>
            <w:pPr>
              <w:spacing w:after="0"/>
              <w:rPr>
                <w:sz w:val="6"/>
                <w:szCs w:val="6"/>
                <w:color w:val="auto"/>
              </w:rPr>
            </w:pPr>
          </w:p>
        </w:tc>
        <w:tc>
          <w:tcPr>
            <w:tcW w:w="960" w:type="dxa"/>
            <w:vAlign w:val="bottom"/>
            <w:vMerge w:val="continue"/>
            <w:shd w:val="clear" w:color="auto" w:fill="DDDDDD"/>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Plan participants’ contributions</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0.6</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0.6</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360"/>
              <w:spacing w:after="0"/>
              <w:rPr>
                <w:sz w:val="20"/>
                <w:szCs w:val="20"/>
                <w:color w:val="auto"/>
              </w:rPr>
            </w:pPr>
            <w:r>
              <w:rPr>
                <w:rFonts w:ascii="Arial" w:cs="Arial" w:eastAsia="Arial" w:hAnsi="Arial"/>
                <w:sz w:val="16"/>
                <w:szCs w:val="16"/>
                <w:color w:val="auto"/>
              </w:rPr>
              <w:t>Amendments</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0.2</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(8.6)</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6"/>
                <w:szCs w:val="16"/>
                <w:color w:val="auto"/>
              </w:rPr>
              <w:t>Actuarial losses</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11.8</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4.2</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13.9</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Curtailment loss</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0.2</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2.3</w:t>
            </w: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(0.3)</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Benefits paid</w:t>
            </w:r>
          </w:p>
        </w:tc>
        <w:tc>
          <w:tcPr>
            <w:tcW w:w="2620" w:type="dxa"/>
            <w:vAlign w:val="bottom"/>
            <w:shd w:val="clear" w:color="auto" w:fill="DDDDDD"/>
          </w:tcPr>
          <w:p>
            <w:pPr>
              <w:jc w:val="right"/>
              <w:ind w:right="260"/>
              <w:spacing w:after="0"/>
              <w:rPr>
                <w:sz w:val="20"/>
                <w:szCs w:val="20"/>
                <w:color w:val="auto"/>
              </w:rPr>
            </w:pPr>
            <w:r>
              <w:rPr>
                <w:rFonts w:ascii="Arial" w:cs="Arial" w:eastAsia="Arial" w:hAnsi="Arial"/>
                <w:sz w:val="16"/>
                <w:szCs w:val="16"/>
                <w:color w:val="auto"/>
              </w:rPr>
              <w:t>(8.9)</w:t>
            </w:r>
          </w:p>
        </w:tc>
        <w:tc>
          <w:tcPr>
            <w:tcW w:w="124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(8.6)</w:t>
            </w:r>
          </w:p>
        </w:tc>
        <w:tc>
          <w:tcPr>
            <w:tcW w:w="122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(2.2)</w:t>
            </w:r>
          </w:p>
        </w:tc>
        <w:tc>
          <w:tcPr>
            <w:tcW w:w="960" w:type="dxa"/>
            <w:vAlign w:val="bottom"/>
            <w:shd w:val="clear" w:color="auto" w:fill="DDDDDD"/>
          </w:tcPr>
          <w:p>
            <w:pPr>
              <w:jc w:val="right"/>
              <w:ind w:right="20"/>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Benefit obligation at end of year</w:t>
            </w:r>
          </w:p>
        </w:tc>
        <w:tc>
          <w:tcPr>
            <w:tcW w:w="2620" w:type="dxa"/>
            <w:vAlign w:val="bottom"/>
          </w:tcPr>
          <w:p>
            <w:pPr>
              <w:jc w:val="right"/>
              <w:ind w:right="320"/>
              <w:spacing w:after="0"/>
              <w:rPr>
                <w:sz w:val="20"/>
                <w:szCs w:val="20"/>
                <w:color w:val="auto"/>
              </w:rPr>
            </w:pPr>
            <w:r>
              <w:rPr>
                <w:rFonts w:ascii="Arial" w:cs="Arial" w:eastAsia="Arial" w:hAnsi="Arial"/>
                <w:sz w:val="16"/>
                <w:szCs w:val="16"/>
                <w:b w:val="1"/>
                <w:bCs w:val="1"/>
                <w:color w:val="auto"/>
              </w:rPr>
              <w:t>$ 131.2</w:t>
            </w:r>
          </w:p>
        </w:tc>
        <w:tc>
          <w:tcPr>
            <w:tcW w:w="1240" w:type="dxa"/>
            <w:vAlign w:val="bottom"/>
          </w:tcPr>
          <w:p>
            <w:pPr>
              <w:jc w:val="right"/>
              <w:ind w:right="340"/>
              <w:spacing w:after="0"/>
              <w:rPr>
                <w:sz w:val="20"/>
                <w:szCs w:val="20"/>
                <w:color w:val="auto"/>
              </w:rPr>
            </w:pPr>
            <w:r>
              <w:rPr>
                <w:rFonts w:ascii="Arial" w:cs="Arial" w:eastAsia="Arial" w:hAnsi="Arial"/>
                <w:sz w:val="16"/>
                <w:szCs w:val="16"/>
                <w:b w:val="1"/>
                <w:bCs w:val="1"/>
                <w:color w:val="auto"/>
              </w:rPr>
              <w:t>$ 111.6</w:t>
            </w:r>
          </w:p>
        </w:tc>
        <w:tc>
          <w:tcPr>
            <w:tcW w:w="1220" w:type="dxa"/>
            <w:vAlign w:val="bottom"/>
          </w:tcPr>
          <w:p>
            <w:pPr>
              <w:jc w:val="right"/>
              <w:ind w:right="340"/>
              <w:spacing w:after="0"/>
              <w:rPr>
                <w:sz w:val="20"/>
                <w:szCs w:val="20"/>
                <w:color w:val="auto"/>
              </w:rPr>
            </w:pPr>
            <w:r>
              <w:rPr>
                <w:rFonts w:ascii="Arial" w:cs="Arial" w:eastAsia="Arial" w:hAnsi="Arial"/>
                <w:sz w:val="16"/>
                <w:szCs w:val="16"/>
                <w:b w:val="1"/>
                <w:bCs w:val="1"/>
                <w:color w:val="auto"/>
              </w:rPr>
              <w:t>$ 28.8</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$ 23.4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80" w:type="dxa"/>
            <w:vAlign w:val="bottom"/>
            <w:tcBorders>
              <w:bottom w:val="single" w:sz="8" w:color="808080"/>
            </w:tcBorders>
            <w:gridSpan w:val="2"/>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360" w:type="dxa"/>
            <w:vAlign w:val="bottom"/>
            <w:shd w:val="clear" w:color="auto" w:fill="DDDDDD"/>
          </w:tcPr>
          <w:p>
            <w:pPr>
              <w:spacing w:after="0"/>
              <w:rPr>
                <w:sz w:val="20"/>
                <w:szCs w:val="20"/>
                <w:color w:val="auto"/>
              </w:rPr>
            </w:pPr>
            <w:r>
              <w:rPr>
                <w:rFonts w:ascii="Arial" w:cs="Arial" w:eastAsia="Arial" w:hAnsi="Arial"/>
                <w:sz w:val="16"/>
                <w:szCs w:val="16"/>
                <w:color w:val="auto"/>
              </w:rPr>
              <w:t>Change in plan assets</w:t>
            </w:r>
          </w:p>
        </w:tc>
        <w:tc>
          <w:tcPr>
            <w:tcW w:w="262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Fair value of plan assets at beginning of year</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$ 87.3</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$ 93.0</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360"/>
              <w:spacing w:after="0"/>
              <w:rPr>
                <w:sz w:val="20"/>
                <w:szCs w:val="20"/>
                <w:color w:val="auto"/>
              </w:rPr>
            </w:pPr>
            <w:r>
              <w:rPr>
                <w:rFonts w:ascii="Arial" w:cs="Arial" w:eastAsia="Arial" w:hAnsi="Arial"/>
                <w:sz w:val="16"/>
                <w:szCs w:val="16"/>
                <w:color w:val="auto"/>
              </w:rPr>
              <w:t>Actual (loss) on plan assets</w:t>
            </w:r>
          </w:p>
        </w:tc>
        <w:tc>
          <w:tcPr>
            <w:tcW w:w="2620" w:type="dxa"/>
            <w:vAlign w:val="bottom"/>
            <w:shd w:val="clear" w:color="auto" w:fill="DDDDDD"/>
          </w:tcPr>
          <w:p>
            <w:pPr>
              <w:jc w:val="right"/>
              <w:ind w:right="260"/>
              <w:spacing w:after="0"/>
              <w:rPr>
                <w:sz w:val="20"/>
                <w:szCs w:val="20"/>
                <w:color w:val="auto"/>
              </w:rPr>
            </w:pPr>
            <w:r>
              <w:rPr>
                <w:rFonts w:ascii="Arial" w:cs="Arial" w:eastAsia="Arial" w:hAnsi="Arial"/>
                <w:sz w:val="16"/>
                <w:szCs w:val="16"/>
                <w:color w:val="auto"/>
              </w:rPr>
              <w:t>(2.3)</w:t>
            </w:r>
          </w:p>
        </w:tc>
        <w:tc>
          <w:tcPr>
            <w:tcW w:w="124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(1.3)</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Company contributions</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11.0</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4.5</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Plan participants’ contributions</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0.4</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0.4</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6"/>
                <w:szCs w:val="16"/>
                <w:color w:val="auto"/>
              </w:rPr>
              <w:t>Administrative expenses</w:t>
            </w:r>
          </w:p>
        </w:tc>
        <w:tc>
          <w:tcPr>
            <w:tcW w:w="2620" w:type="dxa"/>
            <w:vAlign w:val="bottom"/>
          </w:tcPr>
          <w:p>
            <w:pPr>
              <w:jc w:val="right"/>
              <w:ind w:right="260"/>
              <w:spacing w:after="0"/>
              <w:rPr>
                <w:sz w:val="20"/>
                <w:szCs w:val="20"/>
                <w:color w:val="auto"/>
              </w:rPr>
            </w:pPr>
            <w:r>
              <w:rPr>
                <w:rFonts w:ascii="Arial" w:cs="Arial" w:eastAsia="Arial" w:hAnsi="Arial"/>
                <w:sz w:val="16"/>
                <w:szCs w:val="16"/>
                <w:color w:val="auto"/>
              </w:rPr>
              <w:t>(0.8)</w:t>
            </w: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(0.3)</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2.2</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(0.4)</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Benefits paid</w:t>
            </w:r>
          </w:p>
        </w:tc>
        <w:tc>
          <w:tcPr>
            <w:tcW w:w="2620" w:type="dxa"/>
            <w:vAlign w:val="bottom"/>
          </w:tcPr>
          <w:p>
            <w:pPr>
              <w:jc w:val="right"/>
              <w:ind w:right="260"/>
              <w:spacing w:after="0"/>
              <w:rPr>
                <w:sz w:val="20"/>
                <w:szCs w:val="20"/>
                <w:color w:val="auto"/>
              </w:rPr>
            </w:pPr>
            <w:r>
              <w:rPr>
                <w:rFonts w:ascii="Arial" w:cs="Arial" w:eastAsia="Arial" w:hAnsi="Arial"/>
                <w:sz w:val="16"/>
                <w:szCs w:val="16"/>
                <w:color w:val="auto"/>
              </w:rPr>
              <w:t>(8.9)</w:t>
            </w: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(8.6)</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380" w:type="dxa"/>
            <w:vAlign w:val="bottom"/>
            <w:gridSpan w:val="2"/>
          </w:tcPr>
          <w:p>
            <w:pPr>
              <w:spacing w:after="0"/>
              <w:rPr>
                <w:sz w:val="10"/>
                <w:szCs w:val="10"/>
                <w:color w:val="auto"/>
              </w:rPr>
            </w:pPr>
          </w:p>
        </w:tc>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360" w:type="dxa"/>
            <w:vAlign w:val="bottom"/>
            <w:tcBorders>
              <w:top w:val="single" w:sz="8" w:color="808080"/>
            </w:tcBorders>
          </w:tcPr>
          <w:p>
            <w:pPr>
              <w:spacing w:after="0"/>
              <w:rPr>
                <w:sz w:val="7"/>
                <w:szCs w:val="7"/>
                <w:color w:val="auto"/>
              </w:rPr>
            </w:pPr>
          </w:p>
        </w:tc>
        <w:tc>
          <w:tcPr>
            <w:tcW w:w="2620" w:type="dxa"/>
            <w:vAlign w:val="bottom"/>
            <w:tcBorders>
              <w:top w:val="single" w:sz="8" w:color="808080"/>
            </w:tcBorders>
          </w:tcPr>
          <w:p>
            <w:pPr>
              <w:spacing w:after="0"/>
              <w:rPr>
                <w:sz w:val="7"/>
                <w:szCs w:val="7"/>
                <w:color w:val="auto"/>
              </w:rPr>
            </w:pPr>
          </w:p>
        </w:tc>
        <w:tc>
          <w:tcPr>
            <w:tcW w:w="1240" w:type="dxa"/>
            <w:vAlign w:val="bottom"/>
            <w:tcBorders>
              <w:top w:val="single" w:sz="8" w:color="808080"/>
            </w:tcBorders>
          </w:tcPr>
          <w:p>
            <w:pPr>
              <w:spacing w:after="0"/>
              <w:rPr>
                <w:sz w:val="7"/>
                <w:szCs w:val="7"/>
                <w:color w:val="auto"/>
              </w:rPr>
            </w:pPr>
          </w:p>
        </w:tc>
        <w:tc>
          <w:tcPr>
            <w:tcW w:w="1220" w:type="dxa"/>
            <w:vAlign w:val="bottom"/>
            <w:tcBorders>
              <w:top w:val="single" w:sz="8" w:color="808080"/>
            </w:tcBorders>
          </w:tcPr>
          <w:p>
            <w:pPr>
              <w:spacing w:after="0"/>
              <w:rPr>
                <w:sz w:val="7"/>
                <w:szCs w:val="7"/>
                <w:color w:val="auto"/>
              </w:rPr>
            </w:pPr>
          </w:p>
        </w:tc>
        <w:tc>
          <w:tcPr>
            <w:tcW w:w="96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3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Fair value of plan assets at end of year</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b w:val="1"/>
                <w:bCs w:val="1"/>
                <w:color w:val="auto"/>
              </w:rPr>
              <w:t>$ 88.9</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b w:val="1"/>
                <w:bCs w:val="1"/>
                <w:color w:val="auto"/>
              </w:rPr>
              <w:t>$ 87.3</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b w:val="1"/>
                <w:bCs w:val="1"/>
                <w:color w:val="auto"/>
              </w:rPr>
              <w:t>$ —</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b w:val="1"/>
                <w:bCs w:val="1"/>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5380" w:type="dxa"/>
            <w:vAlign w:val="bottom"/>
            <w:gridSpan w:val="2"/>
          </w:tcPr>
          <w:p>
            <w:pPr>
              <w:spacing w:after="0"/>
              <w:rPr>
                <w:sz w:val="20"/>
                <w:szCs w:val="20"/>
                <w:color w:val="auto"/>
              </w:rPr>
            </w:pPr>
            <w:r>
              <w:rPr>
                <w:rFonts w:ascii="Arial" w:cs="Arial" w:eastAsia="Arial" w:hAnsi="Arial"/>
                <w:sz w:val="16"/>
                <w:szCs w:val="16"/>
                <w:color w:val="auto"/>
              </w:rPr>
              <w:t>Funded status</w:t>
            </w:r>
          </w:p>
        </w:tc>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Underfunded status of the plans</w:t>
            </w:r>
          </w:p>
        </w:tc>
        <w:tc>
          <w:tcPr>
            <w:tcW w:w="2620" w:type="dxa"/>
            <w:vAlign w:val="bottom"/>
            <w:shd w:val="clear" w:color="auto" w:fill="DDDDDD"/>
          </w:tcPr>
          <w:p>
            <w:pPr>
              <w:jc w:val="right"/>
              <w:ind w:right="260"/>
              <w:spacing w:after="0"/>
              <w:rPr>
                <w:sz w:val="20"/>
                <w:szCs w:val="20"/>
                <w:color w:val="auto"/>
              </w:rPr>
            </w:pPr>
            <w:r>
              <w:rPr>
                <w:rFonts w:ascii="Arial" w:cs="Arial" w:eastAsia="Arial" w:hAnsi="Arial"/>
                <w:sz w:val="16"/>
                <w:szCs w:val="16"/>
                <w:color w:val="auto"/>
              </w:rPr>
              <w:t>$ (42.3)</w:t>
            </w:r>
          </w:p>
        </w:tc>
        <w:tc>
          <w:tcPr>
            <w:tcW w:w="124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 (24.3)</w:t>
            </w:r>
          </w:p>
        </w:tc>
        <w:tc>
          <w:tcPr>
            <w:tcW w:w="122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 (28.8)</w:t>
            </w:r>
          </w:p>
        </w:tc>
        <w:tc>
          <w:tcPr>
            <w:tcW w:w="960" w:type="dxa"/>
            <w:vAlign w:val="bottom"/>
            <w:shd w:val="clear" w:color="auto" w:fill="DDDDDD"/>
          </w:tcPr>
          <w:p>
            <w:pPr>
              <w:jc w:val="right"/>
              <w:ind w:right="20"/>
              <w:spacing w:after="0"/>
              <w:rPr>
                <w:sz w:val="20"/>
                <w:szCs w:val="20"/>
                <w:color w:val="auto"/>
              </w:rPr>
            </w:pPr>
            <w:r>
              <w:rPr>
                <w:rFonts w:ascii="Arial" w:cs="Arial" w:eastAsia="Arial" w:hAnsi="Arial"/>
                <w:sz w:val="16"/>
                <w:szCs w:val="16"/>
                <w:color w:val="auto"/>
              </w:rPr>
              <w:t>$ (23.4)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Unrecognized net actuarial loss</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54.0</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30.6</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18.9</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Unrecognized prior service cost</w:t>
            </w:r>
          </w:p>
        </w:tc>
        <w:tc>
          <w:tcPr>
            <w:tcW w:w="2620" w:type="dxa"/>
            <w:vAlign w:val="bottom"/>
            <w:shd w:val="clear" w:color="auto" w:fill="DDDDDD"/>
          </w:tcPr>
          <w:p>
            <w:pPr>
              <w:jc w:val="right"/>
              <w:ind w:right="260"/>
              <w:spacing w:after="0"/>
              <w:rPr>
                <w:sz w:val="20"/>
                <w:szCs w:val="20"/>
                <w:color w:val="auto"/>
              </w:rPr>
            </w:pPr>
            <w:r>
              <w:rPr>
                <w:rFonts w:ascii="Arial" w:cs="Arial" w:eastAsia="Arial" w:hAnsi="Arial"/>
                <w:sz w:val="16"/>
                <w:szCs w:val="16"/>
                <w:color w:val="auto"/>
              </w:rPr>
              <w:t>(2.1)</w:t>
            </w:r>
          </w:p>
        </w:tc>
        <w:tc>
          <w:tcPr>
            <w:tcW w:w="124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(2.6)</w:t>
            </w:r>
          </w:p>
        </w:tc>
        <w:tc>
          <w:tcPr>
            <w:tcW w:w="1220" w:type="dxa"/>
            <w:vAlign w:val="bottom"/>
            <w:shd w:val="clear" w:color="auto" w:fill="DDDDDD"/>
          </w:tcPr>
          <w:p>
            <w:pPr>
              <w:jc w:val="right"/>
              <w:ind w:right="280"/>
              <w:spacing w:after="0"/>
              <w:rPr>
                <w:sz w:val="20"/>
                <w:szCs w:val="20"/>
                <w:color w:val="auto"/>
              </w:rPr>
            </w:pPr>
            <w:r>
              <w:rPr>
                <w:rFonts w:ascii="Arial" w:cs="Arial" w:eastAsia="Arial" w:hAnsi="Arial"/>
                <w:sz w:val="16"/>
                <w:szCs w:val="16"/>
                <w:color w:val="auto"/>
              </w:rPr>
              <w:t>(8.1)</w:t>
            </w:r>
          </w:p>
        </w:tc>
        <w:tc>
          <w:tcPr>
            <w:tcW w:w="960" w:type="dxa"/>
            <w:vAlign w:val="bottom"/>
            <w:shd w:val="clear" w:color="auto" w:fill="DDDDDD"/>
          </w:tcPr>
          <w:p>
            <w:pPr>
              <w:jc w:val="right"/>
              <w:ind w:right="20"/>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Unrecognized net asset obligation</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0.4</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0.5</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380" w:type="dxa"/>
            <w:vAlign w:val="bottom"/>
            <w:gridSpan w:val="2"/>
          </w:tcPr>
          <w:p>
            <w:pPr>
              <w:spacing w:after="0"/>
              <w:rPr>
                <w:sz w:val="10"/>
                <w:szCs w:val="10"/>
                <w:color w:val="auto"/>
              </w:rPr>
            </w:pPr>
          </w:p>
        </w:tc>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360" w:type="dxa"/>
            <w:vAlign w:val="bottom"/>
            <w:tcBorders>
              <w:top w:val="single" w:sz="8" w:color="808080"/>
            </w:tcBorders>
          </w:tcPr>
          <w:p>
            <w:pPr>
              <w:spacing w:after="0"/>
              <w:rPr>
                <w:sz w:val="7"/>
                <w:szCs w:val="7"/>
                <w:color w:val="auto"/>
              </w:rPr>
            </w:pPr>
          </w:p>
        </w:tc>
        <w:tc>
          <w:tcPr>
            <w:tcW w:w="2620" w:type="dxa"/>
            <w:vAlign w:val="bottom"/>
            <w:tcBorders>
              <w:top w:val="single" w:sz="8" w:color="808080"/>
            </w:tcBorders>
          </w:tcPr>
          <w:p>
            <w:pPr>
              <w:spacing w:after="0"/>
              <w:rPr>
                <w:sz w:val="7"/>
                <w:szCs w:val="7"/>
                <w:color w:val="auto"/>
              </w:rPr>
            </w:pPr>
          </w:p>
        </w:tc>
        <w:tc>
          <w:tcPr>
            <w:tcW w:w="1240" w:type="dxa"/>
            <w:vAlign w:val="bottom"/>
            <w:tcBorders>
              <w:top w:val="single" w:sz="8" w:color="808080"/>
            </w:tcBorders>
          </w:tcPr>
          <w:p>
            <w:pPr>
              <w:spacing w:after="0"/>
              <w:rPr>
                <w:sz w:val="7"/>
                <w:szCs w:val="7"/>
                <w:color w:val="auto"/>
              </w:rPr>
            </w:pPr>
          </w:p>
        </w:tc>
        <w:tc>
          <w:tcPr>
            <w:tcW w:w="1220" w:type="dxa"/>
            <w:vAlign w:val="bottom"/>
            <w:tcBorders>
              <w:top w:val="single" w:sz="8" w:color="808080"/>
            </w:tcBorders>
          </w:tcPr>
          <w:p>
            <w:pPr>
              <w:spacing w:after="0"/>
              <w:rPr>
                <w:sz w:val="7"/>
                <w:szCs w:val="7"/>
                <w:color w:val="auto"/>
              </w:rPr>
            </w:pPr>
          </w:p>
        </w:tc>
        <w:tc>
          <w:tcPr>
            <w:tcW w:w="96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3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Accrued benefit asset/(liability)</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b w:val="1"/>
                <w:bCs w:val="1"/>
                <w:color w:val="auto"/>
              </w:rPr>
              <w:t>$ 10.0</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b w:val="1"/>
                <w:bCs w:val="1"/>
                <w:color w:val="auto"/>
              </w:rPr>
              <w:t>$ 4.2</w:t>
            </w:r>
          </w:p>
        </w:tc>
        <w:tc>
          <w:tcPr>
            <w:tcW w:w="1220" w:type="dxa"/>
            <w:vAlign w:val="bottom"/>
            <w:shd w:val="clear" w:color="auto" w:fill="DDDDDD"/>
          </w:tcPr>
          <w:p>
            <w:pPr>
              <w:jc w:val="right"/>
              <w:ind w:right="280"/>
              <w:spacing w:after="0"/>
              <w:rPr>
                <w:sz w:val="20"/>
                <w:szCs w:val="20"/>
                <w:color w:val="auto"/>
              </w:rPr>
            </w:pPr>
            <w:r>
              <w:rPr>
                <w:rFonts w:ascii="Arial" w:cs="Arial" w:eastAsia="Arial" w:hAnsi="Arial"/>
                <w:sz w:val="16"/>
                <w:szCs w:val="16"/>
                <w:b w:val="1"/>
                <w:bCs w:val="1"/>
                <w:color w:val="auto"/>
              </w:rPr>
              <w:t>$ (18.0)</w:t>
            </w:r>
          </w:p>
        </w:tc>
        <w:tc>
          <w:tcPr>
            <w:tcW w:w="960" w:type="dxa"/>
            <w:vAlign w:val="bottom"/>
            <w:shd w:val="clear" w:color="auto" w:fill="DDDDDD"/>
          </w:tcPr>
          <w:p>
            <w:pPr>
              <w:jc w:val="right"/>
              <w:ind w:right="20"/>
              <w:spacing w:after="0"/>
              <w:rPr>
                <w:sz w:val="20"/>
                <w:szCs w:val="20"/>
                <w:color w:val="auto"/>
              </w:rPr>
            </w:pPr>
            <w:r>
              <w:rPr>
                <w:rFonts w:ascii="Arial" w:cs="Arial" w:eastAsia="Arial" w:hAnsi="Arial"/>
                <w:sz w:val="16"/>
                <w:szCs w:val="16"/>
                <w:b w:val="1"/>
                <w:bCs w:val="1"/>
                <w:color w:val="auto"/>
              </w:rPr>
              <w:t>$ (17.6)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5380" w:type="dxa"/>
            <w:vAlign w:val="bottom"/>
            <w:gridSpan w:val="2"/>
          </w:tcPr>
          <w:p>
            <w:pPr>
              <w:spacing w:after="0"/>
              <w:rPr>
                <w:sz w:val="20"/>
                <w:szCs w:val="20"/>
                <w:color w:val="auto"/>
              </w:rPr>
            </w:pPr>
            <w:r>
              <w:rPr>
                <w:rFonts w:ascii="Arial" w:cs="Arial" w:eastAsia="Arial" w:hAnsi="Arial"/>
                <w:sz w:val="16"/>
                <w:szCs w:val="16"/>
                <w:color w:val="auto"/>
              </w:rPr>
              <w:t>Amounts recognized in the Consolidated Balance Sheets</w:t>
            </w:r>
          </w:p>
        </w:tc>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shd w:val="clear" w:color="auto" w:fill="DDDDDD"/>
          </w:tcPr>
          <w:p>
            <w:pPr>
              <w:ind w:left="780"/>
              <w:spacing w:after="0"/>
              <w:rPr>
                <w:sz w:val="20"/>
                <w:szCs w:val="20"/>
                <w:color w:val="auto"/>
              </w:rPr>
            </w:pPr>
            <w:r>
              <w:rPr>
                <w:rFonts w:ascii="Arial" w:cs="Arial" w:eastAsia="Arial" w:hAnsi="Arial"/>
                <w:sz w:val="16"/>
                <w:szCs w:val="16"/>
                <w:color w:val="auto"/>
              </w:rPr>
              <w:t>Prepaid benefit cost</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$ 8.8</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$ 3.3</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 —</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Pr>
          <w:p>
            <w:pPr>
              <w:ind w:left="760"/>
              <w:spacing w:after="0"/>
              <w:rPr>
                <w:sz w:val="20"/>
                <w:szCs w:val="20"/>
                <w:color w:val="auto"/>
              </w:rPr>
            </w:pPr>
            <w:r>
              <w:rPr>
                <w:rFonts w:ascii="Arial" w:cs="Arial" w:eastAsia="Arial" w:hAnsi="Arial"/>
                <w:sz w:val="16"/>
                <w:szCs w:val="16"/>
                <w:color w:val="auto"/>
              </w:rPr>
              <w:t>Accrued benefit liability</w:t>
            </w:r>
          </w:p>
        </w:tc>
        <w:tc>
          <w:tcPr>
            <w:tcW w:w="2620" w:type="dxa"/>
            <w:vAlign w:val="bottom"/>
          </w:tcPr>
          <w:p>
            <w:pPr>
              <w:jc w:val="right"/>
              <w:ind w:right="260"/>
              <w:spacing w:after="0"/>
              <w:rPr>
                <w:sz w:val="20"/>
                <w:szCs w:val="20"/>
                <w:color w:val="auto"/>
              </w:rPr>
            </w:pPr>
            <w:r>
              <w:rPr>
                <w:rFonts w:ascii="Arial" w:cs="Arial" w:eastAsia="Arial" w:hAnsi="Arial"/>
                <w:sz w:val="16"/>
                <w:szCs w:val="16"/>
                <w:color w:val="auto"/>
              </w:rPr>
              <w:t>(43.3)</w:t>
            </w: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(21.9)</w:t>
            </w: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(18.0)</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DDDDD"/>
          </w:tcPr>
          <w:p>
            <w:pPr>
              <w:ind w:left="780"/>
              <w:spacing w:after="0"/>
              <w:rPr>
                <w:sz w:val="20"/>
                <w:szCs w:val="20"/>
                <w:color w:val="auto"/>
              </w:rPr>
            </w:pPr>
            <w:r>
              <w:rPr>
                <w:rFonts w:ascii="Arial" w:cs="Arial" w:eastAsia="Arial" w:hAnsi="Arial"/>
                <w:sz w:val="16"/>
                <w:szCs w:val="16"/>
                <w:color w:val="auto"/>
              </w:rPr>
              <w:t>Intangible asset</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0.1</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ind w:left="760"/>
              <w:spacing w:after="0"/>
              <w:rPr>
                <w:sz w:val="20"/>
                <w:szCs w:val="20"/>
                <w:color w:val="auto"/>
              </w:rPr>
            </w:pPr>
            <w:r>
              <w:rPr>
                <w:rFonts w:ascii="Arial" w:cs="Arial" w:eastAsia="Arial" w:hAnsi="Arial"/>
                <w:sz w:val="16"/>
                <w:szCs w:val="16"/>
                <w:color w:val="auto"/>
              </w:rPr>
              <w:t>Accumulated other comprehensive loss</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43.2</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21.8</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380" w:type="dxa"/>
            <w:vAlign w:val="bottom"/>
            <w:gridSpan w:val="2"/>
          </w:tcPr>
          <w:p>
            <w:pPr>
              <w:spacing w:after="0"/>
              <w:rPr>
                <w:sz w:val="10"/>
                <w:szCs w:val="10"/>
                <w:color w:val="auto"/>
              </w:rPr>
            </w:pPr>
          </w:p>
        </w:tc>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360" w:type="dxa"/>
            <w:vAlign w:val="bottom"/>
            <w:tcBorders>
              <w:top w:val="single" w:sz="8" w:color="808080"/>
            </w:tcBorders>
          </w:tcPr>
          <w:p>
            <w:pPr>
              <w:spacing w:after="0"/>
              <w:rPr>
                <w:sz w:val="7"/>
                <w:szCs w:val="7"/>
                <w:color w:val="auto"/>
              </w:rPr>
            </w:pPr>
          </w:p>
        </w:tc>
        <w:tc>
          <w:tcPr>
            <w:tcW w:w="2620" w:type="dxa"/>
            <w:vAlign w:val="bottom"/>
            <w:tcBorders>
              <w:top w:val="single" w:sz="8" w:color="808080"/>
            </w:tcBorders>
          </w:tcPr>
          <w:p>
            <w:pPr>
              <w:spacing w:after="0"/>
              <w:rPr>
                <w:sz w:val="7"/>
                <w:szCs w:val="7"/>
                <w:color w:val="auto"/>
              </w:rPr>
            </w:pPr>
          </w:p>
        </w:tc>
        <w:tc>
          <w:tcPr>
            <w:tcW w:w="1240" w:type="dxa"/>
            <w:vAlign w:val="bottom"/>
            <w:tcBorders>
              <w:top w:val="single" w:sz="8" w:color="808080"/>
            </w:tcBorders>
          </w:tcPr>
          <w:p>
            <w:pPr>
              <w:spacing w:after="0"/>
              <w:rPr>
                <w:sz w:val="7"/>
                <w:szCs w:val="7"/>
                <w:color w:val="auto"/>
              </w:rPr>
            </w:pPr>
          </w:p>
        </w:tc>
        <w:tc>
          <w:tcPr>
            <w:tcW w:w="1220" w:type="dxa"/>
            <w:vAlign w:val="bottom"/>
            <w:tcBorders>
              <w:top w:val="single" w:sz="8" w:color="808080"/>
            </w:tcBorders>
          </w:tcPr>
          <w:p>
            <w:pPr>
              <w:spacing w:after="0"/>
              <w:rPr>
                <w:sz w:val="7"/>
                <w:szCs w:val="7"/>
                <w:color w:val="auto"/>
              </w:rPr>
            </w:pPr>
          </w:p>
        </w:tc>
        <w:tc>
          <w:tcPr>
            <w:tcW w:w="96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3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Net amount recognized</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b w:val="1"/>
                <w:bCs w:val="1"/>
                <w:color w:val="auto"/>
              </w:rPr>
              <w:t>$ 8.8</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b w:val="1"/>
                <w:bCs w:val="1"/>
                <w:color w:val="auto"/>
              </w:rPr>
              <w:t>$ 3.2</w:t>
            </w:r>
          </w:p>
        </w:tc>
        <w:tc>
          <w:tcPr>
            <w:tcW w:w="1220" w:type="dxa"/>
            <w:vAlign w:val="bottom"/>
            <w:shd w:val="clear" w:color="auto" w:fill="DDDDDD"/>
          </w:tcPr>
          <w:p>
            <w:pPr>
              <w:jc w:val="right"/>
              <w:ind w:right="280"/>
              <w:spacing w:after="0"/>
              <w:rPr>
                <w:sz w:val="20"/>
                <w:szCs w:val="20"/>
                <w:color w:val="auto"/>
              </w:rPr>
            </w:pPr>
            <w:r>
              <w:rPr>
                <w:rFonts w:ascii="Arial" w:cs="Arial" w:eastAsia="Arial" w:hAnsi="Arial"/>
                <w:sz w:val="16"/>
                <w:szCs w:val="16"/>
                <w:b w:val="1"/>
                <w:bCs w:val="1"/>
                <w:color w:val="auto"/>
              </w:rPr>
              <w:t>$ (18.0)</w:t>
            </w:r>
          </w:p>
        </w:tc>
        <w:tc>
          <w:tcPr>
            <w:tcW w:w="960" w:type="dxa"/>
            <w:vAlign w:val="bottom"/>
            <w:shd w:val="clear" w:color="auto" w:fill="DDDDDD"/>
          </w:tcPr>
          <w:p>
            <w:pPr>
              <w:jc w:val="right"/>
              <w:ind w:right="20"/>
              <w:spacing w:after="0"/>
              <w:rPr>
                <w:sz w:val="20"/>
                <w:szCs w:val="20"/>
                <w:color w:val="auto"/>
              </w:rPr>
            </w:pPr>
            <w:r>
              <w:rPr>
                <w:rFonts w:ascii="Arial" w:cs="Arial" w:eastAsia="Arial" w:hAnsi="Arial"/>
                <w:sz w:val="16"/>
                <w:szCs w:val="16"/>
                <w:b w:val="1"/>
                <w:bCs w:val="1"/>
                <w:color w:val="auto"/>
              </w:rPr>
              <w:t>$ (17.6)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5380" w:type="dxa"/>
            <w:vAlign w:val="bottom"/>
            <w:gridSpan w:val="2"/>
          </w:tcPr>
          <w:p>
            <w:pPr>
              <w:spacing w:after="0"/>
              <w:rPr>
                <w:sz w:val="20"/>
                <w:szCs w:val="20"/>
                <w:color w:val="auto"/>
              </w:rPr>
            </w:pPr>
            <w:r>
              <w:rPr>
                <w:rFonts w:ascii="Arial" w:cs="Arial" w:eastAsia="Arial" w:hAnsi="Arial"/>
                <w:sz w:val="16"/>
                <w:szCs w:val="16"/>
                <w:color w:val="auto"/>
              </w:rPr>
              <w:t>Weighted average assumptions</w:t>
            </w:r>
          </w:p>
        </w:tc>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Discount rate</w:t>
            </w:r>
          </w:p>
        </w:tc>
        <w:tc>
          <w:tcPr>
            <w:tcW w:w="2620" w:type="dxa"/>
            <w:vAlign w:val="bottom"/>
            <w:shd w:val="clear" w:color="auto" w:fill="DDDDDD"/>
          </w:tcPr>
          <w:p>
            <w:pPr>
              <w:jc w:val="right"/>
              <w:ind w:right="320"/>
              <w:spacing w:after="0"/>
              <w:rPr>
                <w:sz w:val="20"/>
                <w:szCs w:val="20"/>
                <w:color w:val="auto"/>
              </w:rPr>
            </w:pPr>
            <w:r>
              <w:rPr>
                <w:rFonts w:ascii="Arial" w:cs="Arial" w:eastAsia="Arial" w:hAnsi="Arial"/>
                <w:sz w:val="16"/>
                <w:szCs w:val="16"/>
                <w:color w:val="auto"/>
              </w:rPr>
              <w:t>6.0%</w:t>
            </w:r>
          </w:p>
        </w:tc>
        <w:tc>
          <w:tcPr>
            <w:tcW w:w="124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7.1%</w:t>
            </w:r>
          </w:p>
        </w:tc>
        <w:tc>
          <w:tcPr>
            <w:tcW w:w="12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6.0%</w:t>
            </w:r>
          </w:p>
        </w:tc>
        <w:tc>
          <w:tcPr>
            <w:tcW w:w="960" w:type="dxa"/>
            <w:vAlign w:val="bottom"/>
            <w:shd w:val="clear" w:color="auto" w:fill="DDDDDD"/>
          </w:tcPr>
          <w:p>
            <w:pPr>
              <w:jc w:val="right"/>
              <w:ind w:right="80"/>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ind w:left="380"/>
              <w:spacing w:after="0"/>
              <w:rPr>
                <w:sz w:val="20"/>
                <w:szCs w:val="20"/>
                <w:color w:val="auto"/>
              </w:rPr>
            </w:pPr>
            <w:r>
              <w:rPr>
                <w:rFonts w:ascii="Arial" w:cs="Arial" w:eastAsia="Arial" w:hAnsi="Arial"/>
                <w:sz w:val="16"/>
                <w:szCs w:val="16"/>
                <w:color w:val="auto"/>
              </w:rPr>
              <w:t>Compensation increase factor</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4.0%</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4.1%</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Borders>
              <w:bottom w:val="single" w:sz="8" w:color="808080"/>
            </w:tcBorders>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63" w:lineRule="exact"/>
        <w:rPr>
          <w:sz w:val="20"/>
          <w:szCs w:val="20"/>
          <w:color w:val="auto"/>
        </w:rPr>
      </w:pPr>
    </w:p>
    <w:p>
      <w:pPr>
        <w:ind w:right="520"/>
        <w:spacing w:after="0" w:line="318" w:lineRule="auto"/>
        <w:rPr>
          <w:sz w:val="20"/>
          <w:szCs w:val="20"/>
          <w:color w:val="auto"/>
        </w:rPr>
      </w:pPr>
      <w:r>
        <w:rPr>
          <w:rFonts w:ascii="Arial" w:cs="Arial" w:eastAsia="Arial" w:hAnsi="Arial"/>
          <w:sz w:val="15"/>
          <w:szCs w:val="15"/>
          <w:color w:val="auto"/>
        </w:rPr>
        <w:t>The Company’s pension plans have different measurement dates as follows: for the Pension Plan—May 31, 2003; for the U.K. Pension Plan—March 31, 2003; and for the Grolier Canada Pension Plan—December 31, 2002. Plan assets consist primarily of stocks, bonds, money market funds and U.S. government obligations.</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the pension plans with accumulated benefit obligations in excess of plan assets is as follows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5868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4040" w:type="dxa"/>
            <w:vAlign w:val="bottom"/>
          </w:tcPr>
          <w:p>
            <w:pPr>
              <w:jc w:val="right"/>
              <w:ind w:right="536"/>
              <w:spacing w:after="0"/>
              <w:rPr>
                <w:sz w:val="20"/>
                <w:szCs w:val="20"/>
                <w:color w:val="auto"/>
              </w:rPr>
            </w:pPr>
            <w:r>
              <w:rPr>
                <w:rFonts w:ascii="Arial" w:cs="Arial" w:eastAsia="Arial" w:hAnsi="Arial"/>
                <w:sz w:val="20"/>
                <w:szCs w:val="20"/>
                <w:b w:val="1"/>
                <w:bCs w:val="1"/>
                <w:color w:val="auto"/>
              </w:rPr>
              <w:t>2003</w:t>
            </w:r>
          </w:p>
        </w:tc>
        <w:tc>
          <w:tcPr>
            <w:tcW w:w="1340" w:type="dxa"/>
            <w:vAlign w:val="bottom"/>
          </w:tcPr>
          <w:p>
            <w:pPr>
              <w:jc w:val="right"/>
              <w:ind w:right="276"/>
              <w:spacing w:after="0"/>
              <w:rPr>
                <w:sz w:val="20"/>
                <w:szCs w:val="20"/>
                <w:color w:val="auto"/>
              </w:rPr>
            </w:pPr>
            <w:r>
              <w:rPr>
                <w:rFonts w:ascii="Arial" w:cs="Arial" w:eastAsia="Arial" w:hAnsi="Arial"/>
                <w:sz w:val="20"/>
                <w:szCs w:val="20"/>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020" w:type="dxa"/>
            <w:vAlign w:val="bottom"/>
            <w:tcBorders>
              <w:bottom w:val="single" w:sz="8" w:color="808080"/>
            </w:tcBorders>
          </w:tcPr>
          <w:p>
            <w:pPr>
              <w:spacing w:after="0"/>
              <w:rPr>
                <w:sz w:val="7"/>
                <w:szCs w:val="7"/>
                <w:color w:val="auto"/>
              </w:rPr>
            </w:pPr>
          </w:p>
        </w:tc>
        <w:tc>
          <w:tcPr>
            <w:tcW w:w="404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040" w:type="dxa"/>
            <w:vAlign w:val="bottom"/>
            <w:gridSpan w:val="2"/>
          </w:tcPr>
          <w:p>
            <w:pPr>
              <w:spacing w:after="0"/>
              <w:rPr>
                <w:sz w:val="20"/>
                <w:szCs w:val="20"/>
                <w:color w:val="auto"/>
              </w:rPr>
            </w:pPr>
            <w:r>
              <w:rPr>
                <w:rFonts w:ascii="Arial" w:cs="Arial" w:eastAsia="Arial" w:hAnsi="Arial"/>
                <w:sz w:val="16"/>
                <w:szCs w:val="16"/>
                <w:color w:val="auto"/>
              </w:rPr>
              <w:t>Projected benefit obligations</w:t>
            </w:r>
          </w:p>
        </w:tc>
        <w:tc>
          <w:tcPr>
            <w:tcW w:w="4040" w:type="dxa"/>
            <w:vAlign w:val="bottom"/>
          </w:tcPr>
          <w:p>
            <w:pPr>
              <w:jc w:val="right"/>
              <w:ind w:right="536"/>
              <w:spacing w:after="0"/>
              <w:rPr>
                <w:sz w:val="20"/>
                <w:szCs w:val="20"/>
                <w:color w:val="auto"/>
              </w:rPr>
            </w:pPr>
            <w:r>
              <w:rPr>
                <w:rFonts w:ascii="Arial" w:cs="Arial" w:eastAsia="Arial" w:hAnsi="Arial"/>
                <w:sz w:val="16"/>
                <w:szCs w:val="16"/>
                <w:color w:val="auto"/>
              </w:rPr>
              <w:t>$ 124.9</w:t>
            </w:r>
          </w:p>
        </w:tc>
        <w:tc>
          <w:tcPr>
            <w:tcW w:w="1340" w:type="dxa"/>
            <w:vAlign w:val="bottom"/>
          </w:tcPr>
          <w:p>
            <w:pPr>
              <w:jc w:val="right"/>
              <w:ind w:right="276"/>
              <w:spacing w:after="0"/>
              <w:rPr>
                <w:sz w:val="20"/>
                <w:szCs w:val="20"/>
                <w:color w:val="auto"/>
              </w:rPr>
            </w:pPr>
            <w:r>
              <w:rPr>
                <w:rFonts w:ascii="Arial" w:cs="Arial" w:eastAsia="Arial" w:hAnsi="Arial"/>
                <w:sz w:val="16"/>
                <w:szCs w:val="16"/>
                <w:color w:val="auto"/>
              </w:rPr>
              <w:t>$ 106.0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020" w:type="dxa"/>
            <w:vAlign w:val="bottom"/>
            <w:shd w:val="clear" w:color="auto" w:fill="DDDDDD"/>
          </w:tcPr>
          <w:p>
            <w:pPr>
              <w:spacing w:after="0"/>
              <w:rPr>
                <w:sz w:val="20"/>
                <w:szCs w:val="20"/>
                <w:color w:val="auto"/>
              </w:rPr>
            </w:pPr>
            <w:r>
              <w:rPr>
                <w:rFonts w:ascii="Arial" w:cs="Arial" w:eastAsia="Arial" w:hAnsi="Arial"/>
                <w:sz w:val="16"/>
                <w:szCs w:val="16"/>
                <w:color w:val="auto"/>
              </w:rPr>
              <w:t>Accumulated benefit obligations</w:t>
            </w:r>
          </w:p>
        </w:tc>
        <w:tc>
          <w:tcPr>
            <w:tcW w:w="4040" w:type="dxa"/>
            <w:vAlign w:val="bottom"/>
            <w:shd w:val="clear" w:color="auto" w:fill="DDDDDD"/>
          </w:tcPr>
          <w:p>
            <w:pPr>
              <w:jc w:val="right"/>
              <w:ind w:right="536"/>
              <w:spacing w:after="0"/>
              <w:rPr>
                <w:sz w:val="20"/>
                <w:szCs w:val="20"/>
                <w:color w:val="auto"/>
              </w:rPr>
            </w:pPr>
            <w:r>
              <w:rPr>
                <w:rFonts w:ascii="Arial" w:cs="Arial" w:eastAsia="Arial" w:hAnsi="Arial"/>
                <w:sz w:val="16"/>
                <w:szCs w:val="16"/>
                <w:color w:val="auto"/>
              </w:rPr>
              <w:t>118.9</w:t>
            </w:r>
          </w:p>
        </w:tc>
        <w:tc>
          <w:tcPr>
            <w:tcW w:w="1340" w:type="dxa"/>
            <w:vAlign w:val="bottom"/>
            <w:shd w:val="clear" w:color="auto" w:fill="DDDDDD"/>
          </w:tcPr>
          <w:p>
            <w:pPr>
              <w:jc w:val="right"/>
              <w:ind w:right="276"/>
              <w:spacing w:after="0"/>
              <w:rPr>
                <w:sz w:val="20"/>
                <w:szCs w:val="20"/>
                <w:color w:val="auto"/>
              </w:rPr>
            </w:pPr>
            <w:r>
              <w:rPr>
                <w:rFonts w:ascii="Arial" w:cs="Arial" w:eastAsia="Arial" w:hAnsi="Arial"/>
                <w:sz w:val="16"/>
                <w:szCs w:val="16"/>
                <w:color w:val="auto"/>
              </w:rPr>
              <w:t>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Arial" w:cs="Arial" w:eastAsia="Arial" w:hAnsi="Arial"/>
                <w:sz w:val="16"/>
                <w:szCs w:val="16"/>
                <w:color w:val="auto"/>
              </w:rPr>
              <w:t>Fair value of plan assets</w:t>
            </w:r>
          </w:p>
        </w:tc>
        <w:tc>
          <w:tcPr>
            <w:tcW w:w="4040" w:type="dxa"/>
            <w:vAlign w:val="bottom"/>
          </w:tcPr>
          <w:p>
            <w:pPr>
              <w:jc w:val="right"/>
              <w:ind w:right="536"/>
              <w:spacing w:after="0"/>
              <w:rPr>
                <w:sz w:val="20"/>
                <w:szCs w:val="20"/>
                <w:color w:val="auto"/>
              </w:rPr>
            </w:pPr>
            <w:r>
              <w:rPr>
                <w:rFonts w:ascii="Arial" w:cs="Arial" w:eastAsia="Arial" w:hAnsi="Arial"/>
                <w:sz w:val="16"/>
                <w:szCs w:val="16"/>
                <w:color w:val="auto"/>
              </w:rPr>
              <w:t>81.7</w:t>
            </w:r>
          </w:p>
        </w:tc>
        <w:tc>
          <w:tcPr>
            <w:tcW w:w="1340" w:type="dxa"/>
            <w:vAlign w:val="bottom"/>
          </w:tcPr>
          <w:p>
            <w:pPr>
              <w:jc w:val="right"/>
              <w:ind w:right="276"/>
              <w:spacing w:after="0"/>
              <w:rPr>
                <w:sz w:val="20"/>
                <w:szCs w:val="20"/>
                <w:color w:val="auto"/>
              </w:rPr>
            </w:pPr>
            <w:r>
              <w:rPr>
                <w:rFonts w:ascii="Arial" w:cs="Arial" w:eastAsia="Arial" w:hAnsi="Arial"/>
                <w:sz w:val="16"/>
                <w:szCs w:val="16"/>
                <w:color w:val="auto"/>
              </w:rPr>
              <w:t>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20" w:type="dxa"/>
            <w:vAlign w:val="bottom"/>
            <w:shd w:val="clear" w:color="auto" w:fill="DDDDDD"/>
          </w:tcPr>
          <w:p>
            <w:pPr>
              <w:spacing w:after="0"/>
              <w:rPr>
                <w:sz w:val="20"/>
                <w:szCs w:val="20"/>
                <w:color w:val="auto"/>
              </w:rPr>
            </w:pPr>
            <w:r>
              <w:rPr>
                <w:rFonts w:ascii="Arial" w:cs="Arial" w:eastAsia="Arial" w:hAnsi="Arial"/>
                <w:sz w:val="16"/>
                <w:szCs w:val="16"/>
                <w:color w:val="auto"/>
              </w:rPr>
              <w:t>Projected weighted average return of plan assets</w:t>
            </w:r>
          </w:p>
        </w:tc>
        <w:tc>
          <w:tcPr>
            <w:tcW w:w="4040" w:type="dxa"/>
            <w:vAlign w:val="bottom"/>
            <w:shd w:val="clear" w:color="auto" w:fill="DDDDDD"/>
          </w:tcPr>
          <w:p>
            <w:pPr>
              <w:jc w:val="right"/>
              <w:ind w:right="396"/>
              <w:spacing w:after="0"/>
              <w:rPr>
                <w:sz w:val="20"/>
                <w:szCs w:val="20"/>
                <w:color w:val="auto"/>
              </w:rPr>
            </w:pPr>
            <w:r>
              <w:rPr>
                <w:rFonts w:ascii="Arial" w:cs="Arial" w:eastAsia="Arial" w:hAnsi="Arial"/>
                <w:sz w:val="16"/>
                <w:szCs w:val="16"/>
                <w:color w:val="auto"/>
              </w:rPr>
              <w:t>8.9%</w:t>
            </w:r>
          </w:p>
        </w:tc>
        <w:tc>
          <w:tcPr>
            <w:tcW w:w="1340" w:type="dxa"/>
            <w:vAlign w:val="bottom"/>
            <w:shd w:val="clear" w:color="auto" w:fill="DDDDDD"/>
          </w:tcPr>
          <w:p>
            <w:pPr>
              <w:jc w:val="right"/>
              <w:ind w:right="136"/>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components of the net periodic benefit costs under the Pension Plan, U.K. Pension Plan and Grolier Canada Pension Plan and the U.S. Post-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Retirement Benefits for the three fiscal years ended May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20"/>
                <w:szCs w:val="20"/>
                <w:b w:val="1"/>
                <w:bCs w:val="1"/>
                <w:color w:val="auto"/>
                <w:w w:val="91"/>
              </w:rPr>
              <w:t>Pension Benefits</w:t>
            </w:r>
          </w:p>
        </w:tc>
        <w:tc>
          <w:tcPr>
            <w:tcW w:w="900" w:type="dxa"/>
            <w:vAlign w:val="bottom"/>
          </w:tcPr>
          <w:p>
            <w:pPr>
              <w:spacing w:after="0"/>
              <w:rPr>
                <w:sz w:val="22"/>
                <w:szCs w:val="22"/>
                <w:color w:val="auto"/>
              </w:rPr>
            </w:pPr>
          </w:p>
        </w:tc>
        <w:tc>
          <w:tcPr>
            <w:tcW w:w="3340" w:type="dxa"/>
            <w:vAlign w:val="bottom"/>
            <w:gridSpan w:val="3"/>
          </w:tcPr>
          <w:p>
            <w:pPr>
              <w:jc w:val="right"/>
              <w:ind w:right="835"/>
              <w:spacing w:after="0"/>
              <w:rPr>
                <w:sz w:val="20"/>
                <w:szCs w:val="20"/>
                <w:color w:val="auto"/>
              </w:rPr>
            </w:pPr>
            <w:r>
              <w:rPr>
                <w:rFonts w:ascii="Arial" w:cs="Arial" w:eastAsia="Arial" w:hAnsi="Arial"/>
                <w:sz w:val="20"/>
                <w:szCs w:val="20"/>
                <w:b w:val="1"/>
                <w:bCs w:val="1"/>
                <w:color w:val="auto"/>
              </w:rPr>
              <w:t>Post-Retirement Benefits</w:t>
            </w:r>
          </w:p>
        </w:tc>
      </w:tr>
      <w:tr>
        <w:trPr>
          <w:trHeight w:val="90"/>
        </w:trPr>
        <w:tc>
          <w:tcPr>
            <w:tcW w:w="386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r>
      <w:tr>
        <w:trPr>
          <w:trHeight w:val="321"/>
        </w:trPr>
        <w:tc>
          <w:tcPr>
            <w:tcW w:w="3860" w:type="dxa"/>
            <w:vAlign w:val="bottom"/>
          </w:tcPr>
          <w:p>
            <w:pPr>
              <w:spacing w:after="0"/>
              <w:rPr>
                <w:sz w:val="24"/>
                <w:szCs w:val="24"/>
                <w:color w:val="auto"/>
              </w:rPr>
            </w:pPr>
          </w:p>
        </w:tc>
        <w:tc>
          <w:tcPr>
            <w:tcW w:w="1700" w:type="dxa"/>
            <w:vAlign w:val="bottom"/>
          </w:tcPr>
          <w:p>
            <w:pPr>
              <w:jc w:val="right"/>
              <w:ind w:right="95"/>
              <w:spacing w:after="0"/>
              <w:rPr>
                <w:sz w:val="20"/>
                <w:szCs w:val="20"/>
                <w:color w:val="auto"/>
              </w:rPr>
            </w:pPr>
            <w:r>
              <w:rPr>
                <w:rFonts w:ascii="Arial" w:cs="Arial" w:eastAsia="Arial" w:hAnsi="Arial"/>
                <w:sz w:val="20"/>
                <w:szCs w:val="20"/>
                <w:b w:val="1"/>
                <w:bCs w:val="1"/>
                <w:color w:val="auto"/>
              </w:rPr>
              <w:t>2003</w:t>
            </w:r>
          </w:p>
        </w:tc>
        <w:tc>
          <w:tcPr>
            <w:tcW w:w="1620" w:type="dxa"/>
            <w:vAlign w:val="bottom"/>
          </w:tcPr>
          <w:p>
            <w:pPr>
              <w:jc w:val="right"/>
              <w:ind w:right="553"/>
              <w:spacing w:after="0"/>
              <w:rPr>
                <w:sz w:val="20"/>
                <w:szCs w:val="20"/>
                <w:color w:val="auto"/>
              </w:rPr>
            </w:pPr>
            <w:r>
              <w:rPr>
                <w:rFonts w:ascii="Arial" w:cs="Arial" w:eastAsia="Arial" w:hAnsi="Arial"/>
                <w:sz w:val="20"/>
                <w:szCs w:val="20"/>
                <w:b w:val="1"/>
                <w:bCs w:val="1"/>
                <w:color w:val="auto"/>
              </w:rPr>
              <w:t>2002</w:t>
            </w:r>
          </w:p>
        </w:tc>
        <w:tc>
          <w:tcPr>
            <w:tcW w:w="900" w:type="dxa"/>
            <w:vAlign w:val="bottom"/>
          </w:tcPr>
          <w:p>
            <w:pPr>
              <w:jc w:val="right"/>
              <w:ind w:right="295"/>
              <w:spacing w:after="0"/>
              <w:rPr>
                <w:sz w:val="20"/>
                <w:szCs w:val="20"/>
                <w:color w:val="auto"/>
              </w:rPr>
            </w:pPr>
            <w:r>
              <w:rPr>
                <w:rFonts w:ascii="Arial" w:cs="Arial" w:eastAsia="Arial" w:hAnsi="Arial"/>
                <w:sz w:val="20"/>
                <w:szCs w:val="20"/>
                <w:b w:val="1"/>
                <w:bCs w:val="1"/>
                <w:color w:val="auto"/>
              </w:rPr>
              <w:t>2001</w:t>
            </w:r>
          </w:p>
        </w:tc>
        <w:tc>
          <w:tcPr>
            <w:tcW w:w="1120" w:type="dxa"/>
            <w:vAlign w:val="bottom"/>
          </w:tcPr>
          <w:p>
            <w:pPr>
              <w:jc w:val="right"/>
              <w:ind w:right="153"/>
              <w:spacing w:after="0"/>
              <w:rPr>
                <w:sz w:val="20"/>
                <w:szCs w:val="20"/>
                <w:color w:val="auto"/>
              </w:rPr>
            </w:pPr>
            <w:r>
              <w:rPr>
                <w:rFonts w:ascii="Arial" w:cs="Arial" w:eastAsia="Arial" w:hAnsi="Arial"/>
                <w:sz w:val="20"/>
                <w:szCs w:val="20"/>
                <w:b w:val="1"/>
                <w:bCs w:val="1"/>
                <w:color w:val="auto"/>
              </w:rPr>
              <w:t>2003</w:t>
            </w:r>
          </w:p>
        </w:tc>
        <w:tc>
          <w:tcPr>
            <w:tcW w:w="900" w:type="dxa"/>
            <w:vAlign w:val="bottom"/>
          </w:tcPr>
          <w:p>
            <w:pPr>
              <w:jc w:val="right"/>
              <w:ind w:right="155"/>
              <w:spacing w:after="0"/>
              <w:rPr>
                <w:sz w:val="20"/>
                <w:szCs w:val="20"/>
                <w:color w:val="auto"/>
              </w:rPr>
            </w:pPr>
            <w:r>
              <w:rPr>
                <w:rFonts w:ascii="Arial" w:cs="Arial" w:eastAsia="Arial" w:hAnsi="Arial"/>
                <w:sz w:val="20"/>
                <w:szCs w:val="20"/>
                <w:b w:val="1"/>
                <w:bCs w:val="1"/>
                <w:color w:val="auto"/>
              </w:rPr>
              <w:t>2002</w:t>
            </w:r>
          </w:p>
        </w:tc>
        <w:tc>
          <w:tcPr>
            <w:tcW w:w="1320" w:type="dxa"/>
            <w:vAlign w:val="bottom"/>
          </w:tcPr>
          <w:p>
            <w:pPr>
              <w:jc w:val="right"/>
              <w:ind w:right="575"/>
              <w:spacing w:after="0"/>
              <w:rPr>
                <w:sz w:val="20"/>
                <w:szCs w:val="20"/>
                <w:color w:val="auto"/>
              </w:rPr>
            </w:pPr>
            <w:r>
              <w:rPr>
                <w:rFonts w:ascii="Arial" w:cs="Arial" w:eastAsia="Arial" w:hAnsi="Arial"/>
                <w:sz w:val="20"/>
                <w:szCs w:val="20"/>
                <w:b w:val="1"/>
                <w:bCs w:val="1"/>
                <w:color w:val="auto"/>
              </w:rPr>
              <w:t>2001</w:t>
            </w:r>
          </w:p>
        </w:tc>
      </w:tr>
      <w:tr>
        <w:trPr>
          <w:trHeight w:val="90"/>
        </w:trPr>
        <w:tc>
          <w:tcPr>
            <w:tcW w:w="386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r>
      <w:tr>
        <w:trPr>
          <w:trHeight w:val="286"/>
        </w:trPr>
        <w:tc>
          <w:tcPr>
            <w:tcW w:w="3860" w:type="dxa"/>
            <w:vAlign w:val="bottom"/>
          </w:tcPr>
          <w:p>
            <w:pPr>
              <w:spacing w:after="0"/>
              <w:rPr>
                <w:sz w:val="20"/>
                <w:szCs w:val="20"/>
                <w:color w:val="auto"/>
              </w:rPr>
            </w:pPr>
            <w:r>
              <w:rPr>
                <w:rFonts w:ascii="Arial" w:cs="Arial" w:eastAsia="Arial" w:hAnsi="Arial"/>
                <w:sz w:val="16"/>
                <w:szCs w:val="16"/>
                <w:color w:val="auto"/>
              </w:rPr>
              <w:t>Components of Net Periodic Benefit Cost: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
        </w:trPr>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1"/>
        </w:trPr>
        <w:tc>
          <w:tcPr>
            <w:tcW w:w="3860" w:type="dxa"/>
            <w:vAlign w:val="bottom"/>
            <w:shd w:val="clear" w:color="auto" w:fill="DDDDDD"/>
          </w:tcPr>
          <w:p>
            <w:pPr>
              <w:ind w:left="400"/>
              <w:spacing w:after="0"/>
              <w:rPr>
                <w:sz w:val="20"/>
                <w:szCs w:val="20"/>
                <w:color w:val="auto"/>
              </w:rPr>
            </w:pPr>
            <w:r>
              <w:rPr>
                <w:rFonts w:ascii="Arial" w:cs="Arial" w:eastAsia="Arial" w:hAnsi="Arial"/>
                <w:sz w:val="16"/>
                <w:szCs w:val="16"/>
                <w:color w:val="auto"/>
              </w:rPr>
              <w:t>Service cost</w:t>
            </w:r>
          </w:p>
        </w:tc>
        <w:tc>
          <w:tcPr>
            <w:tcW w:w="1700" w:type="dxa"/>
            <w:vAlign w:val="bottom"/>
            <w:shd w:val="clear" w:color="auto" w:fill="DDDDDD"/>
          </w:tcPr>
          <w:p>
            <w:pPr>
              <w:jc w:val="right"/>
              <w:ind w:right="95"/>
              <w:spacing w:after="0"/>
              <w:rPr>
                <w:sz w:val="20"/>
                <w:szCs w:val="20"/>
                <w:color w:val="auto"/>
              </w:rPr>
            </w:pPr>
            <w:r>
              <w:rPr>
                <w:rFonts w:ascii="Arial" w:cs="Arial" w:eastAsia="Arial" w:hAnsi="Arial"/>
                <w:sz w:val="16"/>
                <w:szCs w:val="16"/>
                <w:color w:val="auto"/>
              </w:rPr>
              <w:t>$ 5.9</w:t>
            </w:r>
          </w:p>
        </w:tc>
        <w:tc>
          <w:tcPr>
            <w:tcW w:w="1620" w:type="dxa"/>
            <w:vAlign w:val="bottom"/>
            <w:shd w:val="clear" w:color="auto" w:fill="DDDDDD"/>
          </w:tcPr>
          <w:p>
            <w:pPr>
              <w:jc w:val="right"/>
              <w:ind w:right="553"/>
              <w:spacing w:after="0"/>
              <w:rPr>
                <w:sz w:val="20"/>
                <w:szCs w:val="20"/>
                <w:color w:val="auto"/>
              </w:rPr>
            </w:pPr>
            <w:r>
              <w:rPr>
                <w:rFonts w:ascii="Arial" w:cs="Arial" w:eastAsia="Arial" w:hAnsi="Arial"/>
                <w:sz w:val="16"/>
                <w:szCs w:val="16"/>
                <w:color w:val="auto"/>
              </w:rPr>
              <w:t>$ 4.7</w:t>
            </w:r>
          </w:p>
        </w:tc>
        <w:tc>
          <w:tcPr>
            <w:tcW w:w="900" w:type="dxa"/>
            <w:vAlign w:val="bottom"/>
            <w:shd w:val="clear" w:color="auto" w:fill="DDDDDD"/>
          </w:tcPr>
          <w:p>
            <w:pPr>
              <w:jc w:val="right"/>
              <w:ind w:right="295"/>
              <w:spacing w:after="0"/>
              <w:rPr>
                <w:sz w:val="20"/>
                <w:szCs w:val="20"/>
                <w:color w:val="auto"/>
              </w:rPr>
            </w:pPr>
            <w:r>
              <w:rPr>
                <w:rFonts w:ascii="Arial" w:cs="Arial" w:eastAsia="Arial" w:hAnsi="Arial"/>
                <w:sz w:val="16"/>
                <w:szCs w:val="16"/>
                <w:color w:val="auto"/>
              </w:rPr>
              <w:t>$ 5.1</w:t>
            </w:r>
          </w:p>
        </w:tc>
        <w:tc>
          <w:tcPr>
            <w:tcW w:w="1120" w:type="dxa"/>
            <w:vAlign w:val="bottom"/>
            <w:shd w:val="clear" w:color="auto" w:fill="DDDDDD"/>
          </w:tcPr>
          <w:p>
            <w:pPr>
              <w:jc w:val="right"/>
              <w:ind w:right="153"/>
              <w:spacing w:after="0"/>
              <w:rPr>
                <w:sz w:val="20"/>
                <w:szCs w:val="20"/>
                <w:color w:val="auto"/>
              </w:rPr>
            </w:pPr>
            <w:r>
              <w:rPr>
                <w:rFonts w:ascii="Arial" w:cs="Arial" w:eastAsia="Arial" w:hAnsi="Arial"/>
                <w:sz w:val="16"/>
                <w:szCs w:val="16"/>
                <w:color w:val="auto"/>
              </w:rPr>
              <w:t>$ 0.5</w:t>
            </w:r>
          </w:p>
        </w:tc>
        <w:tc>
          <w:tcPr>
            <w:tcW w:w="900" w:type="dxa"/>
            <w:vAlign w:val="bottom"/>
            <w:shd w:val="clear" w:color="auto" w:fill="DDDDDD"/>
          </w:tcPr>
          <w:p>
            <w:pPr>
              <w:jc w:val="right"/>
              <w:ind w:right="155"/>
              <w:spacing w:after="0"/>
              <w:rPr>
                <w:sz w:val="20"/>
                <w:szCs w:val="20"/>
                <w:color w:val="auto"/>
              </w:rPr>
            </w:pPr>
            <w:r>
              <w:rPr>
                <w:rFonts w:ascii="Arial" w:cs="Arial" w:eastAsia="Arial" w:hAnsi="Arial"/>
                <w:sz w:val="16"/>
                <w:szCs w:val="16"/>
                <w:color w:val="auto"/>
              </w:rPr>
              <w:t>$ 0.4</w:t>
            </w:r>
          </w:p>
        </w:tc>
        <w:tc>
          <w:tcPr>
            <w:tcW w:w="1320" w:type="dxa"/>
            <w:vAlign w:val="bottom"/>
            <w:shd w:val="clear" w:color="auto" w:fill="DDDDDD"/>
          </w:tcPr>
          <w:p>
            <w:pPr>
              <w:jc w:val="right"/>
              <w:ind w:right="575"/>
              <w:spacing w:after="0"/>
              <w:rPr>
                <w:sz w:val="20"/>
                <w:szCs w:val="20"/>
                <w:color w:val="auto"/>
              </w:rPr>
            </w:pPr>
            <w:r>
              <w:rPr>
                <w:rFonts w:ascii="Arial" w:cs="Arial" w:eastAsia="Arial" w:hAnsi="Arial"/>
                <w:sz w:val="16"/>
                <w:szCs w:val="16"/>
                <w:color w:val="auto"/>
              </w:rPr>
              <w:t>$ 0.3</w:t>
            </w:r>
          </w:p>
        </w:tc>
      </w:tr>
      <w:tr>
        <w:trPr>
          <w:trHeight w:val="213"/>
        </w:trPr>
        <w:tc>
          <w:tcPr>
            <w:tcW w:w="3860" w:type="dxa"/>
            <w:vAlign w:val="bottom"/>
          </w:tcPr>
          <w:p>
            <w:pPr>
              <w:ind w:left="400"/>
              <w:spacing w:after="0"/>
              <w:rPr>
                <w:sz w:val="20"/>
                <w:szCs w:val="20"/>
                <w:color w:val="auto"/>
              </w:rPr>
            </w:pPr>
            <w:r>
              <w:rPr>
                <w:rFonts w:ascii="Arial" w:cs="Arial" w:eastAsia="Arial" w:hAnsi="Arial"/>
                <w:sz w:val="16"/>
                <w:szCs w:val="16"/>
                <w:color w:val="auto"/>
              </w:rPr>
              <w:t>Interest cost</w:t>
            </w:r>
          </w:p>
        </w:tc>
        <w:tc>
          <w:tcPr>
            <w:tcW w:w="1700" w:type="dxa"/>
            <w:vAlign w:val="bottom"/>
          </w:tcPr>
          <w:p>
            <w:pPr>
              <w:jc w:val="right"/>
              <w:ind w:right="95"/>
              <w:spacing w:after="0"/>
              <w:rPr>
                <w:sz w:val="20"/>
                <w:szCs w:val="20"/>
                <w:color w:val="auto"/>
              </w:rPr>
            </w:pPr>
            <w:r>
              <w:rPr>
                <w:rFonts w:ascii="Arial" w:cs="Arial" w:eastAsia="Arial" w:hAnsi="Arial"/>
                <w:sz w:val="16"/>
                <w:szCs w:val="16"/>
                <w:color w:val="auto"/>
              </w:rPr>
              <w:t>7.7</w:t>
            </w:r>
          </w:p>
        </w:tc>
        <w:tc>
          <w:tcPr>
            <w:tcW w:w="1620" w:type="dxa"/>
            <w:vAlign w:val="bottom"/>
          </w:tcPr>
          <w:p>
            <w:pPr>
              <w:jc w:val="right"/>
              <w:ind w:right="553"/>
              <w:spacing w:after="0"/>
              <w:rPr>
                <w:sz w:val="20"/>
                <w:szCs w:val="20"/>
                <w:color w:val="auto"/>
              </w:rPr>
            </w:pPr>
            <w:r>
              <w:rPr>
                <w:rFonts w:ascii="Arial" w:cs="Arial" w:eastAsia="Arial" w:hAnsi="Arial"/>
                <w:sz w:val="16"/>
                <w:szCs w:val="16"/>
                <w:color w:val="auto"/>
              </w:rPr>
              <w:t>7.4</w:t>
            </w:r>
          </w:p>
        </w:tc>
        <w:tc>
          <w:tcPr>
            <w:tcW w:w="900" w:type="dxa"/>
            <w:vAlign w:val="bottom"/>
          </w:tcPr>
          <w:p>
            <w:pPr>
              <w:jc w:val="right"/>
              <w:ind w:right="295"/>
              <w:spacing w:after="0"/>
              <w:rPr>
                <w:sz w:val="20"/>
                <w:szCs w:val="20"/>
                <w:color w:val="auto"/>
              </w:rPr>
            </w:pPr>
            <w:r>
              <w:rPr>
                <w:rFonts w:ascii="Arial" w:cs="Arial" w:eastAsia="Arial" w:hAnsi="Arial"/>
                <w:sz w:val="16"/>
                <w:szCs w:val="16"/>
                <w:color w:val="auto"/>
              </w:rPr>
              <w:t>7.3</w:t>
            </w:r>
          </w:p>
        </w:tc>
        <w:tc>
          <w:tcPr>
            <w:tcW w:w="1120" w:type="dxa"/>
            <w:vAlign w:val="bottom"/>
          </w:tcPr>
          <w:p>
            <w:pPr>
              <w:jc w:val="right"/>
              <w:ind w:right="153"/>
              <w:spacing w:after="0"/>
              <w:rPr>
                <w:sz w:val="20"/>
                <w:szCs w:val="20"/>
                <w:color w:val="auto"/>
              </w:rPr>
            </w:pPr>
            <w:r>
              <w:rPr>
                <w:rFonts w:ascii="Arial" w:cs="Arial" w:eastAsia="Arial" w:hAnsi="Arial"/>
                <w:sz w:val="16"/>
                <w:szCs w:val="16"/>
                <w:color w:val="auto"/>
              </w:rPr>
              <w:t>1.8</w:t>
            </w:r>
          </w:p>
        </w:tc>
        <w:tc>
          <w:tcPr>
            <w:tcW w:w="900" w:type="dxa"/>
            <w:vAlign w:val="bottom"/>
          </w:tcPr>
          <w:p>
            <w:pPr>
              <w:jc w:val="right"/>
              <w:ind w:right="155"/>
              <w:spacing w:after="0"/>
              <w:rPr>
                <w:sz w:val="20"/>
                <w:szCs w:val="20"/>
                <w:color w:val="auto"/>
              </w:rPr>
            </w:pPr>
            <w:r>
              <w:rPr>
                <w:rFonts w:ascii="Arial" w:cs="Arial" w:eastAsia="Arial" w:hAnsi="Arial"/>
                <w:sz w:val="16"/>
                <w:szCs w:val="16"/>
                <w:color w:val="auto"/>
              </w:rPr>
              <w:t>1.3</w:t>
            </w:r>
          </w:p>
        </w:tc>
        <w:tc>
          <w:tcPr>
            <w:tcW w:w="1320" w:type="dxa"/>
            <w:vAlign w:val="bottom"/>
          </w:tcPr>
          <w:p>
            <w:pPr>
              <w:jc w:val="right"/>
              <w:ind w:right="575"/>
              <w:spacing w:after="0"/>
              <w:rPr>
                <w:sz w:val="20"/>
                <w:szCs w:val="20"/>
                <w:color w:val="auto"/>
              </w:rPr>
            </w:pPr>
            <w:r>
              <w:rPr>
                <w:rFonts w:ascii="Arial" w:cs="Arial" w:eastAsia="Arial" w:hAnsi="Arial"/>
                <w:sz w:val="16"/>
                <w:szCs w:val="16"/>
                <w:color w:val="auto"/>
              </w:rPr>
              <w:t>1.4</w:t>
            </w:r>
          </w:p>
        </w:tc>
      </w:tr>
      <w:tr>
        <w:trPr>
          <w:trHeight w:val="230"/>
        </w:trPr>
        <w:tc>
          <w:tcPr>
            <w:tcW w:w="3860" w:type="dxa"/>
            <w:vAlign w:val="bottom"/>
            <w:shd w:val="clear" w:color="auto" w:fill="DDDDDD"/>
          </w:tcPr>
          <w:p>
            <w:pPr>
              <w:ind w:left="400"/>
              <w:spacing w:after="0"/>
              <w:rPr>
                <w:sz w:val="20"/>
                <w:szCs w:val="20"/>
                <w:color w:val="auto"/>
              </w:rPr>
            </w:pPr>
            <w:r>
              <w:rPr>
                <w:rFonts w:ascii="Arial" w:cs="Arial" w:eastAsia="Arial" w:hAnsi="Arial"/>
                <w:sz w:val="16"/>
                <w:szCs w:val="16"/>
                <w:color w:val="auto"/>
              </w:rPr>
              <w:t>Expected return on assets</w:t>
            </w:r>
          </w:p>
        </w:tc>
        <w:tc>
          <w:tcPr>
            <w:tcW w:w="1700" w:type="dxa"/>
            <w:vAlign w:val="bottom"/>
            <w:shd w:val="clear" w:color="auto" w:fill="DDDDDD"/>
          </w:tcPr>
          <w:p>
            <w:pPr>
              <w:jc w:val="right"/>
              <w:ind w:right="35"/>
              <w:spacing w:after="0"/>
              <w:rPr>
                <w:sz w:val="20"/>
                <w:szCs w:val="20"/>
                <w:color w:val="auto"/>
              </w:rPr>
            </w:pPr>
            <w:r>
              <w:rPr>
                <w:rFonts w:ascii="Arial" w:cs="Arial" w:eastAsia="Arial" w:hAnsi="Arial"/>
                <w:sz w:val="16"/>
                <w:szCs w:val="16"/>
                <w:color w:val="auto"/>
              </w:rPr>
              <w:t>(8.6)</w:t>
            </w:r>
          </w:p>
        </w:tc>
        <w:tc>
          <w:tcPr>
            <w:tcW w:w="1620" w:type="dxa"/>
            <w:vAlign w:val="bottom"/>
            <w:shd w:val="clear" w:color="auto" w:fill="DDDDDD"/>
          </w:tcPr>
          <w:p>
            <w:pPr>
              <w:jc w:val="right"/>
              <w:ind w:right="493"/>
              <w:spacing w:after="0"/>
              <w:rPr>
                <w:sz w:val="20"/>
                <w:szCs w:val="20"/>
                <w:color w:val="auto"/>
              </w:rPr>
            </w:pPr>
            <w:r>
              <w:rPr>
                <w:rFonts w:ascii="Arial" w:cs="Arial" w:eastAsia="Arial" w:hAnsi="Arial"/>
                <w:sz w:val="16"/>
                <w:szCs w:val="16"/>
                <w:color w:val="auto"/>
              </w:rPr>
              <w:t>(8.8)</w:t>
            </w:r>
          </w:p>
        </w:tc>
        <w:tc>
          <w:tcPr>
            <w:tcW w:w="900" w:type="dxa"/>
            <w:vAlign w:val="bottom"/>
            <w:shd w:val="clear" w:color="auto" w:fill="DDDDDD"/>
          </w:tcPr>
          <w:p>
            <w:pPr>
              <w:jc w:val="right"/>
              <w:ind w:right="235"/>
              <w:spacing w:after="0"/>
              <w:rPr>
                <w:sz w:val="20"/>
                <w:szCs w:val="20"/>
                <w:color w:val="auto"/>
              </w:rPr>
            </w:pPr>
            <w:r>
              <w:rPr>
                <w:rFonts w:ascii="Arial" w:cs="Arial" w:eastAsia="Arial" w:hAnsi="Arial"/>
                <w:sz w:val="16"/>
                <w:szCs w:val="16"/>
                <w:color w:val="auto"/>
              </w:rPr>
              <w:t>(9.7)</w:t>
            </w:r>
          </w:p>
        </w:tc>
        <w:tc>
          <w:tcPr>
            <w:tcW w:w="1120" w:type="dxa"/>
            <w:vAlign w:val="bottom"/>
            <w:shd w:val="clear" w:color="auto" w:fill="DDDDDD"/>
          </w:tcPr>
          <w:p>
            <w:pPr>
              <w:jc w:val="right"/>
              <w:ind w:right="153"/>
              <w:spacing w:after="0"/>
              <w:rPr>
                <w:sz w:val="20"/>
                <w:szCs w:val="20"/>
                <w:color w:val="auto"/>
              </w:rPr>
            </w:pPr>
            <w:r>
              <w:rPr>
                <w:rFonts w:ascii="Arial" w:cs="Arial" w:eastAsia="Arial" w:hAnsi="Arial"/>
                <w:sz w:val="16"/>
                <w:szCs w:val="16"/>
                <w:color w:val="auto"/>
              </w:rPr>
              <w:t>—</w:t>
            </w:r>
          </w:p>
        </w:tc>
        <w:tc>
          <w:tcPr>
            <w:tcW w:w="900" w:type="dxa"/>
            <w:vAlign w:val="bottom"/>
            <w:shd w:val="clear" w:color="auto" w:fill="DDDDDD"/>
          </w:tcPr>
          <w:p>
            <w:pPr>
              <w:jc w:val="right"/>
              <w:ind w:right="155"/>
              <w:spacing w:after="0"/>
              <w:rPr>
                <w:sz w:val="20"/>
                <w:szCs w:val="20"/>
                <w:color w:val="auto"/>
              </w:rPr>
            </w:pPr>
            <w:r>
              <w:rPr>
                <w:rFonts w:ascii="Arial" w:cs="Arial" w:eastAsia="Arial" w:hAnsi="Arial"/>
                <w:sz w:val="16"/>
                <w:szCs w:val="16"/>
                <w:color w:val="auto"/>
              </w:rPr>
              <w:t>—</w:t>
            </w:r>
          </w:p>
        </w:tc>
        <w:tc>
          <w:tcPr>
            <w:tcW w:w="1320" w:type="dxa"/>
            <w:vAlign w:val="bottom"/>
            <w:shd w:val="clear" w:color="auto" w:fill="DDDDDD"/>
          </w:tcPr>
          <w:p>
            <w:pPr>
              <w:jc w:val="right"/>
              <w:ind w:right="575"/>
              <w:spacing w:after="0"/>
              <w:rPr>
                <w:sz w:val="20"/>
                <w:szCs w:val="20"/>
                <w:color w:val="auto"/>
              </w:rPr>
            </w:pPr>
            <w:r>
              <w:rPr>
                <w:rFonts w:ascii="Arial" w:cs="Arial" w:eastAsia="Arial" w:hAnsi="Arial"/>
                <w:sz w:val="16"/>
                <w:szCs w:val="16"/>
                <w:color w:val="auto"/>
              </w:rPr>
              <w:t>—</w:t>
            </w:r>
          </w:p>
        </w:tc>
      </w:tr>
      <w:tr>
        <w:trPr>
          <w:trHeight w:val="203"/>
        </w:trPr>
        <w:tc>
          <w:tcPr>
            <w:tcW w:w="3860" w:type="dxa"/>
            <w:vAlign w:val="bottom"/>
          </w:tcPr>
          <w:p>
            <w:pPr>
              <w:ind w:left="400"/>
              <w:spacing w:after="0"/>
              <w:rPr>
                <w:sz w:val="20"/>
                <w:szCs w:val="20"/>
                <w:color w:val="auto"/>
              </w:rPr>
            </w:pPr>
            <w:r>
              <w:rPr>
                <w:rFonts w:ascii="Arial" w:cs="Arial" w:eastAsia="Arial" w:hAnsi="Arial"/>
                <w:sz w:val="16"/>
                <w:szCs w:val="16"/>
                <w:color w:val="auto"/>
              </w:rPr>
              <w:t>Net amortization and deferrals</w:t>
            </w: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7007" w:orient="portrait"/>
          <w:cols w:equalWidth="0" w:num="1">
            <w:col w:w="11440"/>
          </w:cols>
          <w:pgMar w:left="240" w:top="103" w:right="219" w:bottom="0" w:gutter="0" w:footer="0" w:header="0"/>
        </w:sectPr>
      </w:pPr>
    </w:p>
    <w:bookmarkStart w:id="34" w:name="page35"/>
    <w:bookmarkEnd w:id="34"/>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920" w:type="dxa"/>
            <w:vAlign w:val="bottom"/>
          </w:tcPr>
          <w:p>
            <w:pPr>
              <w:jc w:val="right"/>
              <w:ind w:right="340"/>
              <w:spacing w:after="0"/>
              <w:rPr>
                <w:sz w:val="20"/>
                <w:szCs w:val="20"/>
                <w:color w:val="auto"/>
              </w:rPr>
            </w:pPr>
            <w:r>
              <w:rPr>
                <w:rFonts w:ascii="Arial" w:cs="Arial" w:eastAsia="Arial" w:hAnsi="Arial"/>
                <w:sz w:val="16"/>
                <w:szCs w:val="16"/>
                <w:color w:val="auto"/>
              </w:rPr>
              <w:t>0.1</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(0.2)</w:t>
            </w:r>
          </w:p>
        </w:tc>
        <w:tc>
          <w:tcPr>
            <w:tcW w:w="1220" w:type="dxa"/>
            <w:vAlign w:val="bottom"/>
          </w:tcPr>
          <w:p>
            <w:pPr>
              <w:jc w:val="right"/>
              <w:ind w:right="420"/>
              <w:spacing w:after="0"/>
              <w:rPr>
                <w:sz w:val="20"/>
                <w:szCs w:val="20"/>
                <w:color w:val="auto"/>
              </w:rPr>
            </w:pPr>
            <w:r>
              <w:rPr>
                <w:rFonts w:ascii="Arial" w:cs="Arial" w:eastAsia="Arial" w:hAnsi="Arial"/>
                <w:sz w:val="16"/>
                <w:szCs w:val="16"/>
                <w:color w:val="auto"/>
              </w:rPr>
              <w:t>0.1</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(0.6)</w:t>
            </w:r>
          </w:p>
        </w:tc>
        <w:tc>
          <w:tcPr>
            <w:tcW w:w="8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Curtailment loss</w:t>
            </w:r>
          </w:p>
        </w:tc>
        <w:tc>
          <w:tcPr>
            <w:tcW w:w="1920" w:type="dxa"/>
            <w:vAlign w:val="bottom"/>
            <w:shd w:val="clear" w:color="auto" w:fill="DDDDDD"/>
          </w:tcPr>
          <w:p>
            <w:pPr>
              <w:jc w:val="right"/>
              <w:ind w:right="3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DDDDD"/>
          </w:tcPr>
          <w:p>
            <w:pPr>
              <w:jc w:val="right"/>
              <w:ind w:right="360"/>
              <w:spacing w:after="0"/>
              <w:rPr>
                <w:sz w:val="20"/>
                <w:szCs w:val="20"/>
                <w:color w:val="auto"/>
              </w:rPr>
            </w:pPr>
            <w:r>
              <w:rPr>
                <w:rFonts w:ascii="Arial" w:cs="Arial" w:eastAsia="Arial" w:hAnsi="Arial"/>
                <w:sz w:val="16"/>
                <w:szCs w:val="16"/>
                <w:color w:val="auto"/>
              </w:rPr>
              <w:t>0.2</w:t>
            </w:r>
          </w:p>
        </w:tc>
        <w:tc>
          <w:tcPr>
            <w:tcW w:w="1220" w:type="dxa"/>
            <w:vAlign w:val="bottom"/>
            <w:shd w:val="clear" w:color="auto" w:fill="DDDDDD"/>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DDDDD"/>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DDDDDD"/>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DDDDD"/>
          </w:tcPr>
          <w:p>
            <w:pPr>
              <w:jc w:val="right"/>
              <w:ind w:right="5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60" w:type="dxa"/>
            <w:vAlign w:val="bottom"/>
          </w:tcPr>
          <w:p>
            <w:pPr>
              <w:ind w:left="380"/>
              <w:spacing w:after="0"/>
              <w:rPr>
                <w:sz w:val="20"/>
                <w:szCs w:val="20"/>
                <w:color w:val="auto"/>
              </w:rPr>
            </w:pPr>
            <w:r>
              <w:rPr>
                <w:rFonts w:ascii="Arial" w:cs="Arial" w:eastAsia="Arial" w:hAnsi="Arial"/>
                <w:sz w:val="16"/>
                <w:szCs w:val="16"/>
                <w:color w:val="auto"/>
              </w:rPr>
              <w:t>Recognized net actuarial loss/(gain)</w:t>
            </w:r>
          </w:p>
        </w:tc>
        <w:tc>
          <w:tcPr>
            <w:tcW w:w="1920" w:type="dxa"/>
            <w:vAlign w:val="bottom"/>
          </w:tcPr>
          <w:p>
            <w:pPr>
              <w:jc w:val="right"/>
              <w:ind w:right="340"/>
              <w:spacing w:after="0"/>
              <w:rPr>
                <w:sz w:val="20"/>
                <w:szCs w:val="20"/>
                <w:color w:val="auto"/>
              </w:rPr>
            </w:pPr>
            <w:r>
              <w:rPr>
                <w:rFonts w:ascii="Arial" w:cs="Arial" w:eastAsia="Arial" w:hAnsi="Arial"/>
                <w:sz w:val="16"/>
                <w:szCs w:val="16"/>
                <w:color w:val="auto"/>
              </w:rPr>
              <w:t>1.2</w:t>
            </w: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0.5</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(0.2)</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1.0</w:t>
            </w:r>
          </w:p>
        </w:tc>
        <w:tc>
          <w:tcPr>
            <w:tcW w:w="8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880" w:type="dxa"/>
            <w:vAlign w:val="bottom"/>
            <w:gridSpan w:val="2"/>
          </w:tcPr>
          <w:p>
            <w:pPr>
              <w:spacing w:after="0"/>
              <w:rPr>
                <w:sz w:val="10"/>
                <w:szCs w:val="10"/>
                <w:color w:val="auto"/>
              </w:rPr>
            </w:pPr>
          </w:p>
        </w:tc>
        <w:tc>
          <w:tcPr>
            <w:tcW w:w="1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860" w:type="dxa"/>
            <w:vAlign w:val="bottom"/>
            <w:tcBorders>
              <w:top w:val="single" w:sz="8" w:color="808080"/>
            </w:tcBorders>
          </w:tcPr>
          <w:p>
            <w:pPr>
              <w:spacing w:after="0"/>
              <w:rPr>
                <w:sz w:val="7"/>
                <w:szCs w:val="7"/>
                <w:color w:val="auto"/>
              </w:rPr>
            </w:pPr>
          </w:p>
        </w:tc>
        <w:tc>
          <w:tcPr>
            <w:tcW w:w="1920" w:type="dxa"/>
            <w:vAlign w:val="bottom"/>
            <w:tcBorders>
              <w:top w:val="single" w:sz="8" w:color="808080"/>
            </w:tcBorders>
          </w:tcPr>
          <w:p>
            <w:pPr>
              <w:spacing w:after="0"/>
              <w:rPr>
                <w:sz w:val="7"/>
                <w:szCs w:val="7"/>
                <w:color w:val="auto"/>
              </w:rPr>
            </w:pPr>
          </w:p>
        </w:tc>
        <w:tc>
          <w:tcPr>
            <w:tcW w:w="1180" w:type="dxa"/>
            <w:vAlign w:val="bottom"/>
            <w:tcBorders>
              <w:top w:val="single" w:sz="8" w:color="808080"/>
            </w:tcBorders>
          </w:tcPr>
          <w:p>
            <w:pPr>
              <w:spacing w:after="0"/>
              <w:rPr>
                <w:sz w:val="7"/>
                <w:szCs w:val="7"/>
                <w:color w:val="auto"/>
              </w:rPr>
            </w:pPr>
          </w:p>
        </w:tc>
        <w:tc>
          <w:tcPr>
            <w:tcW w:w="1220" w:type="dxa"/>
            <w:vAlign w:val="bottom"/>
            <w:tcBorders>
              <w:top w:val="single" w:sz="8" w:color="808080"/>
            </w:tcBorders>
          </w:tcPr>
          <w:p>
            <w:pPr>
              <w:spacing w:after="0"/>
              <w:rPr>
                <w:sz w:val="7"/>
                <w:szCs w:val="7"/>
                <w:color w:val="auto"/>
              </w:rPr>
            </w:pPr>
          </w:p>
        </w:tc>
        <w:tc>
          <w:tcPr>
            <w:tcW w:w="1080" w:type="dxa"/>
            <w:vAlign w:val="bottom"/>
            <w:tcBorders>
              <w:top w:val="single" w:sz="8" w:color="808080"/>
            </w:tcBorders>
          </w:tcPr>
          <w:p>
            <w:pPr>
              <w:spacing w:after="0"/>
              <w:rPr>
                <w:sz w:val="7"/>
                <w:szCs w:val="7"/>
                <w:color w:val="auto"/>
              </w:rPr>
            </w:pPr>
          </w:p>
        </w:tc>
        <w:tc>
          <w:tcPr>
            <w:tcW w:w="860" w:type="dxa"/>
            <w:vAlign w:val="bottom"/>
            <w:tcBorders>
              <w:top w:val="single" w:sz="8" w:color="808080"/>
            </w:tcBorders>
          </w:tcPr>
          <w:p>
            <w:pPr>
              <w:spacing w:after="0"/>
              <w:rPr>
                <w:sz w:val="7"/>
                <w:szCs w:val="7"/>
                <w:color w:val="auto"/>
              </w:rPr>
            </w:pPr>
          </w:p>
        </w:tc>
        <w:tc>
          <w:tcPr>
            <w:tcW w:w="128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6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Net periodic benefit cost</w:t>
            </w:r>
          </w:p>
        </w:tc>
        <w:tc>
          <w:tcPr>
            <w:tcW w:w="1920" w:type="dxa"/>
            <w:vAlign w:val="bottom"/>
            <w:shd w:val="clear" w:color="auto" w:fill="DDDDDD"/>
          </w:tcPr>
          <w:p>
            <w:pPr>
              <w:jc w:val="right"/>
              <w:ind w:right="340"/>
              <w:spacing w:after="0"/>
              <w:rPr>
                <w:sz w:val="20"/>
                <w:szCs w:val="20"/>
                <w:color w:val="auto"/>
              </w:rPr>
            </w:pPr>
            <w:r>
              <w:rPr>
                <w:rFonts w:ascii="Arial" w:cs="Arial" w:eastAsia="Arial" w:hAnsi="Arial"/>
                <w:sz w:val="16"/>
                <w:szCs w:val="16"/>
                <w:b w:val="1"/>
                <w:bCs w:val="1"/>
                <w:color w:val="auto"/>
              </w:rPr>
              <w:t>$ 6.3</w:t>
            </w:r>
          </w:p>
        </w:tc>
        <w:tc>
          <w:tcPr>
            <w:tcW w:w="1180" w:type="dxa"/>
            <w:vAlign w:val="bottom"/>
            <w:shd w:val="clear" w:color="auto" w:fill="DDDDDD"/>
          </w:tcPr>
          <w:p>
            <w:pPr>
              <w:jc w:val="right"/>
              <w:ind w:right="360"/>
              <w:spacing w:after="0"/>
              <w:rPr>
                <w:sz w:val="20"/>
                <w:szCs w:val="20"/>
                <w:color w:val="auto"/>
              </w:rPr>
            </w:pPr>
            <w:r>
              <w:rPr>
                <w:rFonts w:ascii="Arial" w:cs="Arial" w:eastAsia="Arial" w:hAnsi="Arial"/>
                <w:sz w:val="16"/>
                <w:szCs w:val="16"/>
                <w:b w:val="1"/>
                <w:bCs w:val="1"/>
                <w:color w:val="auto"/>
              </w:rPr>
              <w:t>$ 3.8</w:t>
            </w:r>
          </w:p>
        </w:tc>
        <w:tc>
          <w:tcPr>
            <w:tcW w:w="1220" w:type="dxa"/>
            <w:vAlign w:val="bottom"/>
            <w:shd w:val="clear" w:color="auto" w:fill="DDDDDD"/>
          </w:tcPr>
          <w:p>
            <w:pPr>
              <w:jc w:val="right"/>
              <w:ind w:right="420"/>
              <w:spacing w:after="0"/>
              <w:rPr>
                <w:sz w:val="20"/>
                <w:szCs w:val="20"/>
                <w:color w:val="auto"/>
              </w:rPr>
            </w:pPr>
            <w:r>
              <w:rPr>
                <w:rFonts w:ascii="Arial" w:cs="Arial" w:eastAsia="Arial" w:hAnsi="Arial"/>
                <w:sz w:val="16"/>
                <w:szCs w:val="16"/>
                <w:b w:val="1"/>
                <w:bCs w:val="1"/>
                <w:color w:val="auto"/>
              </w:rPr>
              <w:t>$ 2.6</w:t>
            </w:r>
          </w:p>
        </w:tc>
        <w:tc>
          <w:tcPr>
            <w:tcW w:w="1080" w:type="dxa"/>
            <w:vAlign w:val="bottom"/>
            <w:shd w:val="clear" w:color="auto" w:fill="DDDDDD"/>
          </w:tcPr>
          <w:p>
            <w:pPr>
              <w:jc w:val="right"/>
              <w:ind w:right="240"/>
              <w:spacing w:after="0"/>
              <w:rPr>
                <w:sz w:val="20"/>
                <w:szCs w:val="20"/>
                <w:color w:val="auto"/>
              </w:rPr>
            </w:pPr>
            <w:r>
              <w:rPr>
                <w:rFonts w:ascii="Arial" w:cs="Arial" w:eastAsia="Arial" w:hAnsi="Arial"/>
                <w:sz w:val="16"/>
                <w:szCs w:val="16"/>
                <w:b w:val="1"/>
                <w:bCs w:val="1"/>
                <w:color w:val="auto"/>
              </w:rPr>
              <w:t>$ 2.7</w:t>
            </w:r>
          </w:p>
        </w:tc>
        <w:tc>
          <w:tcPr>
            <w:tcW w:w="860" w:type="dxa"/>
            <w:vAlign w:val="bottom"/>
            <w:shd w:val="clear" w:color="auto" w:fill="DDDDDD"/>
          </w:tcPr>
          <w:p>
            <w:pPr>
              <w:jc w:val="right"/>
              <w:ind w:right="200"/>
              <w:spacing w:after="0"/>
              <w:rPr>
                <w:sz w:val="20"/>
                <w:szCs w:val="20"/>
                <w:color w:val="auto"/>
              </w:rPr>
            </w:pPr>
            <w:r>
              <w:rPr>
                <w:rFonts w:ascii="Arial" w:cs="Arial" w:eastAsia="Arial" w:hAnsi="Arial"/>
                <w:sz w:val="16"/>
                <w:szCs w:val="16"/>
                <w:b w:val="1"/>
                <w:bCs w:val="1"/>
                <w:color w:val="auto"/>
              </w:rPr>
              <w:t>$ 1.7</w:t>
            </w:r>
          </w:p>
        </w:tc>
        <w:tc>
          <w:tcPr>
            <w:tcW w:w="1280" w:type="dxa"/>
            <w:vAlign w:val="bottom"/>
            <w:shd w:val="clear" w:color="auto" w:fill="DDDDDD"/>
          </w:tcPr>
          <w:p>
            <w:pPr>
              <w:jc w:val="right"/>
              <w:ind w:right="580"/>
              <w:spacing w:after="0"/>
              <w:rPr>
                <w:sz w:val="20"/>
                <w:szCs w:val="20"/>
                <w:color w:val="auto"/>
              </w:rPr>
            </w:pPr>
            <w:r>
              <w:rPr>
                <w:rFonts w:ascii="Arial" w:cs="Arial" w:eastAsia="Arial" w:hAnsi="Arial"/>
                <w:sz w:val="16"/>
                <w:szCs w:val="16"/>
                <w:b w:val="1"/>
                <w:bCs w:val="1"/>
                <w:color w:val="auto"/>
              </w:rPr>
              <w:t>$ 1.7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6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accumulated Post-Retirement benefit obligation was determined using a discount rate of 6.0%. Service cost and interest components were determined using a discount rate of 7.3%. The assumed health care cost trend rate was 10.0%, with an annual decline of 0.5% until the rate reaches its ultimate rate of 5% in fiscal 2013. A decrease of 1.0% in the health care cost trend rate would result in decreases of approximately $2.7 in the accumulated benefit obligation and $0.3 in the annual net periodic post-retirement benefit cost. An increase of 1.0% in the health care cost trend rate would result in increases of approximately $3.2 in the accumulated benefit obligation and $0.3 in the annual net periodic post-retirement benefit cost.</w:t>
      </w:r>
    </w:p>
    <w:p>
      <w:pPr>
        <w:spacing w:after="0" w:line="173"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The Company also provides defined contribution plans for certain eligible employees. In the U.S., the Company sponsors a 401(k) plan and has contributed $5.8, $4.7 and $4.0 for fiscal 2003, 2002 and 2001, respectively. For its internationally based employees, the expenses under these plans totaled $1.9, $1.4 and $1.2 for fiscal 2003, 2002, and 2001, respectively.</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EARNINGS PER SHARE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 for the three years ended May 31:</w:t>
      </w:r>
    </w:p>
    <w:p>
      <w:pPr>
        <w:spacing w:after="0" w:line="196"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25868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3640" w:type="dxa"/>
            <w:vAlign w:val="bottom"/>
          </w:tcPr>
          <w:p>
            <w:pPr>
              <w:jc w:val="right"/>
              <w:ind w:right="379"/>
              <w:spacing w:after="0"/>
              <w:rPr>
                <w:sz w:val="20"/>
                <w:szCs w:val="20"/>
                <w:color w:val="auto"/>
              </w:rPr>
            </w:pPr>
            <w:r>
              <w:rPr>
                <w:rFonts w:ascii="Arial" w:cs="Arial" w:eastAsia="Arial" w:hAnsi="Arial"/>
                <w:sz w:val="20"/>
                <w:szCs w:val="20"/>
                <w:b w:val="1"/>
                <w:bCs w:val="1"/>
                <w:color w:val="auto"/>
              </w:rPr>
              <w:t>2003</w:t>
            </w:r>
          </w:p>
        </w:tc>
        <w:tc>
          <w:tcPr>
            <w:tcW w:w="1400" w:type="dxa"/>
            <w:vAlign w:val="bottom"/>
          </w:tcPr>
          <w:p>
            <w:pPr>
              <w:jc w:val="right"/>
              <w:ind w:right="379"/>
              <w:spacing w:after="0"/>
              <w:rPr>
                <w:sz w:val="20"/>
                <w:szCs w:val="20"/>
                <w:color w:val="auto"/>
              </w:rPr>
            </w:pPr>
            <w:r>
              <w:rPr>
                <w:rFonts w:ascii="Arial" w:cs="Arial" w:eastAsia="Arial" w:hAnsi="Arial"/>
                <w:sz w:val="20"/>
                <w:szCs w:val="20"/>
                <w:b w:val="1"/>
                <w:bCs w:val="1"/>
                <w:color w:val="auto"/>
              </w:rPr>
              <w:t>2002</w:t>
            </w:r>
          </w:p>
        </w:tc>
        <w:tc>
          <w:tcPr>
            <w:tcW w:w="960" w:type="dxa"/>
            <w:vAlign w:val="bottom"/>
          </w:tcPr>
          <w:p>
            <w:pPr>
              <w:jc w:val="right"/>
              <w:ind w:right="59"/>
              <w:spacing w:after="0"/>
              <w:rPr>
                <w:sz w:val="20"/>
                <w:szCs w:val="20"/>
                <w:color w:val="auto"/>
              </w:rPr>
            </w:pPr>
            <w:r>
              <w:rPr>
                <w:rFonts w:ascii="Arial" w:cs="Arial" w:eastAsia="Arial" w:hAnsi="Arial"/>
                <w:sz w:val="20"/>
                <w:szCs w:val="20"/>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0" w:type="dxa"/>
            <w:vAlign w:val="bottom"/>
            <w:tcBorders>
              <w:bottom w:val="single" w:sz="8" w:color="808080"/>
            </w:tcBorders>
          </w:tcPr>
          <w:p>
            <w:pPr>
              <w:spacing w:after="0"/>
              <w:rPr>
                <w:sz w:val="7"/>
                <w:szCs w:val="7"/>
                <w:color w:val="auto"/>
              </w:rPr>
            </w:pPr>
          </w:p>
        </w:tc>
        <w:tc>
          <w:tcPr>
            <w:tcW w:w="364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5420" w:type="dxa"/>
            <w:vAlign w:val="bottom"/>
            <w:gridSpan w:val="2"/>
          </w:tcPr>
          <w:p>
            <w:pPr>
              <w:spacing w:after="0"/>
              <w:rPr>
                <w:sz w:val="20"/>
                <w:szCs w:val="20"/>
                <w:color w:val="auto"/>
              </w:rPr>
            </w:pPr>
            <w:r>
              <w:rPr>
                <w:rFonts w:ascii="Arial" w:cs="Arial" w:eastAsia="Arial" w:hAnsi="Arial"/>
                <w:sz w:val="16"/>
                <w:szCs w:val="16"/>
                <w:color w:val="auto"/>
              </w:rPr>
              <w:t>Net income for basic earnings</w:t>
            </w:r>
          </w:p>
        </w:tc>
        <w:tc>
          <w:tcPr>
            <w:tcW w:w="3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per share</w:t>
            </w:r>
          </w:p>
        </w:tc>
        <w:tc>
          <w:tcPr>
            <w:tcW w:w="3640" w:type="dxa"/>
            <w:vAlign w:val="bottom"/>
          </w:tcPr>
          <w:p>
            <w:pPr>
              <w:jc w:val="right"/>
              <w:ind w:right="379"/>
              <w:spacing w:after="0"/>
              <w:rPr>
                <w:sz w:val="20"/>
                <w:szCs w:val="20"/>
                <w:color w:val="auto"/>
              </w:rPr>
            </w:pPr>
            <w:r>
              <w:rPr>
                <w:rFonts w:ascii="Arial" w:cs="Arial" w:eastAsia="Arial" w:hAnsi="Arial"/>
                <w:sz w:val="16"/>
                <w:szCs w:val="16"/>
                <w:color w:val="auto"/>
              </w:rPr>
              <w:t>$ 58.6</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$ 93.5</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$ 36.3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Dilutive effect of Debentures</w:t>
            </w:r>
          </w:p>
        </w:tc>
        <w:tc>
          <w:tcPr>
            <w:tcW w:w="364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2.1</w:t>
            </w:r>
          </w:p>
        </w:tc>
        <w:tc>
          <w:tcPr>
            <w:tcW w:w="96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5420" w:type="dxa"/>
            <w:vAlign w:val="bottom"/>
            <w:gridSpan w:val="2"/>
          </w:tcPr>
          <w:p>
            <w:pPr>
              <w:spacing w:after="0"/>
              <w:rPr>
                <w:sz w:val="20"/>
                <w:szCs w:val="20"/>
                <w:color w:val="auto"/>
              </w:rPr>
            </w:pPr>
            <w:r>
              <w:rPr>
                <w:rFonts w:ascii="Arial" w:cs="Arial" w:eastAsia="Arial" w:hAnsi="Arial"/>
                <w:sz w:val="16"/>
                <w:szCs w:val="16"/>
                <w:color w:val="auto"/>
              </w:rPr>
              <w:t>Adjusted net income for diluted</w:t>
            </w:r>
          </w:p>
        </w:tc>
        <w:tc>
          <w:tcPr>
            <w:tcW w:w="3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earnings per share</w:t>
            </w:r>
          </w:p>
        </w:tc>
        <w:tc>
          <w:tcPr>
            <w:tcW w:w="3640" w:type="dxa"/>
            <w:vAlign w:val="bottom"/>
          </w:tcPr>
          <w:p>
            <w:pPr>
              <w:jc w:val="right"/>
              <w:ind w:right="379"/>
              <w:spacing w:after="0"/>
              <w:rPr>
                <w:sz w:val="20"/>
                <w:szCs w:val="20"/>
                <w:color w:val="auto"/>
              </w:rPr>
            </w:pPr>
            <w:r>
              <w:rPr>
                <w:rFonts w:ascii="Arial" w:cs="Arial" w:eastAsia="Arial" w:hAnsi="Arial"/>
                <w:sz w:val="16"/>
                <w:szCs w:val="16"/>
                <w:color w:val="auto"/>
              </w:rPr>
              <w:t>$ 58.6</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$ 95.6</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$ 36.3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420" w:type="dxa"/>
            <w:vAlign w:val="bottom"/>
            <w:tcBorders>
              <w:bottom w:val="single" w:sz="8" w:color="808080"/>
            </w:tcBorders>
            <w:gridSpan w:val="2"/>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Weighted average Shares of</w:t>
            </w:r>
          </w:p>
        </w:tc>
        <w:tc>
          <w:tcPr>
            <w:tcW w:w="3640" w:type="dxa"/>
            <w:vAlign w:val="bottom"/>
            <w:shd w:val="clear" w:color="auto" w:fill="DDDDDD"/>
          </w:tcPr>
          <w:p>
            <w:pPr>
              <w:spacing w:after="0"/>
              <w:rPr>
                <w:sz w:val="16"/>
                <w:szCs w:val="16"/>
                <w:color w:val="auto"/>
              </w:rPr>
            </w:pPr>
          </w:p>
        </w:tc>
        <w:tc>
          <w:tcPr>
            <w:tcW w:w="14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Class A Stock and Common Stock</w:t>
            </w:r>
          </w:p>
        </w:tc>
        <w:tc>
          <w:tcPr>
            <w:tcW w:w="364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outstanding for basic earnings</w:t>
            </w:r>
          </w:p>
        </w:tc>
        <w:tc>
          <w:tcPr>
            <w:tcW w:w="364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shd w:val="clear" w:color="auto" w:fill="DDDDDD"/>
          </w:tcPr>
          <w:p>
            <w:pPr>
              <w:ind w:left="380"/>
              <w:spacing w:after="0"/>
              <w:rPr>
                <w:sz w:val="20"/>
                <w:szCs w:val="20"/>
                <w:color w:val="auto"/>
              </w:rPr>
            </w:pPr>
            <w:r>
              <w:rPr>
                <w:rFonts w:ascii="Arial" w:cs="Arial" w:eastAsia="Arial" w:hAnsi="Arial"/>
                <w:sz w:val="16"/>
                <w:szCs w:val="16"/>
                <w:color w:val="auto"/>
              </w:rPr>
              <w:t>per share</w:t>
            </w:r>
          </w:p>
        </w:tc>
        <w:tc>
          <w:tcPr>
            <w:tcW w:w="364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39.1</w:t>
            </w:r>
          </w:p>
        </w:tc>
        <w:tc>
          <w:tcPr>
            <w:tcW w:w="140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36.7</w:t>
            </w:r>
          </w:p>
        </w:tc>
        <w:tc>
          <w:tcPr>
            <w:tcW w:w="96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Dilutive effect of Common Stock</w:t>
            </w:r>
          </w:p>
        </w:tc>
        <w:tc>
          <w:tcPr>
            <w:tcW w:w="3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issued pursuant to employee</w:t>
            </w:r>
          </w:p>
        </w:tc>
        <w:tc>
          <w:tcPr>
            <w:tcW w:w="3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stock plans</w:t>
            </w:r>
          </w:p>
        </w:tc>
        <w:tc>
          <w:tcPr>
            <w:tcW w:w="3640" w:type="dxa"/>
            <w:vAlign w:val="bottom"/>
          </w:tcPr>
          <w:p>
            <w:pPr>
              <w:jc w:val="right"/>
              <w:ind w:right="379"/>
              <w:spacing w:after="0"/>
              <w:rPr>
                <w:sz w:val="20"/>
                <w:szCs w:val="20"/>
                <w:color w:val="auto"/>
              </w:rPr>
            </w:pPr>
            <w:r>
              <w:rPr>
                <w:rFonts w:ascii="Arial" w:cs="Arial" w:eastAsia="Arial" w:hAnsi="Arial"/>
                <w:sz w:val="16"/>
                <w:szCs w:val="16"/>
                <w:color w:val="auto"/>
              </w:rPr>
              <w:t>1.0</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1.6</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Dilutive effect of Debentures</w:t>
            </w:r>
          </w:p>
        </w:tc>
        <w:tc>
          <w:tcPr>
            <w:tcW w:w="364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1.8</w:t>
            </w:r>
          </w:p>
        </w:tc>
        <w:tc>
          <w:tcPr>
            <w:tcW w:w="96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5420" w:type="dxa"/>
            <w:vAlign w:val="bottom"/>
            <w:gridSpan w:val="2"/>
          </w:tcPr>
          <w:p>
            <w:pPr>
              <w:spacing w:after="0"/>
              <w:rPr>
                <w:sz w:val="20"/>
                <w:szCs w:val="20"/>
                <w:color w:val="auto"/>
              </w:rPr>
            </w:pPr>
            <w:r>
              <w:rPr>
                <w:rFonts w:ascii="Arial" w:cs="Arial" w:eastAsia="Arial" w:hAnsi="Arial"/>
                <w:sz w:val="16"/>
                <w:szCs w:val="16"/>
                <w:color w:val="auto"/>
              </w:rPr>
              <w:t>Adjusted weighted average Shares</w:t>
            </w:r>
          </w:p>
        </w:tc>
        <w:tc>
          <w:tcPr>
            <w:tcW w:w="3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of Class A Stock and Common</w:t>
            </w:r>
          </w:p>
        </w:tc>
        <w:tc>
          <w:tcPr>
            <w:tcW w:w="3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Stock outstanding for diluted</w:t>
            </w:r>
          </w:p>
        </w:tc>
        <w:tc>
          <w:tcPr>
            <w:tcW w:w="3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earnings per share</w:t>
            </w:r>
          </w:p>
        </w:tc>
        <w:tc>
          <w:tcPr>
            <w:tcW w:w="3640" w:type="dxa"/>
            <w:vAlign w:val="bottom"/>
          </w:tcPr>
          <w:p>
            <w:pPr>
              <w:jc w:val="right"/>
              <w:ind w:right="379"/>
              <w:spacing w:after="0"/>
              <w:rPr>
                <w:sz w:val="20"/>
                <w:szCs w:val="20"/>
                <w:color w:val="auto"/>
              </w:rPr>
            </w:pPr>
            <w:r>
              <w:rPr>
                <w:rFonts w:ascii="Arial" w:cs="Arial" w:eastAsia="Arial" w:hAnsi="Arial"/>
                <w:sz w:val="16"/>
                <w:szCs w:val="16"/>
                <w:color w:val="auto"/>
              </w:rPr>
              <w:t>40.1</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40.1</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420" w:type="dxa"/>
            <w:vAlign w:val="bottom"/>
            <w:tcBorders>
              <w:bottom w:val="single" w:sz="8" w:color="808080"/>
            </w:tcBorders>
            <w:gridSpan w:val="2"/>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Earnings per Share of Class A Stock</w:t>
            </w:r>
          </w:p>
        </w:tc>
        <w:tc>
          <w:tcPr>
            <w:tcW w:w="3640" w:type="dxa"/>
            <w:vAlign w:val="bottom"/>
            <w:shd w:val="clear" w:color="auto" w:fill="DDDDDD"/>
          </w:tcPr>
          <w:p>
            <w:pPr>
              <w:spacing w:after="0"/>
              <w:rPr>
                <w:sz w:val="16"/>
                <w:szCs w:val="16"/>
                <w:color w:val="auto"/>
              </w:rPr>
            </w:pPr>
          </w:p>
        </w:tc>
        <w:tc>
          <w:tcPr>
            <w:tcW w:w="14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and Common Stock:</w:t>
            </w:r>
          </w:p>
        </w:tc>
        <w:tc>
          <w:tcPr>
            <w:tcW w:w="364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Earnings before Cumulative effect</w:t>
            </w:r>
          </w:p>
        </w:tc>
        <w:tc>
          <w:tcPr>
            <w:tcW w:w="3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80"/>
              <w:spacing w:after="0"/>
              <w:rPr>
                <w:sz w:val="20"/>
                <w:szCs w:val="20"/>
                <w:color w:val="auto"/>
              </w:rPr>
            </w:pPr>
            <w:r>
              <w:rPr>
                <w:rFonts w:ascii="Arial" w:cs="Arial" w:eastAsia="Arial" w:hAnsi="Arial"/>
                <w:sz w:val="16"/>
                <w:szCs w:val="16"/>
                <w:color w:val="auto"/>
              </w:rPr>
              <w:t>of accounting change:</w:t>
            </w:r>
          </w:p>
        </w:tc>
        <w:tc>
          <w:tcPr>
            <w:tcW w:w="3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shd w:val="clear" w:color="auto" w:fill="DDDDDD"/>
          </w:tcPr>
          <w:p>
            <w:pPr>
              <w:ind w:left="780"/>
              <w:spacing w:after="0"/>
              <w:rPr>
                <w:sz w:val="20"/>
                <w:szCs w:val="20"/>
                <w:color w:val="auto"/>
              </w:rPr>
            </w:pPr>
            <w:r>
              <w:rPr>
                <w:rFonts w:ascii="Arial" w:cs="Arial" w:eastAsia="Arial" w:hAnsi="Arial"/>
                <w:sz w:val="16"/>
                <w:szCs w:val="16"/>
                <w:color w:val="auto"/>
              </w:rPr>
              <w:t>Basic</w:t>
            </w:r>
          </w:p>
        </w:tc>
        <w:tc>
          <w:tcPr>
            <w:tcW w:w="364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$ 1.50</w:t>
            </w:r>
          </w:p>
        </w:tc>
        <w:tc>
          <w:tcPr>
            <w:tcW w:w="140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$ 2.69</w:t>
            </w:r>
          </w:p>
        </w:tc>
        <w:tc>
          <w:tcPr>
            <w:tcW w:w="96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auto"/>
              </w:rPr>
              <w:t>$ 1.05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780"/>
              <w:spacing w:after="0"/>
              <w:rPr>
                <w:sz w:val="20"/>
                <w:szCs w:val="20"/>
                <w:color w:val="auto"/>
              </w:rPr>
            </w:pPr>
            <w:r>
              <w:rPr>
                <w:rFonts w:ascii="Arial" w:cs="Arial" w:eastAsia="Arial" w:hAnsi="Arial"/>
                <w:sz w:val="16"/>
                <w:szCs w:val="16"/>
                <w:color w:val="auto"/>
              </w:rPr>
              <w:t>Diluted</w:t>
            </w:r>
          </w:p>
        </w:tc>
        <w:tc>
          <w:tcPr>
            <w:tcW w:w="3640" w:type="dxa"/>
            <w:vAlign w:val="bottom"/>
          </w:tcPr>
          <w:p>
            <w:pPr>
              <w:jc w:val="right"/>
              <w:ind w:right="379"/>
              <w:spacing w:after="0"/>
              <w:rPr>
                <w:sz w:val="20"/>
                <w:szCs w:val="20"/>
                <w:color w:val="auto"/>
              </w:rPr>
            </w:pPr>
            <w:r>
              <w:rPr>
                <w:rFonts w:ascii="Arial" w:cs="Arial" w:eastAsia="Arial" w:hAnsi="Arial"/>
                <w:sz w:val="16"/>
                <w:szCs w:val="16"/>
                <w:color w:val="auto"/>
              </w:rPr>
              <w:t>$ 1.46</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$ 2.51</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$ 1.01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DDDDDD"/>
          </w:tcPr>
          <w:p>
            <w:pPr>
              <w:spacing w:after="0"/>
              <w:rPr>
                <w:sz w:val="20"/>
                <w:szCs w:val="20"/>
                <w:color w:val="auto"/>
              </w:rPr>
            </w:pPr>
            <w:r>
              <w:rPr>
                <w:rFonts w:ascii="Arial" w:cs="Arial" w:eastAsia="Arial" w:hAnsi="Arial"/>
                <w:sz w:val="16"/>
                <w:szCs w:val="16"/>
                <w:color w:val="auto"/>
              </w:rPr>
              <w:t>Cumulative effect of accounting</w:t>
            </w:r>
          </w:p>
        </w:tc>
        <w:tc>
          <w:tcPr>
            <w:tcW w:w="364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shd w:val="clear" w:color="auto" w:fill="DDDDDD"/>
          </w:tcPr>
          <w:p>
            <w:pPr>
              <w:ind w:left="420"/>
              <w:spacing w:after="0"/>
              <w:rPr>
                <w:sz w:val="20"/>
                <w:szCs w:val="20"/>
                <w:color w:val="auto"/>
              </w:rPr>
            </w:pPr>
            <w:r>
              <w:rPr>
                <w:rFonts w:ascii="Arial" w:cs="Arial" w:eastAsia="Arial" w:hAnsi="Arial"/>
                <w:sz w:val="16"/>
                <w:szCs w:val="16"/>
                <w:color w:val="auto"/>
              </w:rPr>
              <w:t>change (net of income taxes):</w:t>
            </w:r>
          </w:p>
        </w:tc>
        <w:tc>
          <w:tcPr>
            <w:tcW w:w="364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tcPr>
          <w:p>
            <w:pPr>
              <w:ind w:left="780"/>
              <w:spacing w:after="0"/>
              <w:rPr>
                <w:sz w:val="20"/>
                <w:szCs w:val="20"/>
                <w:color w:val="auto"/>
              </w:rPr>
            </w:pPr>
            <w:r>
              <w:rPr>
                <w:rFonts w:ascii="Arial" w:cs="Arial" w:eastAsia="Arial" w:hAnsi="Arial"/>
                <w:sz w:val="16"/>
                <w:szCs w:val="16"/>
                <w:color w:val="auto"/>
              </w:rPr>
              <w:t>Basic</w:t>
            </w:r>
          </w:p>
        </w:tc>
        <w:tc>
          <w:tcPr>
            <w:tcW w:w="3640" w:type="dxa"/>
            <w:vAlign w:val="bottom"/>
          </w:tcPr>
          <w:p>
            <w:pPr>
              <w:jc w:val="right"/>
              <w:ind w:right="379"/>
              <w:spacing w:after="0"/>
              <w:rPr>
                <w:sz w:val="20"/>
                <w:szCs w:val="20"/>
                <w:color w:val="auto"/>
              </w:rPr>
            </w:pPr>
            <w:r>
              <w:rPr>
                <w:rFonts w:ascii="Arial" w:cs="Arial" w:eastAsia="Arial" w:hAnsi="Arial"/>
                <w:sz w:val="16"/>
                <w:szCs w:val="16"/>
                <w:color w:val="auto"/>
              </w:rPr>
              <w:t>$ —</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 (0.14)</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DDDDDD"/>
          </w:tcPr>
          <w:p>
            <w:pPr>
              <w:ind w:left="780"/>
              <w:spacing w:after="0"/>
              <w:rPr>
                <w:sz w:val="20"/>
                <w:szCs w:val="20"/>
                <w:color w:val="auto"/>
              </w:rPr>
            </w:pPr>
            <w:r>
              <w:rPr>
                <w:rFonts w:ascii="Arial" w:cs="Arial" w:eastAsia="Arial" w:hAnsi="Arial"/>
                <w:sz w:val="16"/>
                <w:szCs w:val="16"/>
                <w:color w:val="auto"/>
              </w:rPr>
              <w:t>Diluted</w:t>
            </w:r>
          </w:p>
        </w:tc>
        <w:tc>
          <w:tcPr>
            <w:tcW w:w="364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 —</w:t>
            </w:r>
          </w:p>
        </w:tc>
        <w:tc>
          <w:tcPr>
            <w:tcW w:w="1400" w:type="dxa"/>
            <w:vAlign w:val="bottom"/>
            <w:shd w:val="clear" w:color="auto" w:fill="DDDDDD"/>
          </w:tcPr>
          <w:p>
            <w:pPr>
              <w:jc w:val="right"/>
              <w:ind w:right="339"/>
              <w:spacing w:after="0"/>
              <w:rPr>
                <w:sz w:val="20"/>
                <w:szCs w:val="20"/>
                <w:color w:val="auto"/>
              </w:rPr>
            </w:pPr>
            <w:r>
              <w:rPr>
                <w:rFonts w:ascii="Arial" w:cs="Arial" w:eastAsia="Arial" w:hAnsi="Arial"/>
                <w:sz w:val="16"/>
                <w:szCs w:val="16"/>
                <w:color w:val="auto"/>
              </w:rPr>
              <w:t>$ (0.13)</w:t>
            </w:r>
          </w:p>
        </w:tc>
        <w:tc>
          <w:tcPr>
            <w:tcW w:w="96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Net income:</w:t>
            </w:r>
          </w:p>
        </w:tc>
        <w:tc>
          <w:tcPr>
            <w:tcW w:w="3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DDDDDD"/>
          </w:tcPr>
          <w:p>
            <w:pPr>
              <w:ind w:left="780"/>
              <w:spacing w:after="0"/>
              <w:rPr>
                <w:sz w:val="20"/>
                <w:szCs w:val="20"/>
                <w:color w:val="auto"/>
              </w:rPr>
            </w:pPr>
            <w:r>
              <w:rPr>
                <w:rFonts w:ascii="Arial" w:cs="Arial" w:eastAsia="Arial" w:hAnsi="Arial"/>
                <w:sz w:val="16"/>
                <w:szCs w:val="16"/>
                <w:color w:val="auto"/>
              </w:rPr>
              <w:t>Basic</w:t>
            </w:r>
          </w:p>
        </w:tc>
        <w:tc>
          <w:tcPr>
            <w:tcW w:w="364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$ 1.50</w:t>
            </w:r>
          </w:p>
        </w:tc>
        <w:tc>
          <w:tcPr>
            <w:tcW w:w="140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$ 2.55</w:t>
            </w:r>
          </w:p>
        </w:tc>
        <w:tc>
          <w:tcPr>
            <w:tcW w:w="96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auto"/>
              </w:rPr>
              <w:t>$ 1.05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780"/>
              <w:spacing w:after="0"/>
              <w:rPr>
                <w:sz w:val="20"/>
                <w:szCs w:val="20"/>
                <w:color w:val="auto"/>
              </w:rPr>
            </w:pPr>
            <w:r>
              <w:rPr>
                <w:rFonts w:ascii="Arial" w:cs="Arial" w:eastAsia="Arial" w:hAnsi="Arial"/>
                <w:sz w:val="16"/>
                <w:szCs w:val="16"/>
                <w:color w:val="auto"/>
              </w:rPr>
              <w:t>Diluted</w:t>
            </w:r>
          </w:p>
        </w:tc>
        <w:tc>
          <w:tcPr>
            <w:tcW w:w="3640" w:type="dxa"/>
            <w:vAlign w:val="bottom"/>
          </w:tcPr>
          <w:p>
            <w:pPr>
              <w:jc w:val="right"/>
              <w:ind w:right="379"/>
              <w:spacing w:after="0"/>
              <w:rPr>
                <w:sz w:val="20"/>
                <w:szCs w:val="20"/>
                <w:color w:val="auto"/>
              </w:rPr>
            </w:pPr>
            <w:r>
              <w:rPr>
                <w:rFonts w:ascii="Arial" w:cs="Arial" w:eastAsia="Arial" w:hAnsi="Arial"/>
                <w:sz w:val="16"/>
                <w:szCs w:val="16"/>
                <w:color w:val="auto"/>
              </w:rPr>
              <w:t>$ 1.46</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$ 2.38</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$ 1.01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Borders>
              <w:bottom w:val="single" w:sz="8" w:color="808080"/>
            </w:tcBorders>
          </w:tcPr>
          <w:p>
            <w:pPr>
              <w:spacing w:after="0"/>
              <w:rPr>
                <w:sz w:val="11"/>
                <w:szCs w:val="11"/>
                <w:color w:val="auto"/>
              </w:rPr>
            </w:pPr>
          </w:p>
        </w:tc>
        <w:tc>
          <w:tcPr>
            <w:tcW w:w="540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-3707765</wp:posOffset>
            </wp:positionV>
            <wp:extent cx="12700" cy="28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-3707765</wp:posOffset>
            </wp:positionV>
            <wp:extent cx="12700" cy="285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-1910715</wp:posOffset>
            </wp:positionV>
            <wp:extent cx="12700" cy="285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-1910715</wp:posOffset>
            </wp:positionV>
            <wp:extent cx="12700" cy="285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63"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For fiscal 2001, the effect of the potential conversion of $110.0 of Scholastic Corporation’s 5% Convertible Subordinated Debentures (the “Debentures”) into 2.9 million shares on Adjusted weighted average Shares of Class A Stock and Common Stock outstanding for diluted earnings per share was anti-dilutive and was not included in the calculation. On January 11, 2002, pursuant to the exercise of Scholastic Corporation’s optional redemption rights, $109.8 of the Debentures were converted at the option of the holders into 2.9 million shares of Common Stock and $0.2 were redeemed for cash.</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CUMULATIVE EFFECT OF ACCOUNTING CHANGE</w:t>
      </w:r>
    </w:p>
    <w:p>
      <w:pPr>
        <w:spacing w:after="0" w:line="2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On June 1, 2001, the Company adopted Statement of Position No. 00-2 (“SOP 00-2”), “Accounting by Producers and Distributors of Films,” which replaced SFAS No. 53, “Financial Reporting by Producers and Distributors of Motion Picture Films.” SOP 00-2 provides that film costs should be accounted for under an inventory model and discusses various topics such as revenue recognition and accounting for exploitation costs and impairment assessment. In addition, SOP 00-2 establishes criteria for which revenues should be included in the Company’s ultimate revenue projections.</w:t>
      </w:r>
    </w:p>
    <w:p>
      <w:pPr>
        <w:spacing w:after="0" w:line="2" w:lineRule="exact"/>
        <w:rPr>
          <w:sz w:val="20"/>
          <w:szCs w:val="20"/>
          <w:color w:val="auto"/>
        </w:rPr>
      </w:pPr>
    </w:p>
    <w:p>
      <w:pPr>
        <w:ind w:right="40"/>
        <w:spacing w:after="0" w:line="346" w:lineRule="auto"/>
        <w:rPr>
          <w:sz w:val="20"/>
          <w:szCs w:val="20"/>
          <w:color w:val="auto"/>
        </w:rPr>
      </w:pPr>
      <w:r>
        <w:rPr>
          <w:rFonts w:ascii="Arial" w:cs="Arial" w:eastAsia="Arial" w:hAnsi="Arial"/>
          <w:sz w:val="14"/>
          <w:szCs w:val="14"/>
          <w:color w:val="auto"/>
        </w:rPr>
        <w:t>The Company recognizes revenue from its film licensing arrangements when the film is complete and delivered, the license period has begun, the fee is fixed or determinable and collection is reasonably assured. The costs of producing film and acquiring film distribution rights are capitalized and amortized using the individual-film-forecast method. This</w:t>
      </w:r>
    </w:p>
    <w:p>
      <w:pPr>
        <w:sectPr>
          <w:pgSz w:w="11900" w:h="16959" w:orient="portrait"/>
          <w:cols w:equalWidth="0" w:num="1">
            <w:col w:w="11440"/>
          </w:cols>
          <w:pgMar w:left="240" w:top="131" w:right="219" w:bottom="0" w:gutter="0" w:footer="0" w:header="0"/>
        </w:sectPr>
      </w:pPr>
    </w:p>
    <w:bookmarkStart w:id="35" w:name="page36"/>
    <w:bookmarkEnd w:id="35"/>
    <w:p>
      <w:pPr>
        <w:ind w:right="40"/>
        <w:spacing w:after="0" w:line="315" w:lineRule="auto"/>
        <w:rPr>
          <w:sz w:val="20"/>
          <w:szCs w:val="20"/>
          <w:color w:val="auto"/>
        </w:rPr>
      </w:pPr>
      <w:r>
        <w:rPr>
          <w:rFonts w:ascii="Arial" w:cs="Arial" w:eastAsia="Arial" w:hAnsi="Arial"/>
          <w:sz w:val="14"/>
          <w:szCs w:val="14"/>
          <w:color w:val="auto"/>
        </w:rPr>
        <w:t xml:space="preserve">method amortizes such residual costs in the same ratio that current period revenue bears to estimated remaining unrecognized revenue as of the beginning of the fiscal year. All exploitation costs are expensed as incurred. As a result of the adoption of SOP 00-2, the Company recorded a net of tax charge of $5.2 in the first quarter of fiscal 2002 to reduce the carrying value of its film production costs. This charge is reflected in the Company’s consolidated statements of operations as a Cumulative effect of accounting change and is attributed entirely to the </w:t>
      </w:r>
      <w:r>
        <w:rPr>
          <w:rFonts w:ascii="Arial" w:cs="Arial" w:eastAsia="Arial" w:hAnsi="Arial"/>
          <w:sz w:val="14"/>
          <w:szCs w:val="14"/>
          <w:i w:val="1"/>
          <w:iCs w:val="1"/>
          <w:color w:val="auto"/>
        </w:rPr>
        <w:t>Media, Licensing and Advertising</w:t>
      </w:r>
      <w:r>
        <w:rPr>
          <w:rFonts w:ascii="Arial" w:cs="Arial" w:eastAsia="Arial" w:hAnsi="Arial"/>
          <w:sz w:val="14"/>
          <w:szCs w:val="14"/>
          <w:color w:val="auto"/>
        </w:rPr>
        <w:t xml:space="preserve"> segment. Management estimates that these costs will be amortized over the next three years.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COST OF GOODS SOLD — SPECIAL LITERACY PLACE AND OTHER CHARGES</w:t>
      </w:r>
    </w:p>
    <w:p>
      <w:pPr>
        <w:spacing w:after="0" w:line="2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On April 16, 2001, the Company decided not to update </w:t>
      </w:r>
      <w:r>
        <w:rPr>
          <w:rFonts w:ascii="Arial" w:cs="Arial" w:eastAsia="Arial" w:hAnsi="Arial"/>
          <w:sz w:val="16"/>
          <w:szCs w:val="16"/>
          <w:i w:val="1"/>
          <w:iCs w:val="1"/>
          <w:color w:val="auto"/>
        </w:rPr>
        <w:t>Scholastic Literacy Place,</w:t>
      </w:r>
      <w:r>
        <w:rPr>
          <w:rFonts w:ascii="Arial" w:cs="Arial" w:eastAsia="Arial" w:hAnsi="Arial"/>
          <w:sz w:val="16"/>
          <w:szCs w:val="16"/>
          <w:color w:val="auto"/>
        </w:rPr>
        <w:t xml:space="preserve"> its grade K to 6 basal reading textbook program, for any future state adoptions. This decision resulted in a pre-tax charge in fiscal 2001 of $72.9. The impact of this charge on fiscal 2001 earnings per diluted share was $1.20. The charge consisted of the following related to Literacy Place and other exited programs: previously capitalized prepublication costs of $51.6, inventory write-offs of $19.8 and severance and other related costs of $1.5, of which $0.3 and $0.5 remained on the Consolidated Balance Sheets at May 31, 2003 and 2002,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SPECIAL SEVERANCE CHARGE</w:t>
      </w:r>
    </w:p>
    <w:p>
      <w:pPr>
        <w:spacing w:after="0" w:line="22"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On May 28, 2003, the Company announced a reduction in its global work force of approximately 400 positions, or 4%, the majority of which were scheduled to take effect in the first quarter of fiscal 2004. Severance and related costs related to the reduction in work force totaled $10.9, which is reflected in the Company’s income statement as the Special severance charge.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total severance and related costs,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5868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3360" w:type="dxa"/>
            <w:vAlign w:val="bottom"/>
          </w:tcPr>
          <w:p>
            <w:pPr>
              <w:jc w:val="right"/>
              <w:ind w:right="77"/>
              <w:spacing w:after="0"/>
              <w:rPr>
                <w:sz w:val="20"/>
                <w:szCs w:val="20"/>
                <w:color w:val="auto"/>
              </w:rPr>
            </w:pPr>
            <w:r>
              <w:rPr>
                <w:rFonts w:ascii="Arial" w:cs="Arial" w:eastAsia="Arial" w:hAnsi="Arial"/>
                <w:sz w:val="20"/>
                <w:szCs w:val="20"/>
                <w:b w:val="1"/>
                <w:bCs w:val="1"/>
                <w:color w:val="auto"/>
              </w:rPr>
              <w:t>Amount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40" w:type="dxa"/>
            <w:vAlign w:val="bottom"/>
            <w:tcBorders>
              <w:bottom w:val="single" w:sz="8" w:color="808080"/>
            </w:tcBorders>
          </w:tcPr>
          <w:p>
            <w:pPr>
              <w:spacing w:after="0"/>
              <w:rPr>
                <w:sz w:val="7"/>
                <w:szCs w:val="7"/>
                <w:color w:val="auto"/>
              </w:rPr>
            </w:pPr>
          </w:p>
        </w:tc>
        <w:tc>
          <w:tcPr>
            <w:tcW w:w="33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8060" w:type="dxa"/>
            <w:vAlign w:val="bottom"/>
            <w:gridSpan w:val="2"/>
          </w:tcPr>
          <w:p>
            <w:pPr>
              <w:spacing w:after="0"/>
              <w:rPr>
                <w:sz w:val="20"/>
                <w:szCs w:val="20"/>
                <w:color w:val="auto"/>
              </w:rPr>
            </w:pPr>
            <w:r>
              <w:rPr>
                <w:rFonts w:ascii="Arial" w:cs="Arial" w:eastAsia="Arial" w:hAnsi="Arial"/>
                <w:sz w:val="16"/>
                <w:szCs w:val="16"/>
                <w:color w:val="auto"/>
              </w:rPr>
              <w:t>Children’s Book Publishing and Distribution</w:t>
            </w:r>
          </w:p>
        </w:tc>
        <w:tc>
          <w:tcPr>
            <w:tcW w:w="3360" w:type="dxa"/>
            <w:vAlign w:val="bottom"/>
          </w:tcPr>
          <w:p>
            <w:pPr>
              <w:jc w:val="right"/>
              <w:ind w:right="77"/>
              <w:spacing w:after="0"/>
              <w:rPr>
                <w:sz w:val="20"/>
                <w:szCs w:val="20"/>
                <w:color w:val="auto"/>
              </w:rPr>
            </w:pPr>
            <w:r>
              <w:rPr>
                <w:rFonts w:ascii="Arial" w:cs="Arial" w:eastAsia="Arial" w:hAnsi="Arial"/>
                <w:sz w:val="16"/>
                <w:szCs w:val="16"/>
                <w:color w:val="auto"/>
              </w:rPr>
              <w:t>$ 2.4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040" w:type="dxa"/>
            <w:vAlign w:val="bottom"/>
            <w:shd w:val="clear" w:color="auto" w:fill="DDDDDD"/>
          </w:tcPr>
          <w:p>
            <w:pPr>
              <w:spacing w:after="0"/>
              <w:rPr>
                <w:sz w:val="20"/>
                <w:szCs w:val="20"/>
                <w:color w:val="auto"/>
              </w:rPr>
            </w:pPr>
            <w:r>
              <w:rPr>
                <w:rFonts w:ascii="Arial" w:cs="Arial" w:eastAsia="Arial" w:hAnsi="Arial"/>
                <w:sz w:val="16"/>
                <w:szCs w:val="16"/>
                <w:color w:val="auto"/>
              </w:rPr>
              <w:t>Educational Publishing</w:t>
            </w:r>
          </w:p>
        </w:tc>
        <w:tc>
          <w:tcPr>
            <w:tcW w:w="3360" w:type="dxa"/>
            <w:vAlign w:val="bottom"/>
            <w:shd w:val="clear" w:color="auto" w:fill="DDDDDD"/>
          </w:tcPr>
          <w:p>
            <w:pPr>
              <w:jc w:val="right"/>
              <w:ind w:right="77"/>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6"/>
                <w:szCs w:val="16"/>
                <w:color w:val="auto"/>
              </w:rPr>
              <w:t>International</w:t>
            </w:r>
          </w:p>
        </w:tc>
        <w:tc>
          <w:tcPr>
            <w:tcW w:w="3360" w:type="dxa"/>
            <w:vAlign w:val="bottom"/>
          </w:tcPr>
          <w:p>
            <w:pPr>
              <w:jc w:val="right"/>
              <w:ind w:right="77"/>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40" w:type="dxa"/>
            <w:vAlign w:val="bottom"/>
            <w:shd w:val="clear" w:color="auto" w:fill="DDDDDD"/>
          </w:tcPr>
          <w:p>
            <w:pPr>
              <w:spacing w:after="0"/>
              <w:rPr>
                <w:sz w:val="20"/>
                <w:szCs w:val="20"/>
                <w:color w:val="auto"/>
              </w:rPr>
            </w:pPr>
            <w:r>
              <w:rPr>
                <w:rFonts w:ascii="Arial" w:cs="Arial" w:eastAsia="Arial" w:hAnsi="Arial"/>
                <w:sz w:val="16"/>
                <w:szCs w:val="16"/>
                <w:color w:val="auto"/>
              </w:rPr>
              <w:t>Media, Licensing and Advertising</w:t>
            </w:r>
          </w:p>
        </w:tc>
        <w:tc>
          <w:tcPr>
            <w:tcW w:w="3360" w:type="dxa"/>
            <w:vAlign w:val="bottom"/>
            <w:shd w:val="clear" w:color="auto" w:fill="DDDDDD"/>
          </w:tcPr>
          <w:p>
            <w:pPr>
              <w:jc w:val="right"/>
              <w:ind w:right="77"/>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6"/>
                <w:szCs w:val="16"/>
                <w:color w:val="auto"/>
              </w:rPr>
              <w:t>Overhead</w:t>
            </w:r>
          </w:p>
        </w:tc>
        <w:tc>
          <w:tcPr>
            <w:tcW w:w="3360" w:type="dxa"/>
            <w:vAlign w:val="bottom"/>
          </w:tcPr>
          <w:p>
            <w:pPr>
              <w:jc w:val="right"/>
              <w:ind w:right="77"/>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8060" w:type="dxa"/>
            <w:vAlign w:val="bottom"/>
            <w:tcBorders>
              <w:bottom w:val="single" w:sz="8" w:color="808080"/>
            </w:tcBorders>
            <w:gridSpan w:val="2"/>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80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8040" w:type="dxa"/>
            <w:vAlign w:val="bottom"/>
            <w:shd w:val="clear" w:color="auto" w:fill="DDDDDD"/>
          </w:tcPr>
          <w:p>
            <w:pPr>
              <w:spacing w:after="0"/>
              <w:rPr>
                <w:sz w:val="20"/>
                <w:szCs w:val="20"/>
                <w:color w:val="auto"/>
              </w:rPr>
            </w:pPr>
            <w:r>
              <w:rPr>
                <w:rFonts w:ascii="Arial" w:cs="Arial" w:eastAsia="Arial" w:hAnsi="Arial"/>
                <w:sz w:val="16"/>
                <w:szCs w:val="16"/>
                <w:b w:val="1"/>
                <w:bCs w:val="1"/>
                <w:color w:val="auto"/>
              </w:rPr>
              <w:t>Total severance costs</w:t>
            </w:r>
          </w:p>
        </w:tc>
        <w:tc>
          <w:tcPr>
            <w:tcW w:w="3360" w:type="dxa"/>
            <w:vAlign w:val="bottom"/>
            <w:shd w:val="clear" w:color="auto" w:fill="DDDDDD"/>
          </w:tcPr>
          <w:p>
            <w:pPr>
              <w:jc w:val="right"/>
              <w:ind w:right="77"/>
              <w:spacing w:after="0"/>
              <w:rPr>
                <w:sz w:val="20"/>
                <w:szCs w:val="20"/>
                <w:color w:val="auto"/>
              </w:rPr>
            </w:pPr>
            <w:r>
              <w:rPr>
                <w:rFonts w:ascii="Arial" w:cs="Arial" w:eastAsia="Arial" w:hAnsi="Arial"/>
                <w:sz w:val="16"/>
                <w:szCs w:val="16"/>
                <w:b w:val="1"/>
                <w:bCs w:val="1"/>
                <w:color w:val="auto"/>
              </w:rPr>
              <w:t>$ 10.9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8060" w:type="dxa"/>
            <w:vAlign w:val="bottom"/>
            <w:tcBorders>
              <w:bottom w:val="single" w:sz="8" w:color="808080"/>
            </w:tcBorders>
            <w:gridSpan w:val="2"/>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87"/>
        </w:trPr>
        <w:tc>
          <w:tcPr>
            <w:tcW w:w="8060" w:type="dxa"/>
            <w:vAlign w:val="bottom"/>
            <w:gridSpan w:val="2"/>
          </w:tcPr>
          <w:p>
            <w:pPr>
              <w:spacing w:after="0"/>
              <w:rPr>
                <w:sz w:val="20"/>
                <w:szCs w:val="20"/>
                <w:color w:val="auto"/>
              </w:rPr>
            </w:pPr>
            <w:r>
              <w:rPr>
                <w:rFonts w:ascii="Arial" w:cs="Arial" w:eastAsia="Arial" w:hAnsi="Arial"/>
                <w:sz w:val="16"/>
                <w:szCs w:val="16"/>
                <w:color w:val="auto"/>
              </w:rPr>
              <w:t>A summary of the activity in the established liabilities is detailed in the following table:</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4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3360" w:type="dxa"/>
            <w:vAlign w:val="bottom"/>
          </w:tcPr>
          <w:p>
            <w:pPr>
              <w:jc w:val="right"/>
              <w:ind w:right="137"/>
              <w:spacing w:after="0"/>
              <w:rPr>
                <w:sz w:val="20"/>
                <w:szCs w:val="20"/>
                <w:color w:val="auto"/>
              </w:rPr>
            </w:pPr>
            <w:r>
              <w:rPr>
                <w:rFonts w:ascii="Arial" w:cs="Arial" w:eastAsia="Arial" w:hAnsi="Arial"/>
                <w:sz w:val="20"/>
                <w:szCs w:val="20"/>
                <w:b w:val="1"/>
                <w:bCs w:val="1"/>
                <w:color w:val="auto"/>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40" w:type="dxa"/>
            <w:vAlign w:val="bottom"/>
            <w:tcBorders>
              <w:bottom w:val="single" w:sz="8" w:color="808080"/>
            </w:tcBorders>
          </w:tcPr>
          <w:p>
            <w:pPr>
              <w:spacing w:after="0"/>
              <w:rPr>
                <w:sz w:val="7"/>
                <w:szCs w:val="7"/>
                <w:color w:val="auto"/>
              </w:rPr>
            </w:pPr>
          </w:p>
        </w:tc>
        <w:tc>
          <w:tcPr>
            <w:tcW w:w="33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8060" w:type="dxa"/>
            <w:vAlign w:val="bottom"/>
            <w:gridSpan w:val="2"/>
          </w:tcPr>
          <w:p>
            <w:pPr>
              <w:spacing w:after="0"/>
              <w:rPr>
                <w:sz w:val="20"/>
                <w:szCs w:val="20"/>
                <w:color w:val="auto"/>
              </w:rPr>
            </w:pPr>
            <w:r>
              <w:rPr>
                <w:rFonts w:ascii="Arial" w:cs="Arial" w:eastAsia="Arial" w:hAnsi="Arial"/>
                <w:sz w:val="16"/>
                <w:szCs w:val="16"/>
                <w:color w:val="auto"/>
              </w:rPr>
              <w:t>Liabilities established</w:t>
            </w:r>
          </w:p>
        </w:tc>
        <w:tc>
          <w:tcPr>
            <w:tcW w:w="3360" w:type="dxa"/>
            <w:vAlign w:val="bottom"/>
          </w:tcPr>
          <w:p>
            <w:pPr>
              <w:jc w:val="right"/>
              <w:ind w:right="137"/>
              <w:spacing w:after="0"/>
              <w:rPr>
                <w:sz w:val="20"/>
                <w:szCs w:val="20"/>
                <w:color w:val="auto"/>
              </w:rPr>
            </w:pPr>
            <w:r>
              <w:rPr>
                <w:rFonts w:ascii="Arial" w:cs="Arial" w:eastAsia="Arial" w:hAnsi="Arial"/>
                <w:sz w:val="16"/>
                <w:szCs w:val="16"/>
                <w:color w:val="auto"/>
              </w:rPr>
              <w:t>$ 10.9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040" w:type="dxa"/>
            <w:vAlign w:val="bottom"/>
            <w:shd w:val="clear" w:color="auto" w:fill="DDDDDD"/>
          </w:tcPr>
          <w:p>
            <w:pPr>
              <w:spacing w:after="0"/>
              <w:rPr>
                <w:sz w:val="20"/>
                <w:szCs w:val="20"/>
                <w:color w:val="auto"/>
              </w:rPr>
            </w:pPr>
            <w:r>
              <w:rPr>
                <w:rFonts w:ascii="Arial" w:cs="Arial" w:eastAsia="Arial" w:hAnsi="Arial"/>
                <w:sz w:val="16"/>
                <w:szCs w:val="16"/>
                <w:color w:val="auto"/>
              </w:rPr>
              <w:t>Fiscal 2003 payments</w:t>
            </w:r>
          </w:p>
        </w:tc>
        <w:tc>
          <w:tcPr>
            <w:tcW w:w="3360" w:type="dxa"/>
            <w:vAlign w:val="bottom"/>
            <w:shd w:val="clear" w:color="auto" w:fill="DDDDDD"/>
          </w:tcPr>
          <w:p>
            <w:pPr>
              <w:jc w:val="right"/>
              <w:ind w:right="137"/>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40" w:type="dxa"/>
            <w:vAlign w:val="bottom"/>
            <w:tcBorders>
              <w:bottom w:val="single" w:sz="8" w:color="808080"/>
            </w:tcBorders>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8060" w:type="dxa"/>
            <w:vAlign w:val="bottom"/>
            <w:gridSpan w:val="2"/>
          </w:tcPr>
          <w:p>
            <w:pPr>
              <w:spacing w:after="0"/>
              <w:rPr>
                <w:sz w:val="20"/>
                <w:szCs w:val="20"/>
                <w:color w:val="auto"/>
              </w:rPr>
            </w:pPr>
            <w:r>
              <w:rPr>
                <w:rFonts w:ascii="Arial" w:cs="Arial" w:eastAsia="Arial" w:hAnsi="Arial"/>
                <w:sz w:val="16"/>
                <w:szCs w:val="16"/>
                <w:b w:val="1"/>
                <w:bCs w:val="1"/>
                <w:color w:val="auto"/>
              </w:rPr>
              <w:t>Balance at May 31, 2003</w:t>
            </w:r>
          </w:p>
        </w:tc>
        <w:tc>
          <w:tcPr>
            <w:tcW w:w="3360" w:type="dxa"/>
            <w:vAlign w:val="bottom"/>
          </w:tcPr>
          <w:p>
            <w:pPr>
              <w:jc w:val="right"/>
              <w:ind w:right="137"/>
              <w:spacing w:after="0"/>
              <w:rPr>
                <w:sz w:val="20"/>
                <w:szCs w:val="20"/>
                <w:color w:val="auto"/>
              </w:rPr>
            </w:pPr>
            <w:r>
              <w:rPr>
                <w:rFonts w:ascii="Arial" w:cs="Arial" w:eastAsia="Arial" w:hAnsi="Arial"/>
                <w:sz w:val="16"/>
                <w:szCs w:val="16"/>
                <w:b w:val="1"/>
                <w:bCs w:val="1"/>
                <w:color w:val="auto"/>
              </w:rPr>
              <w:t>$ 9.7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808080"/>
            </w:tcBorders>
          </w:tcPr>
          <w:p>
            <w:pPr>
              <w:spacing w:after="0"/>
              <w:rPr>
                <w:sz w:val="12"/>
                <w:szCs w:val="12"/>
                <w:color w:val="auto"/>
              </w:rPr>
            </w:pPr>
          </w:p>
        </w:tc>
        <w:tc>
          <w:tcPr>
            <w:tcW w:w="8040" w:type="dxa"/>
            <w:vAlign w:val="bottom"/>
            <w:tcBorders>
              <w:bottom w:val="single" w:sz="8" w:color="808080"/>
            </w:tcBorders>
          </w:tcPr>
          <w:p>
            <w:pPr>
              <w:spacing w:after="0"/>
              <w:rPr>
                <w:sz w:val="12"/>
                <w:szCs w:val="12"/>
                <w:color w:val="auto"/>
              </w:rPr>
            </w:pPr>
          </w:p>
        </w:tc>
        <w:tc>
          <w:tcPr>
            <w:tcW w:w="33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-1512570</wp:posOffset>
            </wp:positionV>
            <wp:extent cx="12700" cy="28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-1512570</wp:posOffset>
            </wp:positionV>
            <wp:extent cx="12700" cy="28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The remaining liability of $9.7 represents payments in the form of salary continuance pursuant to severance agreements, which are expected to be paid over the next two fiscal years.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LITIGATION AND OTHER CHARGES</w:t>
      </w:r>
    </w:p>
    <w:p>
      <w:pPr>
        <w:spacing w:after="0" w:line="2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 xml:space="preserve">On September 23, 2002, the Company announced that it had agreed in principle to settle a class action lawsuit initiated in 1997, captioned </w:t>
      </w:r>
      <w:r>
        <w:rPr>
          <w:rFonts w:ascii="Arial" w:cs="Arial" w:eastAsia="Arial" w:hAnsi="Arial"/>
          <w:sz w:val="16"/>
          <w:szCs w:val="16"/>
          <w:i w:val="1"/>
          <w:iCs w:val="1"/>
          <w:color w:val="auto"/>
        </w:rPr>
        <w:t>In re Scholastic Corporation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Litigation, </w:t>
      </w:r>
      <w:r>
        <w:rPr>
          <w:rFonts w:ascii="Arial" w:cs="Arial" w:eastAsia="Arial" w:hAnsi="Arial"/>
          <w:sz w:val="16"/>
          <w:szCs w:val="16"/>
          <w:color w:val="auto"/>
        </w:rPr>
        <w:t>97 Civ. 2447 (JFK). The settlement agreement resulted in a pre-tax charge in fiscal 2003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$1.9, which represents the portion of the total settlement amount of $7.5 that is not being paid by the insurance carrier.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July 30, 2002, the Company agreed in principle to settle a lawsuit filed in 1995 with Robert Harris and</w:t>
      </w:r>
    </w:p>
    <w:p>
      <w:pPr>
        <w:spacing w:after="0" w:line="21"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Harris Entertainment, Inc., for which the Company had established a $6.7 liability in the second quarter of fiscal 2000. The case involved stock appreciation rights allegedly granted to Mr. Harris by the Company in 1990 in connection with a joint venture formed primarily to produce motion pictures. The settlement agreement resulted in a fiscal 2002 pre-tax charge of $1.2, which represents the amount by which the settlement and related legal expenses exceeded the previously recorded liability.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OTHER INCOME (EXPENSE)</w:t>
      </w:r>
    </w:p>
    <w:p>
      <w:pPr>
        <w:spacing w:after="0" w:line="2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On December 30, 2002, the Company sold a portion of its interest in a French publishing company for $5.2, resulting in a pre-tax gain of $2.9. The impact of this gain on fiscal 2003 earnings per diluted share was $0.05 in fiscal 2003.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fiscal 2002, the Company wrote off an equity investment of $2.0. The impact of this charge on earnings per diluted share was $0.03 in fiscal 2002.</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OTHER FINANCIAL DATA</w:t>
      </w:r>
    </w:p>
    <w:p>
      <w:pPr>
        <w:spacing w:after="0" w:line="2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Deferred promotion costs were $52.8 and $44.6 at May 31, 2003 and 2002, respectively. Promotion costs expensed were $109.1, $94.5 and $94.7 for the fiscal years ended May 31, 2003, 2002 and 2001, respectively. Promotional expense consists of $99.9, $88.0 and $86.6 for direct-to-home continuity program promotions and $9.2, $6.5 and $8.1 for magazine advertising for fiscal 2003, 2002 and 2001,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Other advertising expenses were $161.4, $164.2 and $179.9 for the fiscal years ended May 31, 2003, 2002 and 2001, respectively.</w:t>
      </w:r>
    </w:p>
    <w:p>
      <w:pPr>
        <w:sectPr>
          <w:pgSz w:w="11900" w:h="16838" w:orient="portrait"/>
          <w:cols w:equalWidth="0" w:num="1">
            <w:col w:w="11440"/>
          </w:cols>
          <w:pgMar w:left="240" w:top="131" w:right="219" w:bottom="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The financial statement impact of write-downs of deferred promotion costs to net realizable value during the periods presented was not material.</w:t>
      </w:r>
    </w:p>
    <w:p>
      <w:pPr>
        <w:spacing w:after="0" w:line="210"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Accumulated amortization of prepublication costs was $76.3 and $62.4 at May 31, 2003 and 2002, respectively. The Company amortized $47.5, $42.6 and $54.8 for the fiscal years ended May 31, 2003, 2002 and 2001, respectively.</w:t>
      </w:r>
    </w:p>
    <w:p>
      <w:pPr>
        <w:spacing w:after="0" w:line="15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Other accrued expenses include a reserve for unredeemed credits issued in conjunction with the Company’s school-based book club and book fair operations of $12.4 and $12.3 at May 31, 2003 and 2002, respectively.</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3765" cy="3619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Report of Independent Auditors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SCHOLASTIC CORPORATION</w:t>
      </w:r>
    </w:p>
    <w:p>
      <w:pPr>
        <w:spacing w:after="0" w:line="20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have audited the accompanying consolidated balance sheets of Scholastic Corporation (the “Company”) as of May 31, 2003 and 2002, and the related consolidated statements of income, changes in stockholders’ equity and comprehensive income and cash flows for each of the three years in the period ended May 31, 2003.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72"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6"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the Company at May 31, 2003 and 2002 and the consolidated results of its operations and its cash flows for each of the three years in the period ended May 31, 2003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 As discussed in Note 8 to the consolidated financial statements, the Company changed its accounting for goodwill and other indefinite lived intangible assets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6242050</wp:posOffset>
            </wp:positionH>
            <wp:positionV relativeFrom="paragraph">
              <wp:posOffset>115570</wp:posOffset>
            </wp:positionV>
            <wp:extent cx="1016000" cy="2578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16000" cy="25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14, 2003</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Supplementary Financial Information</w:t>
      </w:r>
    </w:p>
    <w:p>
      <w:pPr>
        <w:spacing w:after="0" w:line="21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Summary of Quarterly Results of Operations</w:t>
      </w:r>
    </w:p>
    <w:p>
      <w:pPr>
        <w:spacing w:after="0" w:line="44"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(Unaudited, amounts in millions except per share data)</w:t>
      </w:r>
    </w:p>
    <w:p>
      <w:pPr>
        <w:spacing w:after="0" w:line="36"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Years ended May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340" w:type="dxa"/>
            <w:vAlign w:val="bottom"/>
          </w:tcPr>
          <w:p>
            <w:pPr>
              <w:jc w:val="right"/>
              <w:ind w:right="458"/>
              <w:spacing w:after="0"/>
              <w:rPr>
                <w:sz w:val="20"/>
                <w:szCs w:val="20"/>
                <w:color w:val="auto"/>
              </w:rPr>
            </w:pPr>
            <w:r>
              <w:rPr>
                <w:rFonts w:ascii="Arial" w:cs="Arial" w:eastAsia="Arial" w:hAnsi="Arial"/>
                <w:sz w:val="20"/>
                <w:szCs w:val="20"/>
                <w:b w:val="1"/>
                <w:bCs w:val="1"/>
                <w:color w:val="auto"/>
              </w:rPr>
              <w:t>First</w:t>
            </w:r>
          </w:p>
        </w:tc>
        <w:tc>
          <w:tcPr>
            <w:tcW w:w="1200" w:type="dxa"/>
            <w:vAlign w:val="bottom"/>
          </w:tcPr>
          <w:p>
            <w:pPr>
              <w:jc w:val="right"/>
              <w:ind w:right="318"/>
              <w:spacing w:after="0"/>
              <w:rPr>
                <w:sz w:val="20"/>
                <w:szCs w:val="20"/>
                <w:color w:val="auto"/>
              </w:rPr>
            </w:pPr>
            <w:r>
              <w:rPr>
                <w:rFonts w:ascii="Arial" w:cs="Arial" w:eastAsia="Arial" w:hAnsi="Arial"/>
                <w:sz w:val="20"/>
                <w:szCs w:val="20"/>
                <w:b w:val="1"/>
                <w:bCs w:val="1"/>
                <w:color w:val="auto"/>
              </w:rPr>
              <w:t>Second</w:t>
            </w:r>
          </w:p>
        </w:tc>
        <w:tc>
          <w:tcPr>
            <w:tcW w:w="1320" w:type="dxa"/>
            <w:vAlign w:val="bottom"/>
          </w:tcPr>
          <w:p>
            <w:pPr>
              <w:jc w:val="right"/>
              <w:ind w:right="518"/>
              <w:spacing w:after="0"/>
              <w:rPr>
                <w:sz w:val="20"/>
                <w:szCs w:val="20"/>
                <w:color w:val="auto"/>
              </w:rPr>
            </w:pPr>
            <w:r>
              <w:rPr>
                <w:rFonts w:ascii="Arial" w:cs="Arial" w:eastAsia="Arial" w:hAnsi="Arial"/>
                <w:sz w:val="20"/>
                <w:szCs w:val="20"/>
                <w:b w:val="1"/>
                <w:bCs w:val="1"/>
                <w:color w:val="auto"/>
              </w:rPr>
              <w:t>Third</w:t>
            </w:r>
          </w:p>
        </w:tc>
        <w:tc>
          <w:tcPr>
            <w:tcW w:w="1480" w:type="dxa"/>
            <w:vAlign w:val="bottom"/>
          </w:tcPr>
          <w:p>
            <w:pPr>
              <w:jc w:val="right"/>
              <w:ind w:right="418"/>
              <w:spacing w:after="0"/>
              <w:rPr>
                <w:sz w:val="20"/>
                <w:szCs w:val="20"/>
                <w:color w:val="auto"/>
              </w:rPr>
            </w:pPr>
            <w:r>
              <w:rPr>
                <w:rFonts w:ascii="Arial" w:cs="Arial" w:eastAsia="Arial" w:hAnsi="Arial"/>
                <w:sz w:val="20"/>
                <w:szCs w:val="20"/>
                <w:b w:val="1"/>
                <w:bCs w:val="1"/>
                <w:color w:val="auto"/>
              </w:rPr>
              <w:t>Fourth</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jc w:val="right"/>
              <w:ind w:right="318"/>
              <w:spacing w:after="0"/>
              <w:rPr>
                <w:sz w:val="20"/>
                <w:szCs w:val="20"/>
                <w:color w:val="auto"/>
              </w:rPr>
            </w:pPr>
            <w:r>
              <w:rPr>
                <w:rFonts w:ascii="Arial" w:cs="Arial" w:eastAsia="Arial" w:hAnsi="Arial"/>
                <w:sz w:val="20"/>
                <w:szCs w:val="20"/>
                <w:b w:val="1"/>
                <w:bCs w:val="1"/>
                <w:color w:val="auto"/>
              </w:rPr>
              <w:t>Quarter</w:t>
            </w:r>
          </w:p>
        </w:tc>
        <w:tc>
          <w:tcPr>
            <w:tcW w:w="1200" w:type="dxa"/>
            <w:vAlign w:val="bottom"/>
            <w:tcBorders>
              <w:bottom w:val="single" w:sz="8" w:color="808080"/>
            </w:tcBorders>
          </w:tcPr>
          <w:p>
            <w:pPr>
              <w:jc w:val="right"/>
              <w:ind w:right="278"/>
              <w:spacing w:after="0"/>
              <w:rPr>
                <w:sz w:val="20"/>
                <w:szCs w:val="20"/>
                <w:color w:val="auto"/>
              </w:rPr>
            </w:pPr>
            <w:r>
              <w:rPr>
                <w:rFonts w:ascii="Arial" w:cs="Arial" w:eastAsia="Arial" w:hAnsi="Arial"/>
                <w:sz w:val="20"/>
                <w:szCs w:val="20"/>
                <w:b w:val="1"/>
                <w:bCs w:val="1"/>
                <w:color w:val="auto"/>
              </w:rPr>
              <w:t>Quarter</w:t>
            </w:r>
          </w:p>
        </w:tc>
        <w:tc>
          <w:tcPr>
            <w:tcW w:w="1320" w:type="dxa"/>
            <w:vAlign w:val="bottom"/>
            <w:tcBorders>
              <w:bottom w:val="single" w:sz="8" w:color="808080"/>
            </w:tcBorders>
          </w:tcPr>
          <w:p>
            <w:pPr>
              <w:jc w:val="right"/>
              <w:ind w:right="418"/>
              <w:spacing w:after="0"/>
              <w:rPr>
                <w:sz w:val="20"/>
                <w:szCs w:val="20"/>
                <w:color w:val="auto"/>
              </w:rPr>
            </w:pPr>
            <w:r>
              <w:rPr>
                <w:rFonts w:ascii="Arial" w:cs="Arial" w:eastAsia="Arial" w:hAnsi="Arial"/>
                <w:sz w:val="20"/>
                <w:szCs w:val="20"/>
                <w:b w:val="1"/>
                <w:bCs w:val="1"/>
                <w:color w:val="auto"/>
              </w:rPr>
              <w:t>Quarter</w:t>
            </w:r>
          </w:p>
        </w:tc>
        <w:tc>
          <w:tcPr>
            <w:tcW w:w="1480" w:type="dxa"/>
            <w:vAlign w:val="bottom"/>
            <w:tcBorders>
              <w:bottom w:val="single" w:sz="8" w:color="808080"/>
            </w:tcBorders>
          </w:tcPr>
          <w:p>
            <w:pPr>
              <w:jc w:val="right"/>
              <w:ind w:right="278"/>
              <w:spacing w:after="0"/>
              <w:rPr>
                <w:sz w:val="20"/>
                <w:szCs w:val="20"/>
                <w:color w:val="auto"/>
              </w:rPr>
            </w:pPr>
            <w:r>
              <w:rPr>
                <w:rFonts w:ascii="Arial" w:cs="Arial" w:eastAsia="Arial" w:hAnsi="Arial"/>
                <w:sz w:val="20"/>
                <w:szCs w:val="20"/>
                <w:b w:val="1"/>
                <w:bCs w:val="1"/>
                <w:color w:val="auto"/>
              </w:rPr>
              <w:t>Quarter</w:t>
            </w:r>
            <w:r>
              <w:rPr>
                <w:rFonts w:ascii="Arial" w:cs="Arial" w:eastAsia="Arial" w:hAnsi="Arial"/>
                <w:sz w:val="32"/>
                <w:szCs w:val="32"/>
                <w:color w:val="auto"/>
                <w:vertAlign w:val="superscript"/>
              </w:rPr>
              <w:t>(1)</w:t>
            </w:r>
          </w:p>
        </w:tc>
        <w:tc>
          <w:tcPr>
            <w:tcW w:w="1000" w:type="dxa"/>
            <w:vAlign w:val="bottom"/>
            <w:tcBorders>
              <w:bottom w:val="single" w:sz="8" w:color="808080"/>
            </w:tcBorders>
          </w:tcPr>
          <w:p>
            <w:pPr>
              <w:jc w:val="right"/>
              <w:ind w:right="339"/>
              <w:spacing w:after="0"/>
              <w:rPr>
                <w:sz w:val="20"/>
                <w:szCs w:val="20"/>
                <w:color w:val="auto"/>
              </w:rPr>
            </w:pPr>
            <w:r>
              <w:rPr>
                <w:rFonts w:ascii="Arial" w:cs="Arial" w:eastAsia="Arial" w:hAnsi="Arial"/>
                <w:sz w:val="20"/>
                <w:szCs w:val="20"/>
                <w:b w:val="1"/>
                <w:bCs w:val="1"/>
                <w:color w:val="auto"/>
              </w:rPr>
              <w:t>Year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080" w:type="dxa"/>
            <w:vAlign w:val="bottom"/>
            <w:gridSpan w:val="2"/>
          </w:tcPr>
          <w:p>
            <w:pPr>
              <w:spacing w:after="0"/>
              <w:rPr>
                <w:sz w:val="20"/>
                <w:szCs w:val="20"/>
                <w:color w:val="auto"/>
              </w:rPr>
            </w:pPr>
            <w:r>
              <w:rPr>
                <w:rFonts w:ascii="Arial" w:cs="Arial" w:eastAsia="Arial" w:hAnsi="Arial"/>
                <w:sz w:val="20"/>
                <w:szCs w:val="20"/>
                <w:b w:val="1"/>
                <w:bCs w:val="1"/>
                <w:color w:val="auto"/>
              </w:rPr>
              <w:t>2003</w:t>
            </w:r>
          </w:p>
        </w:tc>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80" w:type="dxa"/>
            <w:vAlign w:val="bottom"/>
            <w:tcBorders>
              <w:bottom w:val="single" w:sz="8" w:color="808080"/>
            </w:tcBorders>
            <w:gridSpan w:val="2"/>
          </w:tcPr>
          <w:p>
            <w:pPr>
              <w:spacing w:after="0"/>
              <w:rPr>
                <w:sz w:val="7"/>
                <w:szCs w:val="7"/>
                <w:color w:val="auto"/>
              </w:rPr>
            </w:pPr>
          </w:p>
        </w:tc>
        <w:tc>
          <w:tcPr>
            <w:tcW w:w="23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408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340" w:type="dxa"/>
            <w:vAlign w:val="bottom"/>
          </w:tcPr>
          <w:p>
            <w:pPr>
              <w:jc w:val="right"/>
              <w:ind w:right="98"/>
              <w:spacing w:after="0"/>
              <w:rPr>
                <w:sz w:val="20"/>
                <w:szCs w:val="20"/>
                <w:color w:val="auto"/>
              </w:rPr>
            </w:pPr>
            <w:r>
              <w:rPr>
                <w:rFonts w:ascii="Arial" w:cs="Arial" w:eastAsia="Arial" w:hAnsi="Arial"/>
                <w:sz w:val="16"/>
                <w:szCs w:val="16"/>
                <w:color w:val="auto"/>
              </w:rPr>
              <w:t>$ 306.9</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$ 660.3</w:t>
            </w:r>
          </w:p>
        </w:tc>
        <w:tc>
          <w:tcPr>
            <w:tcW w:w="1320" w:type="dxa"/>
            <w:vAlign w:val="bottom"/>
          </w:tcPr>
          <w:p>
            <w:pPr>
              <w:jc w:val="right"/>
              <w:ind w:right="198"/>
              <w:spacing w:after="0"/>
              <w:rPr>
                <w:sz w:val="20"/>
                <w:szCs w:val="20"/>
                <w:color w:val="auto"/>
              </w:rPr>
            </w:pPr>
            <w:r>
              <w:rPr>
                <w:rFonts w:ascii="Arial" w:cs="Arial" w:eastAsia="Arial" w:hAnsi="Arial"/>
                <w:sz w:val="16"/>
                <w:szCs w:val="16"/>
                <w:color w:val="auto"/>
              </w:rPr>
              <w:t>$ 433.7</w:t>
            </w: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$ 557.4</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$ 1,958.3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060" w:type="dxa"/>
            <w:vAlign w:val="bottom"/>
            <w:shd w:val="clear" w:color="auto" w:fill="DDDDDD"/>
          </w:tcPr>
          <w:p>
            <w:pPr>
              <w:spacing w:after="0"/>
              <w:rPr>
                <w:sz w:val="20"/>
                <w:szCs w:val="20"/>
                <w:color w:val="auto"/>
              </w:rPr>
            </w:pPr>
            <w:r>
              <w:rPr>
                <w:rFonts w:ascii="Arial" w:cs="Arial" w:eastAsia="Arial" w:hAnsi="Arial"/>
                <w:sz w:val="16"/>
                <w:szCs w:val="16"/>
                <w:color w:val="auto"/>
              </w:rPr>
              <w:t>Cost of goods sold</w:t>
            </w:r>
          </w:p>
        </w:tc>
        <w:tc>
          <w:tcPr>
            <w:tcW w:w="23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160.2</w:t>
            </w:r>
          </w:p>
        </w:tc>
        <w:tc>
          <w:tcPr>
            <w:tcW w:w="120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281.8</w:t>
            </w:r>
          </w:p>
        </w:tc>
        <w:tc>
          <w:tcPr>
            <w:tcW w:w="1320" w:type="dxa"/>
            <w:vAlign w:val="bottom"/>
            <w:shd w:val="clear" w:color="auto" w:fill="DDDDDD"/>
          </w:tcPr>
          <w:p>
            <w:pPr>
              <w:jc w:val="right"/>
              <w:ind w:right="198"/>
              <w:spacing w:after="0"/>
              <w:rPr>
                <w:sz w:val="20"/>
                <w:szCs w:val="20"/>
                <w:color w:val="auto"/>
              </w:rPr>
            </w:pPr>
            <w:r>
              <w:rPr>
                <w:rFonts w:ascii="Arial" w:cs="Arial" w:eastAsia="Arial" w:hAnsi="Arial"/>
                <w:sz w:val="16"/>
                <w:szCs w:val="16"/>
                <w:color w:val="auto"/>
              </w:rPr>
              <w:t>198.3</w:t>
            </w:r>
          </w:p>
        </w:tc>
        <w:tc>
          <w:tcPr>
            <w:tcW w:w="148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241.8</w:t>
            </w:r>
          </w:p>
        </w:tc>
        <w:tc>
          <w:tcPr>
            <w:tcW w:w="10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882.1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Net income/(loss)</w:t>
            </w:r>
          </w:p>
        </w:tc>
        <w:tc>
          <w:tcPr>
            <w:tcW w:w="2340" w:type="dxa"/>
            <w:vAlign w:val="bottom"/>
          </w:tcPr>
          <w:p>
            <w:pPr>
              <w:jc w:val="right"/>
              <w:ind w:right="38"/>
              <w:spacing w:after="0"/>
              <w:rPr>
                <w:sz w:val="20"/>
                <w:szCs w:val="20"/>
                <w:color w:val="auto"/>
              </w:rPr>
            </w:pPr>
            <w:r>
              <w:rPr>
                <w:rFonts w:ascii="Arial" w:cs="Arial" w:eastAsia="Arial" w:hAnsi="Arial"/>
                <w:sz w:val="16"/>
                <w:szCs w:val="16"/>
                <w:color w:val="auto"/>
              </w:rPr>
              <w:t>(44.6)</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75.0</w:t>
            </w:r>
          </w:p>
        </w:tc>
        <w:tc>
          <w:tcPr>
            <w:tcW w:w="1320" w:type="dxa"/>
            <w:vAlign w:val="bottom"/>
          </w:tcPr>
          <w:p>
            <w:pPr>
              <w:jc w:val="right"/>
              <w:ind w:right="138"/>
              <w:spacing w:after="0"/>
              <w:rPr>
                <w:sz w:val="20"/>
                <w:szCs w:val="20"/>
                <w:color w:val="auto"/>
              </w:rPr>
            </w:pPr>
            <w:r>
              <w:rPr>
                <w:rFonts w:ascii="Arial" w:cs="Arial" w:eastAsia="Arial" w:hAnsi="Arial"/>
                <w:sz w:val="16"/>
                <w:szCs w:val="16"/>
                <w:color w:val="auto"/>
              </w:rPr>
              <w:t>(0.5)</w:t>
            </w: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28.7</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DDDDDD"/>
          </w:tcPr>
          <w:p>
            <w:pPr>
              <w:spacing w:after="0"/>
              <w:rPr>
                <w:sz w:val="20"/>
                <w:szCs w:val="20"/>
                <w:color w:val="auto"/>
              </w:rPr>
            </w:pPr>
            <w:r>
              <w:rPr>
                <w:rFonts w:ascii="Arial" w:cs="Arial" w:eastAsia="Arial" w:hAnsi="Arial"/>
                <w:sz w:val="16"/>
                <w:szCs w:val="16"/>
                <w:color w:val="auto"/>
              </w:rPr>
              <w:t>Earnings/(loss) per share:</w:t>
            </w:r>
          </w:p>
        </w:tc>
        <w:tc>
          <w:tcPr>
            <w:tcW w:w="2340" w:type="dxa"/>
            <w:vAlign w:val="bottom"/>
            <w:shd w:val="clear" w:color="auto" w:fill="DDDDDD"/>
          </w:tcPr>
          <w:p>
            <w:pPr>
              <w:spacing w:after="0"/>
              <w:rPr>
                <w:sz w:val="20"/>
                <w:szCs w:val="20"/>
                <w:color w:val="auto"/>
              </w:rPr>
            </w:pPr>
          </w:p>
        </w:tc>
        <w:tc>
          <w:tcPr>
            <w:tcW w:w="120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1480" w:type="dxa"/>
            <w:vAlign w:val="bottom"/>
            <w:shd w:val="clear" w:color="auto" w:fill="DDDDDD"/>
          </w:tcPr>
          <w:p>
            <w:pPr>
              <w:spacing w:after="0"/>
              <w:rPr>
                <w:sz w:val="20"/>
                <w:szCs w:val="20"/>
                <w:color w:val="auto"/>
              </w:rPr>
            </w:pPr>
          </w:p>
        </w:tc>
        <w:tc>
          <w:tcPr>
            <w:tcW w:w="1000" w:type="dxa"/>
            <w:vAlign w:val="bottom"/>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80"/>
              <w:spacing w:after="0"/>
              <w:rPr>
                <w:sz w:val="20"/>
                <w:szCs w:val="20"/>
                <w:color w:val="auto"/>
              </w:rPr>
            </w:pPr>
            <w:r>
              <w:rPr>
                <w:rFonts w:ascii="Arial" w:cs="Arial" w:eastAsia="Arial" w:hAnsi="Arial"/>
                <w:sz w:val="16"/>
                <w:szCs w:val="16"/>
                <w:color w:val="auto"/>
              </w:rPr>
              <w:t>Basic</w:t>
            </w:r>
          </w:p>
        </w:tc>
        <w:tc>
          <w:tcPr>
            <w:tcW w:w="2340" w:type="dxa"/>
            <w:vAlign w:val="bottom"/>
          </w:tcPr>
          <w:p>
            <w:pPr>
              <w:jc w:val="right"/>
              <w:ind w:right="38"/>
              <w:spacing w:after="0"/>
              <w:rPr>
                <w:sz w:val="20"/>
                <w:szCs w:val="20"/>
                <w:color w:val="auto"/>
              </w:rPr>
            </w:pPr>
            <w:r>
              <w:rPr>
                <w:rFonts w:ascii="Arial" w:cs="Arial" w:eastAsia="Arial" w:hAnsi="Arial"/>
                <w:sz w:val="16"/>
                <w:szCs w:val="16"/>
                <w:color w:val="auto"/>
              </w:rPr>
              <w:t>$ (1.14)</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$ 1.92</w:t>
            </w:r>
          </w:p>
        </w:tc>
        <w:tc>
          <w:tcPr>
            <w:tcW w:w="1320" w:type="dxa"/>
            <w:vAlign w:val="bottom"/>
          </w:tcPr>
          <w:p>
            <w:pPr>
              <w:jc w:val="right"/>
              <w:ind w:right="138"/>
              <w:spacing w:after="0"/>
              <w:rPr>
                <w:sz w:val="20"/>
                <w:szCs w:val="20"/>
                <w:color w:val="auto"/>
              </w:rPr>
            </w:pPr>
            <w:r>
              <w:rPr>
                <w:rFonts w:ascii="Arial" w:cs="Arial" w:eastAsia="Arial" w:hAnsi="Arial"/>
                <w:sz w:val="16"/>
                <w:szCs w:val="16"/>
                <w:color w:val="auto"/>
              </w:rPr>
              <w:t>$ (0.01)</w:t>
            </w: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$ 0.73</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$ 1.50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DDDDDD"/>
          </w:tcPr>
          <w:p>
            <w:pPr>
              <w:ind w:left="380"/>
              <w:spacing w:after="0"/>
              <w:rPr>
                <w:sz w:val="20"/>
                <w:szCs w:val="20"/>
                <w:color w:val="auto"/>
              </w:rPr>
            </w:pPr>
            <w:r>
              <w:rPr>
                <w:rFonts w:ascii="Arial" w:cs="Arial" w:eastAsia="Arial" w:hAnsi="Arial"/>
                <w:sz w:val="16"/>
                <w:szCs w:val="16"/>
                <w:color w:val="auto"/>
              </w:rPr>
              <w:t>Diluted</w:t>
            </w:r>
          </w:p>
        </w:tc>
        <w:tc>
          <w:tcPr>
            <w:tcW w:w="2340" w:type="dxa"/>
            <w:vAlign w:val="bottom"/>
            <w:shd w:val="clear" w:color="auto" w:fill="DDDDDD"/>
          </w:tcPr>
          <w:p>
            <w:pPr>
              <w:jc w:val="right"/>
              <w:ind w:right="38"/>
              <w:spacing w:after="0"/>
              <w:rPr>
                <w:sz w:val="20"/>
                <w:szCs w:val="20"/>
                <w:color w:val="auto"/>
              </w:rPr>
            </w:pPr>
            <w:r>
              <w:rPr>
                <w:rFonts w:ascii="Arial" w:cs="Arial" w:eastAsia="Arial" w:hAnsi="Arial"/>
                <w:sz w:val="16"/>
                <w:szCs w:val="16"/>
                <w:color w:val="auto"/>
              </w:rPr>
              <w:t>$ (1.14)</w:t>
            </w:r>
          </w:p>
        </w:tc>
        <w:tc>
          <w:tcPr>
            <w:tcW w:w="120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$ 1.85</w:t>
            </w:r>
          </w:p>
        </w:tc>
        <w:tc>
          <w:tcPr>
            <w:tcW w:w="1320" w:type="dxa"/>
            <w:vAlign w:val="bottom"/>
            <w:shd w:val="clear" w:color="auto" w:fill="DDDDDD"/>
          </w:tcPr>
          <w:p>
            <w:pPr>
              <w:jc w:val="right"/>
              <w:ind w:right="138"/>
              <w:spacing w:after="0"/>
              <w:rPr>
                <w:sz w:val="20"/>
                <w:szCs w:val="20"/>
                <w:color w:val="auto"/>
              </w:rPr>
            </w:pPr>
            <w:r>
              <w:rPr>
                <w:rFonts w:ascii="Arial" w:cs="Arial" w:eastAsia="Arial" w:hAnsi="Arial"/>
                <w:sz w:val="16"/>
                <w:szCs w:val="16"/>
                <w:color w:val="auto"/>
              </w:rPr>
              <w:t>$ (0.01)</w:t>
            </w:r>
          </w:p>
        </w:tc>
        <w:tc>
          <w:tcPr>
            <w:tcW w:w="148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$ 0.72</w:t>
            </w:r>
          </w:p>
        </w:tc>
        <w:tc>
          <w:tcPr>
            <w:tcW w:w="10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$ 1.46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4080" w:type="dxa"/>
            <w:vAlign w:val="bottom"/>
            <w:gridSpan w:val="2"/>
          </w:tcPr>
          <w:p>
            <w:pPr>
              <w:spacing w:after="0"/>
              <w:rPr>
                <w:sz w:val="20"/>
                <w:szCs w:val="20"/>
                <w:color w:val="auto"/>
              </w:rPr>
            </w:pPr>
            <w:r>
              <w:rPr>
                <w:rFonts w:ascii="Arial" w:cs="Arial" w:eastAsia="Arial" w:hAnsi="Arial"/>
                <w:sz w:val="20"/>
                <w:szCs w:val="20"/>
                <w:b w:val="1"/>
                <w:bCs w:val="1"/>
                <w:color w:val="auto"/>
              </w:rPr>
              <w:t>2002</w:t>
            </w:r>
          </w:p>
        </w:tc>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80" w:type="dxa"/>
            <w:vAlign w:val="bottom"/>
            <w:tcBorders>
              <w:bottom w:val="single" w:sz="8" w:color="808080"/>
            </w:tcBorders>
            <w:gridSpan w:val="2"/>
          </w:tcPr>
          <w:p>
            <w:pPr>
              <w:spacing w:after="0"/>
              <w:rPr>
                <w:sz w:val="7"/>
                <w:szCs w:val="7"/>
                <w:color w:val="auto"/>
              </w:rPr>
            </w:pPr>
          </w:p>
        </w:tc>
        <w:tc>
          <w:tcPr>
            <w:tcW w:w="23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0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060" w:type="dxa"/>
            <w:vAlign w:val="bottom"/>
            <w:shd w:val="clear" w:color="auto" w:fill="DDDDDD"/>
          </w:tcPr>
          <w:p>
            <w:pPr>
              <w:spacing w:after="0"/>
              <w:rPr>
                <w:sz w:val="20"/>
                <w:szCs w:val="20"/>
                <w:color w:val="auto"/>
              </w:rPr>
            </w:pPr>
            <w:r>
              <w:rPr>
                <w:rFonts w:ascii="Arial" w:cs="Arial" w:eastAsia="Arial" w:hAnsi="Arial"/>
                <w:sz w:val="16"/>
                <w:szCs w:val="16"/>
                <w:color w:val="auto"/>
              </w:rPr>
              <w:t>Revenues</w:t>
            </w:r>
          </w:p>
        </w:tc>
        <w:tc>
          <w:tcPr>
            <w:tcW w:w="234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$ 306.1</w:t>
            </w:r>
          </w:p>
        </w:tc>
        <w:tc>
          <w:tcPr>
            <w:tcW w:w="120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$ 637.2</w:t>
            </w:r>
          </w:p>
        </w:tc>
        <w:tc>
          <w:tcPr>
            <w:tcW w:w="1320" w:type="dxa"/>
            <w:vAlign w:val="bottom"/>
            <w:shd w:val="clear" w:color="auto" w:fill="DDDDDD"/>
          </w:tcPr>
          <w:p>
            <w:pPr>
              <w:jc w:val="right"/>
              <w:ind w:right="198"/>
              <w:spacing w:after="0"/>
              <w:rPr>
                <w:sz w:val="20"/>
                <w:szCs w:val="20"/>
                <w:color w:val="auto"/>
              </w:rPr>
            </w:pPr>
            <w:r>
              <w:rPr>
                <w:rFonts w:ascii="Arial" w:cs="Arial" w:eastAsia="Arial" w:hAnsi="Arial"/>
                <w:sz w:val="16"/>
                <w:szCs w:val="16"/>
                <w:color w:val="auto"/>
              </w:rPr>
              <w:t>$ 432.7</w:t>
            </w:r>
          </w:p>
        </w:tc>
        <w:tc>
          <w:tcPr>
            <w:tcW w:w="148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$ 541.0</w:t>
            </w:r>
          </w:p>
        </w:tc>
        <w:tc>
          <w:tcPr>
            <w:tcW w:w="10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$ 1,917.0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Cost of goods sold</w:t>
            </w:r>
          </w:p>
        </w:tc>
        <w:tc>
          <w:tcPr>
            <w:tcW w:w="2340" w:type="dxa"/>
            <w:vAlign w:val="bottom"/>
          </w:tcPr>
          <w:p>
            <w:pPr>
              <w:jc w:val="right"/>
              <w:ind w:right="98"/>
              <w:spacing w:after="0"/>
              <w:rPr>
                <w:sz w:val="20"/>
                <w:szCs w:val="20"/>
                <w:color w:val="auto"/>
              </w:rPr>
            </w:pPr>
            <w:r>
              <w:rPr>
                <w:rFonts w:ascii="Arial" w:cs="Arial" w:eastAsia="Arial" w:hAnsi="Arial"/>
                <w:sz w:val="16"/>
                <w:szCs w:val="16"/>
                <w:color w:val="auto"/>
              </w:rPr>
              <w:t>159.5</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275.1</w:t>
            </w:r>
          </w:p>
        </w:tc>
        <w:tc>
          <w:tcPr>
            <w:tcW w:w="1320" w:type="dxa"/>
            <w:vAlign w:val="bottom"/>
          </w:tcPr>
          <w:p>
            <w:pPr>
              <w:jc w:val="right"/>
              <w:ind w:right="198"/>
              <w:spacing w:after="0"/>
              <w:rPr>
                <w:sz w:val="20"/>
                <w:szCs w:val="20"/>
                <w:color w:val="auto"/>
              </w:rPr>
            </w:pPr>
            <w:r>
              <w:rPr>
                <w:rFonts w:ascii="Arial" w:cs="Arial" w:eastAsia="Arial" w:hAnsi="Arial"/>
                <w:sz w:val="16"/>
                <w:szCs w:val="16"/>
                <w:color w:val="auto"/>
              </w:rPr>
              <w:t>199.6</w:t>
            </w: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217.9</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shd w:val="clear" w:color="auto" w:fill="DDDDDD"/>
          </w:tcPr>
          <w:p>
            <w:pPr>
              <w:spacing w:after="0"/>
              <w:rPr>
                <w:sz w:val="20"/>
                <w:szCs w:val="20"/>
                <w:color w:val="auto"/>
              </w:rPr>
            </w:pPr>
            <w:r>
              <w:rPr>
                <w:rFonts w:ascii="Arial" w:cs="Arial" w:eastAsia="Arial" w:hAnsi="Arial"/>
                <w:sz w:val="16"/>
                <w:szCs w:val="16"/>
                <w:color w:val="auto"/>
              </w:rPr>
              <w:t>Earnings/(loss) before Cumulative effect</w:t>
            </w:r>
          </w:p>
        </w:tc>
        <w:tc>
          <w:tcPr>
            <w:tcW w:w="2340" w:type="dxa"/>
            <w:vAlign w:val="bottom"/>
            <w:shd w:val="clear" w:color="auto" w:fill="DDDDDD"/>
          </w:tcPr>
          <w:p>
            <w:pPr>
              <w:spacing w:after="0"/>
              <w:rPr>
                <w:sz w:val="17"/>
                <w:szCs w:val="17"/>
                <w:color w:val="auto"/>
              </w:rPr>
            </w:pPr>
          </w:p>
        </w:tc>
        <w:tc>
          <w:tcPr>
            <w:tcW w:w="1200" w:type="dxa"/>
            <w:vAlign w:val="bottom"/>
            <w:shd w:val="clear" w:color="auto" w:fill="DDDDDD"/>
          </w:tcPr>
          <w:p>
            <w:pPr>
              <w:spacing w:after="0"/>
              <w:rPr>
                <w:sz w:val="17"/>
                <w:szCs w:val="17"/>
                <w:color w:val="auto"/>
              </w:rPr>
            </w:pPr>
          </w:p>
        </w:tc>
        <w:tc>
          <w:tcPr>
            <w:tcW w:w="1320" w:type="dxa"/>
            <w:vAlign w:val="bottom"/>
            <w:shd w:val="clear" w:color="auto" w:fill="DDDDDD"/>
          </w:tcPr>
          <w:p>
            <w:pPr>
              <w:spacing w:after="0"/>
              <w:rPr>
                <w:sz w:val="17"/>
                <w:szCs w:val="17"/>
                <w:color w:val="auto"/>
              </w:rPr>
            </w:pPr>
          </w:p>
        </w:tc>
        <w:tc>
          <w:tcPr>
            <w:tcW w:w="148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DDDDDD"/>
          </w:tcPr>
          <w:p>
            <w:pPr>
              <w:ind w:left="420"/>
              <w:spacing w:after="0"/>
              <w:rPr>
                <w:sz w:val="20"/>
                <w:szCs w:val="20"/>
                <w:color w:val="auto"/>
              </w:rPr>
            </w:pPr>
            <w:r>
              <w:rPr>
                <w:rFonts w:ascii="Arial" w:cs="Arial" w:eastAsia="Arial" w:hAnsi="Arial"/>
                <w:sz w:val="16"/>
                <w:szCs w:val="16"/>
                <w:color w:val="auto"/>
              </w:rPr>
              <w:t>of accounting change</w:t>
            </w:r>
          </w:p>
        </w:tc>
        <w:tc>
          <w:tcPr>
            <w:tcW w:w="2340" w:type="dxa"/>
            <w:vAlign w:val="bottom"/>
            <w:shd w:val="clear" w:color="auto" w:fill="DDDDDD"/>
          </w:tcPr>
          <w:p>
            <w:pPr>
              <w:jc w:val="right"/>
              <w:ind w:right="38"/>
              <w:spacing w:after="0"/>
              <w:rPr>
                <w:sz w:val="20"/>
                <w:szCs w:val="20"/>
                <w:color w:val="auto"/>
              </w:rPr>
            </w:pPr>
            <w:r>
              <w:rPr>
                <w:rFonts w:ascii="Arial" w:cs="Arial" w:eastAsia="Arial" w:hAnsi="Arial"/>
                <w:sz w:val="16"/>
                <w:szCs w:val="16"/>
                <w:color w:val="auto"/>
              </w:rPr>
              <w:t>(31.8)</w:t>
            </w:r>
          </w:p>
        </w:tc>
        <w:tc>
          <w:tcPr>
            <w:tcW w:w="120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66.5</w:t>
            </w:r>
          </w:p>
        </w:tc>
        <w:tc>
          <w:tcPr>
            <w:tcW w:w="1320" w:type="dxa"/>
            <w:vAlign w:val="bottom"/>
            <w:shd w:val="clear" w:color="auto" w:fill="DDDDDD"/>
          </w:tcPr>
          <w:p>
            <w:pPr>
              <w:jc w:val="right"/>
              <w:ind w:right="198"/>
              <w:spacing w:after="0"/>
              <w:rPr>
                <w:sz w:val="20"/>
                <w:szCs w:val="20"/>
                <w:color w:val="auto"/>
              </w:rPr>
            </w:pPr>
            <w:r>
              <w:rPr>
                <w:rFonts w:ascii="Arial" w:cs="Arial" w:eastAsia="Arial" w:hAnsi="Arial"/>
                <w:sz w:val="16"/>
                <w:szCs w:val="16"/>
                <w:color w:val="auto"/>
              </w:rPr>
              <w:t>11.9</w:t>
            </w:r>
          </w:p>
        </w:tc>
        <w:tc>
          <w:tcPr>
            <w:tcW w:w="148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52.1</w:t>
            </w:r>
          </w:p>
        </w:tc>
        <w:tc>
          <w:tcPr>
            <w:tcW w:w="10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98.7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Cumulative effect of accounting</w:t>
            </w:r>
          </w:p>
        </w:tc>
        <w:tc>
          <w:tcPr>
            <w:tcW w:w="2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tcPr>
          <w:p>
            <w:pPr>
              <w:ind w:left="380"/>
              <w:spacing w:after="0"/>
              <w:rPr>
                <w:sz w:val="20"/>
                <w:szCs w:val="20"/>
                <w:color w:val="auto"/>
              </w:rPr>
            </w:pPr>
            <w:r>
              <w:rPr>
                <w:rFonts w:ascii="Arial" w:cs="Arial" w:eastAsia="Arial" w:hAnsi="Arial"/>
                <w:sz w:val="16"/>
                <w:szCs w:val="16"/>
                <w:color w:val="auto"/>
              </w:rPr>
              <w:t>change (net of tax)</w:t>
            </w:r>
          </w:p>
        </w:tc>
        <w:tc>
          <w:tcPr>
            <w:tcW w:w="2340" w:type="dxa"/>
            <w:vAlign w:val="bottom"/>
          </w:tcPr>
          <w:p>
            <w:pPr>
              <w:jc w:val="right"/>
              <w:ind w:right="38"/>
              <w:spacing w:after="0"/>
              <w:rPr>
                <w:sz w:val="20"/>
                <w:szCs w:val="20"/>
                <w:color w:val="auto"/>
              </w:rPr>
            </w:pPr>
            <w:r>
              <w:rPr>
                <w:rFonts w:ascii="Arial" w:cs="Arial" w:eastAsia="Arial" w:hAnsi="Arial"/>
                <w:sz w:val="16"/>
                <w:szCs w:val="16"/>
                <w:color w:val="auto"/>
              </w:rPr>
              <w:t>(5.2)</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DDDDDD"/>
          </w:tcPr>
          <w:p>
            <w:pPr>
              <w:spacing w:after="0"/>
              <w:rPr>
                <w:sz w:val="20"/>
                <w:szCs w:val="20"/>
                <w:color w:val="auto"/>
              </w:rPr>
            </w:pPr>
            <w:r>
              <w:rPr>
                <w:rFonts w:ascii="Arial" w:cs="Arial" w:eastAsia="Arial" w:hAnsi="Arial"/>
                <w:sz w:val="16"/>
                <w:szCs w:val="16"/>
                <w:color w:val="auto"/>
              </w:rPr>
              <w:t>Net income/(loss)</w:t>
            </w:r>
          </w:p>
        </w:tc>
        <w:tc>
          <w:tcPr>
            <w:tcW w:w="2340" w:type="dxa"/>
            <w:vAlign w:val="bottom"/>
            <w:shd w:val="clear" w:color="auto" w:fill="DDDDDD"/>
          </w:tcPr>
          <w:p>
            <w:pPr>
              <w:jc w:val="right"/>
              <w:ind w:right="38"/>
              <w:spacing w:after="0"/>
              <w:rPr>
                <w:sz w:val="20"/>
                <w:szCs w:val="20"/>
                <w:color w:val="auto"/>
              </w:rPr>
            </w:pPr>
            <w:r>
              <w:rPr>
                <w:rFonts w:ascii="Arial" w:cs="Arial" w:eastAsia="Arial" w:hAnsi="Arial"/>
                <w:sz w:val="16"/>
                <w:szCs w:val="16"/>
                <w:color w:val="auto"/>
              </w:rPr>
              <w:t>(37.0)</w:t>
            </w:r>
          </w:p>
        </w:tc>
        <w:tc>
          <w:tcPr>
            <w:tcW w:w="120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66.5</w:t>
            </w:r>
          </w:p>
        </w:tc>
        <w:tc>
          <w:tcPr>
            <w:tcW w:w="1320" w:type="dxa"/>
            <w:vAlign w:val="bottom"/>
            <w:shd w:val="clear" w:color="auto" w:fill="DDDDDD"/>
          </w:tcPr>
          <w:p>
            <w:pPr>
              <w:jc w:val="right"/>
              <w:ind w:right="198"/>
              <w:spacing w:after="0"/>
              <w:rPr>
                <w:sz w:val="20"/>
                <w:szCs w:val="20"/>
                <w:color w:val="auto"/>
              </w:rPr>
            </w:pPr>
            <w:r>
              <w:rPr>
                <w:rFonts w:ascii="Arial" w:cs="Arial" w:eastAsia="Arial" w:hAnsi="Arial"/>
                <w:sz w:val="16"/>
                <w:szCs w:val="16"/>
                <w:color w:val="auto"/>
              </w:rPr>
              <w:t>11.9</w:t>
            </w:r>
          </w:p>
        </w:tc>
        <w:tc>
          <w:tcPr>
            <w:tcW w:w="148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52.1</w:t>
            </w:r>
          </w:p>
        </w:tc>
        <w:tc>
          <w:tcPr>
            <w:tcW w:w="10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Earnings/(loss) per share before Cumulative</w:t>
            </w:r>
          </w:p>
        </w:tc>
        <w:tc>
          <w:tcPr>
            <w:tcW w:w="2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tcPr>
          <w:p>
            <w:pPr>
              <w:ind w:left="380"/>
              <w:spacing w:after="0"/>
              <w:rPr>
                <w:sz w:val="20"/>
                <w:szCs w:val="20"/>
                <w:color w:val="auto"/>
              </w:rPr>
            </w:pPr>
            <w:r>
              <w:rPr>
                <w:rFonts w:ascii="Arial" w:cs="Arial" w:eastAsia="Arial" w:hAnsi="Arial"/>
                <w:sz w:val="16"/>
                <w:szCs w:val="16"/>
                <w:color w:val="auto"/>
              </w:rPr>
              <w:t>effect of accounting change:</w:t>
            </w:r>
          </w:p>
        </w:tc>
        <w:tc>
          <w:tcPr>
            <w:tcW w:w="2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shd w:val="clear" w:color="auto" w:fill="DDDDDD"/>
          </w:tcPr>
          <w:p>
            <w:pPr>
              <w:ind w:left="780"/>
              <w:spacing w:after="0"/>
              <w:rPr>
                <w:sz w:val="20"/>
                <w:szCs w:val="20"/>
                <w:color w:val="auto"/>
              </w:rPr>
            </w:pPr>
            <w:r>
              <w:rPr>
                <w:rFonts w:ascii="Arial" w:cs="Arial" w:eastAsia="Arial" w:hAnsi="Arial"/>
                <w:sz w:val="16"/>
                <w:szCs w:val="16"/>
                <w:color w:val="auto"/>
              </w:rPr>
              <w:t>Basic</w:t>
            </w:r>
          </w:p>
        </w:tc>
        <w:tc>
          <w:tcPr>
            <w:tcW w:w="2340" w:type="dxa"/>
            <w:vAlign w:val="bottom"/>
            <w:shd w:val="clear" w:color="auto" w:fill="DDDDDD"/>
          </w:tcPr>
          <w:p>
            <w:pPr>
              <w:jc w:val="right"/>
              <w:ind w:right="38"/>
              <w:spacing w:after="0"/>
              <w:rPr>
                <w:sz w:val="20"/>
                <w:szCs w:val="20"/>
                <w:color w:val="auto"/>
              </w:rPr>
            </w:pPr>
            <w:r>
              <w:rPr>
                <w:rFonts w:ascii="Arial" w:cs="Arial" w:eastAsia="Arial" w:hAnsi="Arial"/>
                <w:sz w:val="16"/>
                <w:szCs w:val="16"/>
                <w:color w:val="auto"/>
              </w:rPr>
              <w:t>$ (0.90)</w:t>
            </w:r>
          </w:p>
        </w:tc>
        <w:tc>
          <w:tcPr>
            <w:tcW w:w="120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$ 1.88</w:t>
            </w:r>
          </w:p>
        </w:tc>
        <w:tc>
          <w:tcPr>
            <w:tcW w:w="1320" w:type="dxa"/>
            <w:vAlign w:val="bottom"/>
            <w:shd w:val="clear" w:color="auto" w:fill="DDDDDD"/>
          </w:tcPr>
          <w:p>
            <w:pPr>
              <w:jc w:val="right"/>
              <w:ind w:right="198"/>
              <w:spacing w:after="0"/>
              <w:rPr>
                <w:sz w:val="20"/>
                <w:szCs w:val="20"/>
                <w:color w:val="auto"/>
              </w:rPr>
            </w:pPr>
            <w:r>
              <w:rPr>
                <w:rFonts w:ascii="Arial" w:cs="Arial" w:eastAsia="Arial" w:hAnsi="Arial"/>
                <w:sz w:val="16"/>
                <w:szCs w:val="16"/>
                <w:color w:val="auto"/>
              </w:rPr>
              <w:t>$ 0.32</w:t>
            </w:r>
          </w:p>
        </w:tc>
        <w:tc>
          <w:tcPr>
            <w:tcW w:w="148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$ 1.33</w:t>
            </w:r>
          </w:p>
        </w:tc>
        <w:tc>
          <w:tcPr>
            <w:tcW w:w="10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$ 2.69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tcPr>
          <w:p>
            <w:pPr>
              <w:ind w:left="780"/>
              <w:spacing w:after="0"/>
              <w:rPr>
                <w:sz w:val="20"/>
                <w:szCs w:val="20"/>
                <w:color w:val="auto"/>
              </w:rPr>
            </w:pPr>
            <w:r>
              <w:rPr>
                <w:rFonts w:ascii="Arial" w:cs="Arial" w:eastAsia="Arial" w:hAnsi="Arial"/>
                <w:sz w:val="16"/>
                <w:szCs w:val="16"/>
                <w:color w:val="auto"/>
              </w:rPr>
              <w:t>Diluted</w:t>
            </w:r>
          </w:p>
        </w:tc>
        <w:tc>
          <w:tcPr>
            <w:tcW w:w="2340" w:type="dxa"/>
            <w:vAlign w:val="bottom"/>
          </w:tcPr>
          <w:p>
            <w:pPr>
              <w:jc w:val="right"/>
              <w:ind w:right="38"/>
              <w:spacing w:after="0"/>
              <w:rPr>
                <w:sz w:val="20"/>
                <w:szCs w:val="20"/>
                <w:color w:val="auto"/>
              </w:rPr>
            </w:pPr>
            <w:r>
              <w:rPr>
                <w:rFonts w:ascii="Arial" w:cs="Arial" w:eastAsia="Arial" w:hAnsi="Arial"/>
                <w:sz w:val="16"/>
                <w:szCs w:val="16"/>
                <w:color w:val="auto"/>
              </w:rPr>
              <w:t>$ (0.90)</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$ 1.69</w:t>
            </w:r>
          </w:p>
        </w:tc>
        <w:tc>
          <w:tcPr>
            <w:tcW w:w="1320" w:type="dxa"/>
            <w:vAlign w:val="bottom"/>
          </w:tcPr>
          <w:p>
            <w:pPr>
              <w:jc w:val="right"/>
              <w:ind w:right="198"/>
              <w:spacing w:after="0"/>
              <w:rPr>
                <w:sz w:val="20"/>
                <w:szCs w:val="20"/>
                <w:color w:val="auto"/>
              </w:rPr>
            </w:pPr>
            <w:r>
              <w:rPr>
                <w:rFonts w:ascii="Arial" w:cs="Arial" w:eastAsia="Arial" w:hAnsi="Arial"/>
                <w:sz w:val="16"/>
                <w:szCs w:val="16"/>
                <w:color w:val="auto"/>
              </w:rPr>
              <w:t>$ 0.31</w:t>
            </w: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$ 1.28</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$ 2.51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DDDDDD"/>
          </w:tcPr>
          <w:p>
            <w:pPr>
              <w:spacing w:after="0"/>
              <w:rPr>
                <w:sz w:val="20"/>
                <w:szCs w:val="20"/>
                <w:color w:val="auto"/>
              </w:rPr>
            </w:pPr>
            <w:r>
              <w:rPr>
                <w:rFonts w:ascii="Arial" w:cs="Arial" w:eastAsia="Arial" w:hAnsi="Arial"/>
                <w:sz w:val="16"/>
                <w:szCs w:val="16"/>
                <w:color w:val="auto"/>
              </w:rPr>
              <w:t>Earnings/(loss) per share:</w:t>
            </w:r>
          </w:p>
        </w:tc>
        <w:tc>
          <w:tcPr>
            <w:tcW w:w="2340" w:type="dxa"/>
            <w:vAlign w:val="bottom"/>
            <w:shd w:val="clear" w:color="auto" w:fill="DDDDDD"/>
          </w:tcPr>
          <w:p>
            <w:pPr>
              <w:spacing w:after="0"/>
              <w:rPr>
                <w:sz w:val="20"/>
                <w:szCs w:val="20"/>
                <w:color w:val="auto"/>
              </w:rPr>
            </w:pPr>
          </w:p>
        </w:tc>
        <w:tc>
          <w:tcPr>
            <w:tcW w:w="120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1480" w:type="dxa"/>
            <w:vAlign w:val="bottom"/>
            <w:shd w:val="clear" w:color="auto" w:fill="DDDDDD"/>
          </w:tcPr>
          <w:p>
            <w:pPr>
              <w:spacing w:after="0"/>
              <w:rPr>
                <w:sz w:val="20"/>
                <w:szCs w:val="20"/>
                <w:color w:val="auto"/>
              </w:rPr>
            </w:pPr>
          </w:p>
        </w:tc>
        <w:tc>
          <w:tcPr>
            <w:tcW w:w="1000" w:type="dxa"/>
            <w:vAlign w:val="bottom"/>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780"/>
              <w:spacing w:after="0"/>
              <w:rPr>
                <w:sz w:val="20"/>
                <w:szCs w:val="20"/>
                <w:color w:val="auto"/>
              </w:rPr>
            </w:pPr>
            <w:r>
              <w:rPr>
                <w:rFonts w:ascii="Arial" w:cs="Arial" w:eastAsia="Arial" w:hAnsi="Arial"/>
                <w:sz w:val="16"/>
                <w:szCs w:val="16"/>
                <w:color w:val="auto"/>
              </w:rPr>
              <w:t>Basic</w:t>
            </w:r>
          </w:p>
        </w:tc>
        <w:tc>
          <w:tcPr>
            <w:tcW w:w="2340" w:type="dxa"/>
            <w:vAlign w:val="bottom"/>
          </w:tcPr>
          <w:p>
            <w:pPr>
              <w:jc w:val="right"/>
              <w:ind w:right="38"/>
              <w:spacing w:after="0"/>
              <w:rPr>
                <w:sz w:val="20"/>
                <w:szCs w:val="20"/>
                <w:color w:val="auto"/>
              </w:rPr>
            </w:pPr>
            <w:r>
              <w:rPr>
                <w:rFonts w:ascii="Arial" w:cs="Arial" w:eastAsia="Arial" w:hAnsi="Arial"/>
                <w:sz w:val="16"/>
                <w:szCs w:val="16"/>
                <w:color w:val="auto"/>
              </w:rPr>
              <w:t>$ (1.05)</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$ 1.88</w:t>
            </w:r>
          </w:p>
        </w:tc>
        <w:tc>
          <w:tcPr>
            <w:tcW w:w="1320" w:type="dxa"/>
            <w:vAlign w:val="bottom"/>
          </w:tcPr>
          <w:p>
            <w:pPr>
              <w:jc w:val="right"/>
              <w:ind w:right="198"/>
              <w:spacing w:after="0"/>
              <w:rPr>
                <w:sz w:val="20"/>
                <w:szCs w:val="20"/>
                <w:color w:val="auto"/>
              </w:rPr>
            </w:pPr>
            <w:r>
              <w:rPr>
                <w:rFonts w:ascii="Arial" w:cs="Arial" w:eastAsia="Arial" w:hAnsi="Arial"/>
                <w:sz w:val="16"/>
                <w:szCs w:val="16"/>
                <w:color w:val="auto"/>
              </w:rPr>
              <w:t>$ 0.32</w:t>
            </w: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$ 1.33</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$ 2.55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DDDDDD"/>
          </w:tcPr>
          <w:p>
            <w:pPr>
              <w:ind w:left="780"/>
              <w:spacing w:after="0"/>
              <w:rPr>
                <w:sz w:val="20"/>
                <w:szCs w:val="20"/>
                <w:color w:val="auto"/>
              </w:rPr>
            </w:pPr>
            <w:r>
              <w:rPr>
                <w:rFonts w:ascii="Arial" w:cs="Arial" w:eastAsia="Arial" w:hAnsi="Arial"/>
                <w:sz w:val="16"/>
                <w:szCs w:val="16"/>
                <w:color w:val="auto"/>
              </w:rPr>
              <w:t>Diluted</w:t>
            </w:r>
          </w:p>
        </w:tc>
        <w:tc>
          <w:tcPr>
            <w:tcW w:w="2340" w:type="dxa"/>
            <w:vAlign w:val="bottom"/>
            <w:shd w:val="clear" w:color="auto" w:fill="DDDDDD"/>
          </w:tcPr>
          <w:p>
            <w:pPr>
              <w:jc w:val="right"/>
              <w:ind w:right="38"/>
              <w:spacing w:after="0"/>
              <w:rPr>
                <w:sz w:val="20"/>
                <w:szCs w:val="20"/>
                <w:color w:val="auto"/>
              </w:rPr>
            </w:pPr>
            <w:r>
              <w:rPr>
                <w:rFonts w:ascii="Arial" w:cs="Arial" w:eastAsia="Arial" w:hAnsi="Arial"/>
                <w:sz w:val="16"/>
                <w:szCs w:val="16"/>
                <w:color w:val="auto"/>
              </w:rPr>
              <w:t>$ (1.05)</w:t>
            </w:r>
          </w:p>
        </w:tc>
        <w:tc>
          <w:tcPr>
            <w:tcW w:w="1200" w:type="dxa"/>
            <w:vAlign w:val="bottom"/>
            <w:shd w:val="clear" w:color="auto" w:fill="DDDDDD"/>
          </w:tcPr>
          <w:p>
            <w:pPr>
              <w:jc w:val="right"/>
              <w:ind w:right="58"/>
              <w:spacing w:after="0"/>
              <w:rPr>
                <w:sz w:val="20"/>
                <w:szCs w:val="20"/>
                <w:color w:val="auto"/>
              </w:rPr>
            </w:pPr>
            <w:r>
              <w:rPr>
                <w:rFonts w:ascii="Arial" w:cs="Arial" w:eastAsia="Arial" w:hAnsi="Arial"/>
                <w:sz w:val="16"/>
                <w:szCs w:val="16"/>
                <w:color w:val="auto"/>
              </w:rPr>
              <w:t>$ 1.69</w:t>
            </w:r>
          </w:p>
        </w:tc>
        <w:tc>
          <w:tcPr>
            <w:tcW w:w="1320" w:type="dxa"/>
            <w:vAlign w:val="bottom"/>
            <w:shd w:val="clear" w:color="auto" w:fill="DDDDDD"/>
          </w:tcPr>
          <w:p>
            <w:pPr>
              <w:jc w:val="right"/>
              <w:ind w:right="198"/>
              <w:spacing w:after="0"/>
              <w:rPr>
                <w:sz w:val="20"/>
                <w:szCs w:val="20"/>
                <w:color w:val="auto"/>
              </w:rPr>
            </w:pPr>
            <w:r>
              <w:rPr>
                <w:rFonts w:ascii="Arial" w:cs="Arial" w:eastAsia="Arial" w:hAnsi="Arial"/>
                <w:sz w:val="16"/>
                <w:szCs w:val="16"/>
                <w:color w:val="auto"/>
              </w:rPr>
              <w:t>$ 0.31</w:t>
            </w:r>
          </w:p>
        </w:tc>
        <w:tc>
          <w:tcPr>
            <w:tcW w:w="1480" w:type="dxa"/>
            <w:vAlign w:val="bottom"/>
            <w:shd w:val="clear" w:color="auto" w:fill="DDDDDD"/>
          </w:tcPr>
          <w:p>
            <w:pPr>
              <w:jc w:val="right"/>
              <w:ind w:right="98"/>
              <w:spacing w:after="0"/>
              <w:rPr>
                <w:sz w:val="20"/>
                <w:szCs w:val="20"/>
                <w:color w:val="auto"/>
              </w:rPr>
            </w:pPr>
            <w:r>
              <w:rPr>
                <w:rFonts w:ascii="Arial" w:cs="Arial" w:eastAsia="Arial" w:hAnsi="Arial"/>
                <w:sz w:val="16"/>
                <w:szCs w:val="16"/>
                <w:color w:val="auto"/>
              </w:rPr>
              <w:t>$ 1.28</w:t>
            </w:r>
          </w:p>
        </w:tc>
        <w:tc>
          <w:tcPr>
            <w:tcW w:w="100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$ 2.38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40"/>
          </w:cols>
          <w:pgMar w:left="240" w:top="131" w:right="219" w:bottom="0" w:gutter="0" w:footer="0" w:header="0"/>
        </w:sectPr>
      </w:pPr>
    </w:p>
    <w:bookmarkStart w:id="37" w:name="page38"/>
    <w:bookmarkEnd w:id="37"/>
    <w:p>
      <w:pPr>
        <w:spacing w:after="0"/>
        <w:rPr>
          <w:sz w:val="20"/>
          <w:szCs w:val="20"/>
          <w:color w:val="auto"/>
        </w:rPr>
      </w:pPr>
      <w:r>
        <w:rPr>
          <w:rFonts w:ascii="Arial" w:cs="Arial" w:eastAsia="Arial" w:hAnsi="Arial"/>
          <w:sz w:val="12"/>
          <w:szCs w:val="12"/>
          <w:color w:val="auto"/>
        </w:rPr>
        <w:t>(1) The fourth quarter of fiscal 2003 includes a pre-tax Special severance charge of $10.9, or $0.18 per diluted share, relating to a reduction in work force.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 Changes in and Disagreements with Accountants on Accounting and Financial Disclosure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 Controls and Procedures</w:t>
      </w:r>
    </w:p>
    <w:p>
      <w:pPr>
        <w:spacing w:after="0" w:line="3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Chief Executive Officer and Chief Financial Officer of Scholastic Corporation (the “Corporation”), after conducting an evaluation, together with other members of the Company’s management, of the effectiveness of the design and operation of the Corporation’s disclosure controls and procedures as of the end of the period covered by this report,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There were no significant changes in the Corporation’s internal controls or in other factors that could significantly affect these controls subsequent to that evaluation, and there were no significant deficiencies or material weaknesses in such controls requiring corrective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371475</wp:posOffset>
            </wp:positionV>
            <wp:extent cx="7263765"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0"/>
        <w:spacing w:after="0"/>
        <w:rPr>
          <w:sz w:val="20"/>
          <w:szCs w:val="20"/>
          <w:color w:val="auto"/>
        </w:rPr>
      </w:pPr>
      <w:r>
        <w:rPr>
          <w:rFonts w:ascii="Arial" w:cs="Arial" w:eastAsia="Arial" w:hAnsi="Arial"/>
          <w:sz w:val="39"/>
          <w:szCs w:val="39"/>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63765"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 Directors and Executive Officers of the Registrant</w:t>
      </w:r>
    </w:p>
    <w:p>
      <w:pPr>
        <w:spacing w:after="0" w:line="3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Information regarding directors required by this item is incorporated herein by reference from the Corporation’s definitive proxy statement to be filed with the SEC pursuant to Regulation 14A under the Exchange Act.</w:t>
      </w:r>
    </w:p>
    <w:p>
      <w:pPr>
        <w:spacing w:after="0"/>
        <w:rPr>
          <w:sz w:val="20"/>
          <w:szCs w:val="20"/>
          <w:color w:val="auto"/>
        </w:rPr>
      </w:pPr>
      <w:r>
        <w:rPr>
          <w:rFonts w:ascii="Arial" w:cs="Arial" w:eastAsia="Arial" w:hAnsi="Arial"/>
          <w:sz w:val="16"/>
          <w:szCs w:val="16"/>
          <w:color w:val="auto"/>
        </w:rPr>
        <w:t>Certain information regarding the Corporation’s Executive Officers is set forth in Part I - Item 1 - Business.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 Executive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 from the Corporation’s definitive proxy statement to be filed pursuant to Regulation 14A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 Security Ownership of Certain Beneficial Owners and Management and Related Stockholder Matters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 from the Corporation’s definitive proxy statement to be filed pursuant to Regulation 14A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 Certain Relationships and Related Transactions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 from the Corporation’s definitive proxy statement to be filed pursuant to Regulation 14A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 Principal Accountant Fees and Services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 from the Corporation’s definitive proxy statement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26376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980440</wp:posOffset>
            </wp:positionV>
            <wp:extent cx="7263765"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3765" cy="20320"/>
                    </a:xfrm>
                    <a:prstGeom prst="rect">
                      <a:avLst/>
                    </a:prstGeom>
                    <a:noFill/>
                  </pic:spPr>
                </pic:pic>
              </a:graphicData>
            </a:graphic>
          </wp:anchor>
        </w:drawing>
        <w:drawing>
          <wp:anchor simplePos="0" relativeHeight="251657728" behindDoc="1" locked="0" layoutInCell="0" allowOverlap="1">
            <wp:simplePos x="0" y="0"/>
            <wp:positionH relativeFrom="column">
              <wp:posOffset>1671320</wp:posOffset>
            </wp:positionH>
            <wp:positionV relativeFrom="paragraph">
              <wp:posOffset>560705</wp:posOffset>
            </wp:positionV>
            <wp:extent cx="3891280" cy="3282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39"/>
          <w:szCs w:val="39"/>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63765"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 Exhibits, Financial Statement Schedules and Reports on Form 8-K</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(a)(1)</w:t>
      </w:r>
      <w:r>
        <w:rPr>
          <w:sz w:val="20"/>
          <w:szCs w:val="20"/>
          <w:color w:val="auto"/>
        </w:rPr>
        <w:tab/>
      </w:r>
      <w:r>
        <w:rPr>
          <w:rFonts w:ascii="Arial" w:cs="Arial" w:eastAsia="Arial" w:hAnsi="Arial"/>
          <w:sz w:val="16"/>
          <w:szCs w:val="16"/>
          <w:i w:val="1"/>
          <w:iCs w:val="1"/>
          <w:color w:val="auto"/>
        </w:rPr>
        <w:t>Financial Statements: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consolidated financial statements are included in Item 8:</w:t>
      </w:r>
    </w:p>
    <w:p>
      <w:pPr>
        <w:spacing w:after="0" w:line="38" w:lineRule="exact"/>
        <w:rPr>
          <w:sz w:val="20"/>
          <w:szCs w:val="20"/>
          <w:color w:val="auto"/>
        </w:rPr>
      </w:pPr>
    </w:p>
    <w:p>
      <w:pPr>
        <w:ind w:left="660" w:right="4900"/>
        <w:spacing w:after="0" w:line="288" w:lineRule="auto"/>
        <w:rPr>
          <w:sz w:val="20"/>
          <w:szCs w:val="20"/>
          <w:color w:val="auto"/>
        </w:rPr>
      </w:pPr>
      <w:r>
        <w:rPr>
          <w:rFonts w:ascii="Arial" w:cs="Arial" w:eastAsia="Arial" w:hAnsi="Arial"/>
          <w:sz w:val="16"/>
          <w:szCs w:val="16"/>
          <w:color w:val="auto"/>
        </w:rPr>
        <w:t>Consolidated Statements of Income for the three years ended May 31, 2003, 2002 and 2001 Consolidated Balance Sheets at May 31, 2003 and 2002</w:t>
      </w:r>
    </w:p>
    <w:p>
      <w:pPr>
        <w:spacing w:after="0" w:line="1" w:lineRule="exact"/>
        <w:rPr>
          <w:sz w:val="20"/>
          <w:szCs w:val="20"/>
          <w:color w:val="auto"/>
        </w:rPr>
      </w:pPr>
    </w:p>
    <w:p>
      <w:pPr>
        <w:ind w:left="660" w:right="1420"/>
        <w:spacing w:after="0" w:line="302" w:lineRule="auto"/>
        <w:rPr>
          <w:sz w:val="20"/>
          <w:szCs w:val="20"/>
          <w:color w:val="auto"/>
        </w:rPr>
      </w:pPr>
      <w:r>
        <w:rPr>
          <w:rFonts w:ascii="Arial" w:cs="Arial" w:eastAsia="Arial" w:hAnsi="Arial"/>
          <w:sz w:val="16"/>
          <w:szCs w:val="16"/>
          <w:color w:val="auto"/>
        </w:rPr>
        <w:t>Consolidated Statements of Changes in Stockholders’ Equity and Comprehensive Income for the three years ended May 31, 2003, 2002 and 2001 Consolidated Statements of Cash Flows for the three years ended May 31, 2003, 2002 and 2001 Notes to Consolidated Financial Statements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(a)(2)</w:t>
      </w:r>
      <w:r>
        <w:rPr>
          <w:sz w:val="20"/>
          <w:szCs w:val="20"/>
          <w:color w:val="auto"/>
        </w:rPr>
        <w:tab/>
      </w:r>
      <w:r>
        <w:rPr>
          <w:rFonts w:ascii="Arial" w:cs="Arial" w:eastAsia="Arial" w:hAnsi="Arial"/>
          <w:sz w:val="16"/>
          <w:szCs w:val="16"/>
          <w:i w:val="1"/>
          <w:iCs w:val="1"/>
          <w:color w:val="auto"/>
        </w:rPr>
        <w:t>Financial Statement Schedule: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consolidated financial statement schedule is included in Item 15(d): Schedule II- Valuation and Qualifying Accounts and Reserves</w:t>
      </w:r>
    </w:p>
    <w:p>
      <w:pPr>
        <w:spacing w:after="0" w:line="38" w:lineRule="exact"/>
        <w:rPr>
          <w:sz w:val="20"/>
          <w:szCs w:val="20"/>
          <w:color w:val="auto"/>
        </w:rPr>
      </w:pPr>
    </w:p>
    <w:p>
      <w:pPr>
        <w:ind w:left="660" w:right="360"/>
        <w:spacing w:after="0" w:line="283" w:lineRule="auto"/>
        <w:rPr>
          <w:sz w:val="20"/>
          <w:szCs w:val="20"/>
          <w:color w:val="auto"/>
        </w:rPr>
      </w:pPr>
      <w:r>
        <w:rPr>
          <w:rFonts w:ascii="Arial" w:cs="Arial" w:eastAsia="Arial" w:hAnsi="Arial"/>
          <w:sz w:val="16"/>
          <w:szCs w:val="16"/>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(a)(3)</w:t>
      </w:r>
      <w:r>
        <w:rPr>
          <w:sz w:val="20"/>
          <w:szCs w:val="20"/>
          <w:color w:val="auto"/>
        </w:rPr>
        <w:tab/>
      </w:r>
      <w:r>
        <w:rPr>
          <w:rFonts w:ascii="Arial" w:cs="Arial" w:eastAsia="Arial" w:hAnsi="Arial"/>
          <w:sz w:val="16"/>
          <w:szCs w:val="16"/>
          <w:i w:val="1"/>
          <w:iCs w:val="1"/>
          <w:color w:val="auto"/>
        </w:rPr>
        <w:t>Exhibits:</w:t>
      </w:r>
    </w:p>
    <w:p>
      <w:pPr>
        <w:sectPr>
          <w:pgSz w:w="11900" w:h="16838" w:orient="portrait"/>
          <w:cols w:equalWidth="0" w:num="1">
            <w:col w:w="11420"/>
          </w:cols>
          <w:pgMar w:left="240" w:top="352" w:right="239" w:bottom="0" w:gutter="0" w:footer="0" w:header="0"/>
        </w:sectPr>
      </w:pPr>
    </w:p>
    <w:bookmarkStart w:id="38" w:name="page39"/>
    <w:bookmarkEnd w:id="38"/>
    <w:p>
      <w:pPr>
        <w:spacing w:after="0" w:line="42" w:lineRule="exact"/>
        <w:rPr>
          <w:sz w:val="20"/>
          <w:szCs w:val="20"/>
          <w:color w:val="auto"/>
        </w:rPr>
      </w:pPr>
    </w:p>
    <w:p>
      <w:pPr>
        <w:ind w:left="660" w:right="300" w:hanging="663"/>
        <w:spacing w:after="0" w:line="265" w:lineRule="auto"/>
        <w:tabs>
          <w:tab w:leader="none" w:pos="6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Amended and Restated Certificate of Incorporation of the Corporation (incorporated by reference to the Corporation’s Registration Statement on Form S-8 (Registration No. 33-46338) as filed with the SEC on March 12, 1992); together with Certificate of Amendment, effective as of September 19, 2000, to the Corporation’s Amended and Restated Certificate of incorporation (incorporated by reference to the Corporation’s Quarterly Report filed with the SEC in October 16, 2000).</w:t>
      </w:r>
    </w:p>
    <w:p>
      <w:pPr>
        <w:spacing w:after="0" w:line="196" w:lineRule="exact"/>
        <w:rPr>
          <w:sz w:val="20"/>
          <w:szCs w:val="20"/>
          <w:color w:val="auto"/>
        </w:rPr>
      </w:pPr>
    </w:p>
    <w:p>
      <w:pPr>
        <w:ind w:left="660" w:right="320" w:hanging="663"/>
        <w:spacing w:after="0" w:line="283" w:lineRule="auto"/>
        <w:tabs>
          <w:tab w:leader="none" w:pos="6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Bylaws of the Corporation, amended and restated as of March 16, 2000 (incorporated by reference to the Corporation’s Quarterly Report on Form 10-Q as filed with the SEC on April 14, 2000).</w:t>
      </w:r>
    </w:p>
    <w:p>
      <w:pPr>
        <w:spacing w:after="0" w:line="181" w:lineRule="exact"/>
        <w:rPr>
          <w:sz w:val="20"/>
          <w:szCs w:val="20"/>
          <w:color w:val="auto"/>
        </w:rPr>
      </w:pPr>
    </w:p>
    <w:p>
      <w:pPr>
        <w:ind w:left="660" w:right="240" w:hanging="663"/>
        <w:spacing w:after="0" w:line="315" w:lineRule="auto"/>
        <w:tabs>
          <w:tab w:leader="none" w:pos="6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Amended and Restated Credit Agreement, dated as of August 11, 1999, among the Corporation and Scholastic Inc., as borrowers, the Initial lenders named therein, Citibank, N.A., as administrative agent, Salomon Smith Barney Inc., as arranger, and Chase Manhattan Bank, N.A., and Fleet Bank, N.A., as syndication agents (incorporated by reference to the Corporation’s Annual Report on Form 10-K as filed with the SEC on August 23, 2000), together with Amendment No. 1, dated as of June 22, 2000 (incorporated by reference to the Corporation’s Annual Report on Form 10-K as filed with the SEC on August 25, 2000).</w:t>
      </w:r>
    </w:p>
    <w:p>
      <w:pPr>
        <w:spacing w:after="0" w:line="164" w:lineRule="exact"/>
        <w:rPr>
          <w:sz w:val="20"/>
          <w:szCs w:val="20"/>
          <w:color w:val="auto"/>
        </w:rPr>
      </w:pPr>
    </w:p>
    <w:p>
      <w:pPr>
        <w:ind w:left="660" w:right="260" w:hanging="663"/>
        <w:spacing w:after="0" w:line="283" w:lineRule="auto"/>
        <w:tabs>
          <w:tab w:leader="none" w:pos="6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Amended and Restated Revolving Loan Agreement, dated November 10, 1999, among the Corporation, Scholastic Inc. and Sun Bank, National Association, together with Amendment No. 1, dated June 22, 2000.</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Credit Agreement Facility, dated November 2, 1999, between Scholastic Canada Ltd. and Canadian Imperial Bank of Commerce.</w:t>
      </w: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color w:val="auto"/>
        </w:rPr>
        <w:t>Credit Agreement Facility, dated June 24, 1993, between Scholastic Ltd. and Citibank, N.A.</w:t>
      </w: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color w:val="auto"/>
        </w:rPr>
        <w:t>Credit Agreement, dated May 14, 1992, as amended between Scholastic Ltd. and Midland Bank.</w:t>
      </w: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36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295275</wp:posOffset>
            </wp:positionV>
            <wp:extent cx="3891280" cy="3282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4.6*</w:t>
            </w:r>
          </w:p>
        </w:tc>
        <w:tc>
          <w:tcPr>
            <w:tcW w:w="10880" w:type="dxa"/>
            <w:vAlign w:val="bottom"/>
          </w:tcPr>
          <w:p>
            <w:pPr>
              <w:ind w:left="100"/>
              <w:spacing w:after="0"/>
              <w:rPr>
                <w:sz w:val="20"/>
                <w:szCs w:val="20"/>
                <w:color w:val="auto"/>
              </w:rPr>
            </w:pPr>
            <w:r>
              <w:rPr>
                <w:rFonts w:ascii="Arial" w:cs="Arial" w:eastAsia="Arial" w:hAnsi="Arial"/>
                <w:sz w:val="16"/>
                <w:szCs w:val="16"/>
                <w:color w:val="auto"/>
              </w:rPr>
              <w:t>Credit Agreement, dated December 21, 2001, between Scholastic Australia Pty. Ltd. and Westpac Banking Corporation.</w:t>
            </w:r>
          </w:p>
        </w:tc>
      </w:tr>
      <w:tr>
        <w:trPr>
          <w:trHeight w:val="443"/>
        </w:trPr>
        <w:tc>
          <w:tcPr>
            <w:tcW w:w="560" w:type="dxa"/>
            <w:vAlign w:val="bottom"/>
          </w:tcPr>
          <w:p>
            <w:pPr>
              <w:spacing w:after="0"/>
              <w:rPr>
                <w:sz w:val="20"/>
                <w:szCs w:val="20"/>
                <w:color w:val="auto"/>
              </w:rPr>
            </w:pPr>
            <w:r>
              <w:rPr>
                <w:rFonts w:ascii="Arial" w:cs="Arial" w:eastAsia="Arial" w:hAnsi="Arial"/>
                <w:sz w:val="16"/>
                <w:szCs w:val="16"/>
                <w:color w:val="auto"/>
              </w:rPr>
              <w:t>4.7*</w:t>
            </w:r>
          </w:p>
        </w:tc>
        <w:tc>
          <w:tcPr>
            <w:tcW w:w="10880" w:type="dxa"/>
            <w:vAlign w:val="bottom"/>
          </w:tcPr>
          <w:p>
            <w:pPr>
              <w:ind w:left="100"/>
              <w:spacing w:after="0"/>
              <w:rPr>
                <w:sz w:val="20"/>
                <w:szCs w:val="20"/>
                <w:color w:val="auto"/>
              </w:rPr>
            </w:pPr>
            <w:r>
              <w:rPr>
                <w:rFonts w:ascii="Arial" w:cs="Arial" w:eastAsia="Arial" w:hAnsi="Arial"/>
                <w:sz w:val="16"/>
                <w:szCs w:val="16"/>
                <w:color w:val="auto"/>
              </w:rPr>
              <w:t>Indenture dated December 15, 1996 for 7% Notes due December 15, 2003 issued by the Corporation.</w:t>
            </w:r>
          </w:p>
        </w:tc>
      </w:tr>
      <w:tr>
        <w:trPr>
          <w:trHeight w:val="435"/>
        </w:trPr>
        <w:tc>
          <w:tcPr>
            <w:tcW w:w="560" w:type="dxa"/>
            <w:vAlign w:val="bottom"/>
          </w:tcPr>
          <w:p>
            <w:pPr>
              <w:spacing w:after="0"/>
              <w:rPr>
                <w:sz w:val="20"/>
                <w:szCs w:val="20"/>
                <w:color w:val="auto"/>
              </w:rPr>
            </w:pPr>
            <w:r>
              <w:rPr>
                <w:rFonts w:ascii="Arial" w:cs="Arial" w:eastAsia="Arial" w:hAnsi="Arial"/>
                <w:sz w:val="16"/>
                <w:szCs w:val="16"/>
                <w:color w:val="auto"/>
              </w:rPr>
              <w:t>4.8</w:t>
            </w:r>
          </w:p>
        </w:tc>
        <w:tc>
          <w:tcPr>
            <w:tcW w:w="10880" w:type="dxa"/>
            <w:vAlign w:val="bottom"/>
          </w:tcPr>
          <w:p>
            <w:pPr>
              <w:ind w:left="100"/>
              <w:spacing w:after="0"/>
              <w:rPr>
                <w:sz w:val="20"/>
                <w:szCs w:val="20"/>
                <w:color w:val="auto"/>
              </w:rPr>
            </w:pPr>
            <w:r>
              <w:rPr>
                <w:rFonts w:ascii="Arial" w:cs="Arial" w:eastAsia="Arial" w:hAnsi="Arial"/>
                <w:sz w:val="16"/>
                <w:szCs w:val="16"/>
                <w:color w:val="auto"/>
                <w:w w:val="95"/>
              </w:rPr>
              <w:t>Indenture dated January 23, 2002 for 5.75% Notes due January 15, 2007 issued by the Corporation (incorporated by reference to the Corporation’s Registration</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Statement on Form S-3 (Registration No. 333-55238) as filed with the SEC on February 8, 2001).</w:t>
            </w:r>
          </w:p>
        </w:tc>
      </w:tr>
      <w:tr>
        <w:trPr>
          <w:trHeight w:val="418"/>
        </w:trPr>
        <w:tc>
          <w:tcPr>
            <w:tcW w:w="560" w:type="dxa"/>
            <w:vAlign w:val="bottom"/>
          </w:tcPr>
          <w:p>
            <w:pPr>
              <w:spacing w:after="0"/>
              <w:rPr>
                <w:sz w:val="20"/>
                <w:szCs w:val="20"/>
                <w:color w:val="auto"/>
              </w:rPr>
            </w:pPr>
            <w:r>
              <w:rPr>
                <w:rFonts w:ascii="Arial" w:cs="Arial" w:eastAsia="Arial" w:hAnsi="Arial"/>
                <w:sz w:val="16"/>
                <w:szCs w:val="16"/>
                <w:color w:val="auto"/>
              </w:rPr>
              <w:t>4.9*</w:t>
            </w:r>
          </w:p>
        </w:tc>
        <w:tc>
          <w:tcPr>
            <w:tcW w:w="10880" w:type="dxa"/>
            <w:vAlign w:val="bottom"/>
          </w:tcPr>
          <w:p>
            <w:pPr>
              <w:ind w:left="100"/>
              <w:spacing w:after="0"/>
              <w:rPr>
                <w:sz w:val="20"/>
                <w:szCs w:val="20"/>
                <w:color w:val="auto"/>
              </w:rPr>
            </w:pPr>
            <w:r>
              <w:rPr>
                <w:rFonts w:ascii="Arial" w:cs="Arial" w:eastAsia="Arial" w:hAnsi="Arial"/>
                <w:sz w:val="16"/>
                <w:szCs w:val="16"/>
                <w:color w:val="auto"/>
              </w:rPr>
              <w:t>Indenture dated April 4, 2003 for 5% Notes due 2013 issued by the Corporation.</w:t>
            </w:r>
          </w:p>
        </w:tc>
      </w:tr>
      <w:tr>
        <w:trPr>
          <w:trHeight w:val="435"/>
        </w:trPr>
        <w:tc>
          <w:tcPr>
            <w:tcW w:w="560" w:type="dxa"/>
            <w:vAlign w:val="bottom"/>
          </w:tcPr>
          <w:p>
            <w:pPr>
              <w:spacing w:after="0"/>
              <w:rPr>
                <w:sz w:val="20"/>
                <w:szCs w:val="20"/>
                <w:color w:val="auto"/>
              </w:rPr>
            </w:pPr>
            <w:r>
              <w:rPr>
                <w:rFonts w:ascii="Arial" w:cs="Arial" w:eastAsia="Arial" w:hAnsi="Arial"/>
                <w:sz w:val="16"/>
                <w:szCs w:val="16"/>
                <w:color w:val="auto"/>
              </w:rPr>
              <w:t>10.1**</w:t>
            </w:r>
          </w:p>
        </w:tc>
        <w:tc>
          <w:tcPr>
            <w:tcW w:w="10880" w:type="dxa"/>
            <w:vAlign w:val="bottom"/>
          </w:tcPr>
          <w:p>
            <w:pPr>
              <w:ind w:left="100"/>
              <w:spacing w:after="0"/>
              <w:rPr>
                <w:sz w:val="20"/>
                <w:szCs w:val="20"/>
                <w:color w:val="auto"/>
              </w:rPr>
            </w:pPr>
            <w:r>
              <w:rPr>
                <w:rFonts w:ascii="Arial" w:cs="Arial" w:eastAsia="Arial" w:hAnsi="Arial"/>
                <w:sz w:val="16"/>
                <w:szCs w:val="16"/>
                <w:color w:val="auto"/>
                <w:w w:val="94"/>
              </w:rPr>
              <w:t>Scholastic Corporation 1992 Stock Option Plan (incorporated by reference to the Corporation’s Annual Report on Form 10-K as filed with the SEC on August 27,</w:t>
            </w:r>
          </w:p>
        </w:tc>
      </w:tr>
      <w:tr>
        <w:trPr>
          <w:trHeight w:val="197"/>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w w:val="99"/>
              </w:rPr>
              <w:t>1992, SEC File Number 000-19860), together with Amendment No. 1 to the Scholastic Corporation 1992 Stock Option Plan, effective as of July 18, 2001</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(incorporated by reference to the Corporation’s Annual Report on Form 10-K as filed with the SEC on August 24, 2001).</w:t>
            </w:r>
          </w:p>
        </w:tc>
      </w:tr>
      <w:tr>
        <w:trPr>
          <w:trHeight w:val="411"/>
        </w:trPr>
        <w:tc>
          <w:tcPr>
            <w:tcW w:w="560" w:type="dxa"/>
            <w:vAlign w:val="bottom"/>
          </w:tcPr>
          <w:p>
            <w:pPr>
              <w:spacing w:after="0"/>
              <w:rPr>
                <w:sz w:val="20"/>
                <w:szCs w:val="20"/>
                <w:color w:val="auto"/>
              </w:rPr>
            </w:pPr>
            <w:r>
              <w:rPr>
                <w:rFonts w:ascii="Arial" w:cs="Arial" w:eastAsia="Arial" w:hAnsi="Arial"/>
                <w:sz w:val="16"/>
                <w:szCs w:val="16"/>
                <w:color w:val="auto"/>
              </w:rPr>
              <w:t>10.2**</w:t>
            </w:r>
          </w:p>
        </w:tc>
        <w:tc>
          <w:tcPr>
            <w:tcW w:w="10880" w:type="dxa"/>
            <w:vAlign w:val="bottom"/>
          </w:tcPr>
          <w:p>
            <w:pPr>
              <w:ind w:left="100"/>
              <w:spacing w:after="0"/>
              <w:rPr>
                <w:sz w:val="20"/>
                <w:szCs w:val="20"/>
                <w:color w:val="auto"/>
              </w:rPr>
            </w:pPr>
            <w:r>
              <w:rPr>
                <w:rFonts w:ascii="Arial" w:cs="Arial" w:eastAsia="Arial" w:hAnsi="Arial"/>
                <w:sz w:val="16"/>
                <w:szCs w:val="16"/>
                <w:color w:val="auto"/>
                <w:w w:val="92"/>
              </w:rPr>
              <w:t>Scholastic Corporation 1995 Stock Option Plan, effective as of September 21, 1995 (incorporated by reference to the Corporation’s Registration Statement on Form</w:t>
            </w:r>
          </w:p>
        </w:tc>
      </w:tr>
      <w:tr>
        <w:trPr>
          <w:trHeight w:val="197"/>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w w:val="93"/>
              </w:rPr>
              <w:t>S-8 (Registration No. 33-98186) as filed with the SEC on October 16, 1995), together with Amendment No. 1 to the Scholastic Corporation 1995 Stock Option Plan,</w:t>
            </w:r>
          </w:p>
        </w:tc>
      </w:tr>
      <w:tr>
        <w:trPr>
          <w:trHeight w:val="197"/>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w w:val="96"/>
              </w:rPr>
              <w:t>effective September 16, 1998 (incorporated by reference to the Corporation’s Quarterly Report on Form 10-Q as filed with the SEC on October 15, 1998) and</w:t>
            </w:r>
          </w:p>
        </w:tc>
      </w:tr>
      <w:tr>
        <w:trPr>
          <w:trHeight w:val="197"/>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w w:val="92"/>
              </w:rPr>
              <w:t>Amendment No. 2 to the Scholastic Corporation 1995 Stock Option Plan, effective as of July 18, 2001 (incorporated by reference to the Corporation’s Annual Report</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on Form 10-K as filed with the SEC on August 24, 2001).</w:t>
            </w:r>
          </w:p>
        </w:tc>
      </w:tr>
      <w:tr>
        <w:trPr>
          <w:trHeight w:val="411"/>
        </w:trPr>
        <w:tc>
          <w:tcPr>
            <w:tcW w:w="560" w:type="dxa"/>
            <w:vAlign w:val="bottom"/>
          </w:tcPr>
          <w:p>
            <w:pPr>
              <w:spacing w:after="0"/>
              <w:rPr>
                <w:sz w:val="20"/>
                <w:szCs w:val="20"/>
                <w:color w:val="auto"/>
              </w:rPr>
            </w:pPr>
            <w:r>
              <w:rPr>
                <w:rFonts w:ascii="Arial" w:cs="Arial" w:eastAsia="Arial" w:hAnsi="Arial"/>
                <w:sz w:val="16"/>
                <w:szCs w:val="16"/>
                <w:color w:val="auto"/>
              </w:rPr>
              <w:t>10.3**</w:t>
            </w:r>
          </w:p>
        </w:tc>
        <w:tc>
          <w:tcPr>
            <w:tcW w:w="10880" w:type="dxa"/>
            <w:vAlign w:val="bottom"/>
          </w:tcPr>
          <w:p>
            <w:pPr>
              <w:ind w:left="100"/>
              <w:spacing w:after="0"/>
              <w:rPr>
                <w:sz w:val="20"/>
                <w:szCs w:val="20"/>
                <w:color w:val="auto"/>
              </w:rPr>
            </w:pPr>
            <w:r>
              <w:rPr>
                <w:rFonts w:ascii="Arial" w:cs="Arial" w:eastAsia="Arial" w:hAnsi="Arial"/>
                <w:sz w:val="16"/>
                <w:szCs w:val="16"/>
                <w:color w:val="auto"/>
                <w:w w:val="95"/>
              </w:rPr>
              <w:t>Scholastic Corporation 1992 Outside Directors’ Stock Option Plan (incorporated by reference to the Corporation’s Annual Report on Form 10-K as filed with the</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SEC on August 27, 1992, SEC File Number 000-19860).</w:t>
            </w:r>
          </w:p>
        </w:tc>
      </w:tr>
      <w:tr>
        <w:trPr>
          <w:trHeight w:val="411"/>
        </w:trPr>
        <w:tc>
          <w:tcPr>
            <w:tcW w:w="560" w:type="dxa"/>
            <w:vAlign w:val="bottom"/>
          </w:tcPr>
          <w:p>
            <w:pPr>
              <w:spacing w:after="0"/>
              <w:rPr>
                <w:sz w:val="20"/>
                <w:szCs w:val="20"/>
                <w:color w:val="auto"/>
              </w:rPr>
            </w:pPr>
            <w:r>
              <w:rPr>
                <w:rFonts w:ascii="Arial" w:cs="Arial" w:eastAsia="Arial" w:hAnsi="Arial"/>
                <w:sz w:val="16"/>
                <w:szCs w:val="16"/>
                <w:color w:val="auto"/>
              </w:rPr>
              <w:t>10.4**</w:t>
            </w:r>
          </w:p>
        </w:tc>
        <w:tc>
          <w:tcPr>
            <w:tcW w:w="10880" w:type="dxa"/>
            <w:vAlign w:val="bottom"/>
          </w:tcPr>
          <w:p>
            <w:pPr>
              <w:ind w:left="100"/>
              <w:spacing w:after="0"/>
              <w:rPr>
                <w:sz w:val="20"/>
                <w:szCs w:val="20"/>
                <w:color w:val="auto"/>
              </w:rPr>
            </w:pPr>
            <w:r>
              <w:rPr>
                <w:rFonts w:ascii="Arial" w:cs="Arial" w:eastAsia="Arial" w:hAnsi="Arial"/>
                <w:sz w:val="16"/>
                <w:szCs w:val="16"/>
                <w:color w:val="auto"/>
                <w:w w:val="92"/>
              </w:rPr>
              <w:t>Scholastic Corporation Management Stock Purchase Plan, amended and restated effective as of December 18, 2002 (incorporated by reference to the Corporation’s</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Quarterly Report on Form 10-Q as filed with the SEC on January 14, 2003).</w:t>
            </w:r>
          </w:p>
        </w:tc>
      </w:tr>
      <w:tr>
        <w:trPr>
          <w:trHeight w:val="411"/>
        </w:trPr>
        <w:tc>
          <w:tcPr>
            <w:tcW w:w="560" w:type="dxa"/>
            <w:vAlign w:val="bottom"/>
          </w:tcPr>
          <w:p>
            <w:pPr>
              <w:spacing w:after="0"/>
              <w:rPr>
                <w:sz w:val="20"/>
                <w:szCs w:val="20"/>
                <w:color w:val="auto"/>
              </w:rPr>
            </w:pPr>
            <w:r>
              <w:rPr>
                <w:rFonts w:ascii="Arial" w:cs="Arial" w:eastAsia="Arial" w:hAnsi="Arial"/>
                <w:sz w:val="16"/>
                <w:szCs w:val="16"/>
                <w:color w:val="auto"/>
              </w:rPr>
              <w:t>10.5**</w:t>
            </w:r>
          </w:p>
        </w:tc>
        <w:tc>
          <w:tcPr>
            <w:tcW w:w="10880" w:type="dxa"/>
            <w:vAlign w:val="bottom"/>
          </w:tcPr>
          <w:p>
            <w:pPr>
              <w:ind w:left="100"/>
              <w:spacing w:after="0"/>
              <w:rPr>
                <w:sz w:val="20"/>
                <w:szCs w:val="20"/>
                <w:color w:val="auto"/>
              </w:rPr>
            </w:pPr>
            <w:r>
              <w:rPr>
                <w:rFonts w:ascii="Arial" w:cs="Arial" w:eastAsia="Arial" w:hAnsi="Arial"/>
                <w:sz w:val="16"/>
                <w:szCs w:val="16"/>
                <w:color w:val="auto"/>
                <w:w w:val="93"/>
              </w:rPr>
              <w:t>Scholastic Corporation 1997 Outside Director Stock Option Plan, amended and restated as of May 25, 1999 (incorporated by reference to the Corporation’s Annual</w:t>
            </w:r>
          </w:p>
        </w:tc>
      </w:tr>
      <w:tr>
        <w:trPr>
          <w:trHeight w:val="197"/>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w w:val="94"/>
              </w:rPr>
              <w:t>Report on Form 10-K as filed with the SEC on August 23, 1999), together with Amendment No. 1 dated September 20, 2001 to the 1997 Outside Directors’ Stock</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Option Plan (incorporated by reference to the Corporation’s Quarterly Report on Form 10-Q as filed with the SEC on January 14, 2002).</w:t>
            </w:r>
          </w:p>
        </w:tc>
      </w:tr>
      <w:tr>
        <w:trPr>
          <w:trHeight w:val="411"/>
        </w:trPr>
        <w:tc>
          <w:tcPr>
            <w:tcW w:w="560" w:type="dxa"/>
            <w:vAlign w:val="bottom"/>
          </w:tcPr>
          <w:p>
            <w:pPr>
              <w:spacing w:after="0"/>
              <w:rPr>
                <w:sz w:val="20"/>
                <w:szCs w:val="20"/>
                <w:color w:val="auto"/>
              </w:rPr>
            </w:pPr>
            <w:r>
              <w:rPr>
                <w:rFonts w:ascii="Arial" w:cs="Arial" w:eastAsia="Arial" w:hAnsi="Arial"/>
                <w:sz w:val="16"/>
                <w:szCs w:val="16"/>
                <w:color w:val="auto"/>
              </w:rPr>
              <w:t>10.6**</w:t>
            </w:r>
          </w:p>
        </w:tc>
        <w:tc>
          <w:tcPr>
            <w:tcW w:w="10880" w:type="dxa"/>
            <w:vAlign w:val="bottom"/>
          </w:tcPr>
          <w:p>
            <w:pPr>
              <w:ind w:left="100"/>
              <w:spacing w:after="0"/>
              <w:rPr>
                <w:sz w:val="20"/>
                <w:szCs w:val="20"/>
                <w:color w:val="auto"/>
              </w:rPr>
            </w:pPr>
            <w:r>
              <w:rPr>
                <w:rFonts w:ascii="Arial" w:cs="Arial" w:eastAsia="Arial" w:hAnsi="Arial"/>
                <w:sz w:val="16"/>
                <w:szCs w:val="16"/>
                <w:color w:val="auto"/>
                <w:w w:val="95"/>
              </w:rPr>
              <w:t>Scholastic Corporation 1995 Director’s Deferred Compensation Plan, amended and restated as of May 25, 1999 (incorporated by reference to the Corporation’s</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Annual Report on Form 10-K as filed with the SEC on August 23, 1999).</w:t>
            </w:r>
          </w:p>
        </w:tc>
      </w:tr>
      <w:tr>
        <w:trPr>
          <w:trHeight w:val="411"/>
        </w:trPr>
        <w:tc>
          <w:tcPr>
            <w:tcW w:w="560" w:type="dxa"/>
            <w:vAlign w:val="bottom"/>
          </w:tcPr>
          <w:p>
            <w:pPr>
              <w:spacing w:after="0"/>
              <w:rPr>
                <w:sz w:val="20"/>
                <w:szCs w:val="20"/>
                <w:color w:val="auto"/>
              </w:rPr>
            </w:pPr>
            <w:r>
              <w:rPr>
                <w:rFonts w:ascii="Arial" w:cs="Arial" w:eastAsia="Arial" w:hAnsi="Arial"/>
                <w:sz w:val="16"/>
                <w:szCs w:val="16"/>
                <w:color w:val="auto"/>
              </w:rPr>
              <w:t>10.7**</w:t>
            </w:r>
          </w:p>
        </w:tc>
        <w:tc>
          <w:tcPr>
            <w:tcW w:w="10880" w:type="dxa"/>
            <w:vAlign w:val="bottom"/>
          </w:tcPr>
          <w:p>
            <w:pPr>
              <w:ind w:left="100"/>
              <w:spacing w:after="0"/>
              <w:rPr>
                <w:sz w:val="20"/>
                <w:szCs w:val="20"/>
                <w:color w:val="auto"/>
              </w:rPr>
            </w:pPr>
            <w:r>
              <w:rPr>
                <w:rFonts w:ascii="Arial" w:cs="Arial" w:eastAsia="Arial" w:hAnsi="Arial"/>
                <w:sz w:val="16"/>
                <w:szCs w:val="16"/>
                <w:color w:val="auto"/>
                <w:w w:val="92"/>
              </w:rPr>
              <w:t>Scholastic Corporation Executive Performance Incentive Plan, effective as of June 1, 1999 (incorporated by reference to the Corporation’s Quarterly Report on Form</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10-Q as filed with the SEC on October 15, 1999).</w:t>
            </w:r>
          </w:p>
        </w:tc>
      </w:tr>
      <w:tr>
        <w:trPr>
          <w:trHeight w:val="418"/>
        </w:trPr>
        <w:tc>
          <w:tcPr>
            <w:tcW w:w="560" w:type="dxa"/>
            <w:vAlign w:val="bottom"/>
          </w:tcPr>
          <w:p>
            <w:pPr>
              <w:spacing w:after="0"/>
              <w:rPr>
                <w:sz w:val="20"/>
                <w:szCs w:val="20"/>
                <w:color w:val="auto"/>
              </w:rPr>
            </w:pPr>
            <w:r>
              <w:rPr>
                <w:rFonts w:ascii="Arial" w:cs="Arial" w:eastAsia="Arial" w:hAnsi="Arial"/>
                <w:sz w:val="16"/>
                <w:szCs w:val="16"/>
                <w:color w:val="auto"/>
              </w:rPr>
              <w:t>10.8**</w:t>
            </w:r>
          </w:p>
        </w:tc>
        <w:tc>
          <w:tcPr>
            <w:tcW w:w="10880" w:type="dxa"/>
            <w:vAlign w:val="bottom"/>
          </w:tcPr>
          <w:p>
            <w:pPr>
              <w:ind w:left="100"/>
              <w:spacing w:after="0"/>
              <w:rPr>
                <w:sz w:val="20"/>
                <w:szCs w:val="20"/>
                <w:color w:val="auto"/>
              </w:rPr>
            </w:pPr>
            <w:r>
              <w:rPr>
                <w:rFonts w:ascii="Arial" w:cs="Arial" w:eastAsia="Arial" w:hAnsi="Arial"/>
                <w:sz w:val="16"/>
                <w:szCs w:val="16"/>
                <w:color w:val="auto"/>
              </w:rPr>
              <w:t>Description of split dollar life insurance arrangements for the benefit of Richard Robinson.</w:t>
            </w:r>
          </w:p>
        </w:tc>
      </w:tr>
      <w:tr>
        <w:trPr>
          <w:trHeight w:val="435"/>
        </w:trPr>
        <w:tc>
          <w:tcPr>
            <w:tcW w:w="560" w:type="dxa"/>
            <w:vAlign w:val="bottom"/>
          </w:tcPr>
          <w:p>
            <w:pPr>
              <w:spacing w:after="0"/>
              <w:rPr>
                <w:sz w:val="20"/>
                <w:szCs w:val="20"/>
                <w:color w:val="auto"/>
              </w:rPr>
            </w:pPr>
            <w:r>
              <w:rPr>
                <w:rFonts w:ascii="Arial" w:cs="Arial" w:eastAsia="Arial" w:hAnsi="Arial"/>
                <w:sz w:val="16"/>
                <w:szCs w:val="16"/>
                <w:color w:val="auto"/>
              </w:rPr>
              <w:t>10.9**</w:t>
            </w:r>
          </w:p>
        </w:tc>
        <w:tc>
          <w:tcPr>
            <w:tcW w:w="10880" w:type="dxa"/>
            <w:vAlign w:val="bottom"/>
          </w:tcPr>
          <w:p>
            <w:pPr>
              <w:ind w:left="100"/>
              <w:spacing w:after="0"/>
              <w:rPr>
                <w:sz w:val="20"/>
                <w:szCs w:val="20"/>
                <w:color w:val="auto"/>
              </w:rPr>
            </w:pPr>
            <w:r>
              <w:rPr>
                <w:rFonts w:ascii="Arial" w:cs="Arial" w:eastAsia="Arial" w:hAnsi="Arial"/>
                <w:sz w:val="16"/>
                <w:szCs w:val="16"/>
                <w:color w:val="auto"/>
                <w:w w:val="93"/>
              </w:rPr>
              <w:t>Scholastic Corporation 2001 Stock Incentive Plan (incorporated by reference to Appendix A of the Corporation’s definitive Proxy Statement as filed with the SEC on</w:t>
            </w:r>
          </w:p>
        </w:tc>
      </w:tr>
      <w:tr>
        <w:trPr>
          <w:trHeight w:val="205"/>
        </w:trPr>
        <w:tc>
          <w:tcPr>
            <w:tcW w:w="560" w:type="dxa"/>
            <w:vAlign w:val="bottom"/>
          </w:tcPr>
          <w:p>
            <w:pPr>
              <w:spacing w:after="0"/>
              <w:rPr>
                <w:sz w:val="17"/>
                <w:szCs w:val="17"/>
                <w:color w:val="auto"/>
              </w:rPr>
            </w:pPr>
          </w:p>
        </w:tc>
        <w:tc>
          <w:tcPr>
            <w:tcW w:w="10880" w:type="dxa"/>
            <w:vAlign w:val="bottom"/>
          </w:tcPr>
          <w:p>
            <w:pPr>
              <w:ind w:left="100"/>
              <w:spacing w:after="0"/>
              <w:rPr>
                <w:sz w:val="20"/>
                <w:szCs w:val="20"/>
                <w:color w:val="auto"/>
              </w:rPr>
            </w:pPr>
            <w:r>
              <w:rPr>
                <w:rFonts w:ascii="Arial" w:cs="Arial" w:eastAsia="Arial" w:hAnsi="Arial"/>
                <w:sz w:val="16"/>
                <w:szCs w:val="16"/>
                <w:color w:val="auto"/>
              </w:rPr>
              <w:t>August 24, 2001).</w:t>
            </w:r>
          </w:p>
        </w:tc>
      </w:tr>
      <w:tr>
        <w:trPr>
          <w:trHeight w:val="812"/>
        </w:trPr>
        <w:tc>
          <w:tcPr>
            <w:tcW w:w="560" w:type="dxa"/>
            <w:vAlign w:val="bottom"/>
          </w:tcPr>
          <w:p>
            <w:pPr>
              <w:spacing w:after="0"/>
              <w:rPr>
                <w:sz w:val="24"/>
                <w:szCs w:val="24"/>
                <w:color w:val="auto"/>
              </w:rPr>
            </w:pPr>
          </w:p>
        </w:tc>
        <w:tc>
          <w:tcPr>
            <w:tcW w:w="10880" w:type="dxa"/>
            <w:vAlign w:val="bottom"/>
          </w:tcPr>
          <w:p>
            <w:pPr>
              <w:ind w:left="5080"/>
              <w:spacing w:after="0"/>
              <w:rPr>
                <w:sz w:val="20"/>
                <w:szCs w:val="20"/>
                <w:color w:val="auto"/>
              </w:rPr>
            </w:pPr>
            <w:r>
              <w:rPr>
                <w:rFonts w:ascii="Arial" w:cs="Arial" w:eastAsia="Arial" w:hAnsi="Arial"/>
                <w:sz w:val="16"/>
                <w:szCs w:val="16"/>
                <w:color w:val="auto"/>
              </w:rPr>
              <w:t>58</w:t>
            </w:r>
          </w:p>
        </w:tc>
      </w:tr>
      <w:tr>
        <w:trPr>
          <w:trHeight w:val="231"/>
        </w:trPr>
        <w:tc>
          <w:tcPr>
            <w:tcW w:w="560" w:type="dxa"/>
            <w:vAlign w:val="bottom"/>
            <w:tcBorders>
              <w:bottom w:val="single" w:sz="8" w:color="808080"/>
            </w:tcBorders>
          </w:tcPr>
          <w:p>
            <w:pPr>
              <w:spacing w:after="0"/>
              <w:rPr>
                <w:sz w:val="20"/>
                <w:szCs w:val="20"/>
                <w:color w:val="auto"/>
              </w:rPr>
            </w:pPr>
          </w:p>
        </w:tc>
        <w:tc>
          <w:tcPr>
            <w:tcW w:w="1088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0" w:hanging="590"/>
        <w:spacing w:after="0" w:line="283" w:lineRule="auto"/>
        <w:tabs>
          <w:tab w:leader="none" w:pos="560" w:val="left"/>
        </w:tabs>
        <w:rPr>
          <w:sz w:val="20"/>
          <w:szCs w:val="20"/>
          <w:color w:val="auto"/>
        </w:rPr>
      </w:pPr>
      <w:r>
        <w:rPr>
          <w:rFonts w:ascii="Arial" w:cs="Arial" w:eastAsia="Arial" w:hAnsi="Arial"/>
          <w:sz w:val="16"/>
          <w:szCs w:val="16"/>
          <w:color w:val="auto"/>
        </w:rPr>
        <w:t>10.10</w:t>
        <w:tab/>
        <w:t>Amended and Restated Lease, effective as of August 1, 1999, between ISE 555 Broadway, LLC, landlord, and Scholastic Inc., tenant, for the building known as 555 Broad (incorporated by reference to the Corporation’s Annual Report on Form 10-K as filed with the SEC on August 23, 1999).</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4"/>
          <w:szCs w:val="14"/>
          <w:color w:val="auto"/>
        </w:rPr>
        <w:t>Amended and Restated Sublease, effective as of October 9, 1996, between Kalodop Corp., as sublandlord, and Scholastic Inc., as subtenant, for the premises known as 557</w:t>
      </w:r>
    </w:p>
    <w:p>
      <w:pPr>
        <w:sectPr>
          <w:pgSz w:w="11900" w:h="16880" w:orient="portrait"/>
          <w:cols w:equalWidth="0" w:num="1">
            <w:col w:w="11520"/>
          </w:cols>
          <w:pgMar w:left="240" w:top="131" w:right="139" w:bottom="0" w:gutter="0" w:footer="0" w:header="0"/>
        </w:sectPr>
      </w:pPr>
    </w:p>
    <w:bookmarkStart w:id="39" w:name="page40"/>
    <w:bookmarkEnd w:id="39"/>
    <w:p>
      <w:pPr>
        <w:ind w:left="582"/>
        <w:spacing w:after="0"/>
        <w:rPr>
          <w:sz w:val="20"/>
          <w:szCs w:val="20"/>
          <w:color w:val="auto"/>
        </w:rPr>
      </w:pPr>
      <w:r>
        <w:rPr>
          <w:rFonts w:ascii="Arial" w:cs="Arial" w:eastAsia="Arial" w:hAnsi="Arial"/>
          <w:sz w:val="16"/>
          <w:szCs w:val="16"/>
          <w:color w:val="auto"/>
        </w:rPr>
        <w:t>NY (incorporated by reference to the Corporation’s Annual Report on Form 10-K as filed with the SEC on August 23, 1999).</w:t>
      </w:r>
    </w:p>
    <w:p>
      <w:pPr>
        <w:spacing w:after="0" w:line="234" w:lineRule="exact"/>
        <w:rPr>
          <w:sz w:val="20"/>
          <w:szCs w:val="20"/>
          <w:color w:val="auto"/>
        </w:rPr>
      </w:pPr>
    </w:p>
    <w:p>
      <w:pPr>
        <w:ind w:left="582" w:hanging="582"/>
        <w:spacing w:after="0"/>
        <w:tabs>
          <w:tab w:leader="none" w:pos="5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Subsidiaries of the Corporation.</w:t>
      </w:r>
    </w:p>
    <w:p>
      <w:pPr>
        <w:spacing w:after="0" w:line="258" w:lineRule="exact"/>
        <w:rPr>
          <w:rFonts w:ascii="Arial" w:cs="Arial" w:eastAsia="Arial" w:hAnsi="Arial"/>
          <w:sz w:val="16"/>
          <w:szCs w:val="16"/>
          <w:color w:val="auto"/>
        </w:rPr>
      </w:pPr>
    </w:p>
    <w:p>
      <w:pPr>
        <w:ind w:left="582" w:hanging="582"/>
        <w:spacing w:after="0"/>
        <w:tabs>
          <w:tab w:leader="none" w:pos="5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Consent of Independent Auditors.</w:t>
      </w:r>
    </w:p>
    <w:p>
      <w:pPr>
        <w:spacing w:after="0" w:line="258"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31.1</w:t>
      </w:r>
      <w:r>
        <w:rPr>
          <w:rFonts w:ascii="Arial" w:cs="Arial" w:eastAsia="Arial" w:hAnsi="Arial"/>
          <w:sz w:val="14"/>
          <w:szCs w:val="14"/>
          <w:color w:val="auto"/>
        </w:rPr>
        <w:t>Certification of the Chief Executive Officer of the Corporation filed pursuant to Section 302 of the Sarbanes-Oxley Act of 2002.</w:t>
      </w:r>
    </w:p>
    <w:p>
      <w:pPr>
        <w:spacing w:after="0" w:line="258"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31.2</w:t>
      </w:r>
      <w:r>
        <w:rPr>
          <w:rFonts w:ascii="Arial" w:cs="Arial" w:eastAsia="Arial" w:hAnsi="Arial"/>
          <w:sz w:val="14"/>
          <w:szCs w:val="14"/>
          <w:color w:val="auto"/>
        </w:rPr>
        <w:t>Certification of the Chief Financial Officer of the Corporation filed pursuant to Section 302 of the Sarbanes-Oxley Act of 2002.</w:t>
      </w:r>
    </w:p>
    <w:p>
      <w:pPr>
        <w:spacing w:after="0" w:line="258" w:lineRule="exact"/>
        <w:rPr>
          <w:rFonts w:ascii="Arial" w:cs="Arial" w:eastAsia="Arial" w:hAnsi="Arial"/>
          <w:sz w:val="16"/>
          <w:szCs w:val="16"/>
          <w:color w:val="auto"/>
        </w:rPr>
      </w:pPr>
    </w:p>
    <w:p>
      <w:pPr>
        <w:ind w:left="582" w:hanging="582"/>
        <w:spacing w:after="0"/>
        <w:tabs>
          <w:tab w:leader="none" w:pos="582" w:val="left"/>
        </w:tabs>
        <w:numPr>
          <w:ilvl w:val="0"/>
          <w:numId w:val="12"/>
        </w:numPr>
        <w:rPr>
          <w:rFonts w:ascii="Arial" w:cs="Arial" w:eastAsia="Arial" w:hAnsi="Arial"/>
          <w:sz w:val="15"/>
          <w:szCs w:val="15"/>
          <w:color w:val="auto"/>
        </w:rPr>
      </w:pPr>
      <w:r>
        <w:rPr>
          <w:rFonts w:ascii="Arial" w:cs="Arial" w:eastAsia="Arial" w:hAnsi="Arial"/>
          <w:sz w:val="15"/>
          <w:szCs w:val="15"/>
          <w:color w:val="auto"/>
        </w:rPr>
        <w:t>Certifications of the Chief Executive Officer and the Chief Financial Officer of the Corporation furnished pursuant to Section 906 of the Sarbanes-Oxley Act of 2002.</w:t>
      </w:r>
    </w:p>
    <w:p>
      <w:pPr>
        <w:spacing w:after="0" w:line="270" w:lineRule="exact"/>
        <w:rPr>
          <w:sz w:val="20"/>
          <w:szCs w:val="20"/>
          <w:color w:val="auto"/>
        </w:rPr>
      </w:pPr>
    </w:p>
    <w:p>
      <w:pPr>
        <w:ind w:left="582" w:hanging="582"/>
        <w:spacing w:after="0"/>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Reports on Form 8-K.</w:t>
      </w:r>
    </w:p>
    <w:p>
      <w:pPr>
        <w:spacing w:after="0" w:line="258" w:lineRule="exact"/>
        <w:rPr>
          <w:rFonts w:ascii="Arial" w:cs="Arial" w:eastAsia="Arial" w:hAnsi="Arial"/>
          <w:sz w:val="16"/>
          <w:szCs w:val="16"/>
          <w:color w:val="auto"/>
        </w:rPr>
      </w:pPr>
    </w:p>
    <w:p>
      <w:pPr>
        <w:ind w:left="582" w:right="440"/>
        <w:spacing w:after="0" w:line="660" w:lineRule="auto"/>
        <w:rPr>
          <w:rFonts w:ascii="Arial" w:cs="Arial" w:eastAsia="Arial" w:hAnsi="Arial"/>
          <w:sz w:val="16"/>
          <w:szCs w:val="16"/>
          <w:color w:val="auto"/>
        </w:rPr>
      </w:pPr>
      <w:r>
        <w:rPr>
          <w:rFonts w:ascii="Arial" w:cs="Arial" w:eastAsia="Arial" w:hAnsi="Arial"/>
          <w:sz w:val="14"/>
          <w:szCs w:val="14"/>
          <w:color w:val="auto"/>
        </w:rPr>
        <w:t>A Current Report on Form 8-K was filed with the SEC on April 3, 2003 reporting under Item 5 (Other Events) a press release announcing the sale of the 5% Notes. A Current Report on Form 8-K was filed with the SEC on May 28, 2003 reporting under Item 5 (Other Events) a press release announcing a workforce reduction.</w:t>
      </w:r>
    </w:p>
    <w:p>
      <w:pPr>
        <w:ind w:left="582"/>
        <w:spacing w:after="0" w:line="283" w:lineRule="auto"/>
        <w:rPr>
          <w:rFonts w:ascii="Arial" w:cs="Arial" w:eastAsia="Arial" w:hAnsi="Arial"/>
          <w:sz w:val="16"/>
          <w:szCs w:val="16"/>
          <w:color w:val="auto"/>
        </w:rPr>
      </w:pPr>
      <w:r>
        <w:rPr>
          <w:rFonts w:ascii="Arial" w:cs="Arial" w:eastAsia="Arial" w:hAnsi="Arial"/>
          <w:sz w:val="16"/>
          <w:szCs w:val="16"/>
          <w:color w:val="auto"/>
        </w:rPr>
        <w:t>A Current Report on Form 8-K was filed with the SEC on July 11, 2003 reporting under Item 12 (Results of Operations and Financial Condition) a press release regarding results of operations for the Corporation’s quarter and fiscal year ended May 31, 2003.</w:t>
      </w:r>
    </w:p>
    <w:p>
      <w:pPr>
        <w:spacing w:after="0" w:line="181" w:lineRule="exact"/>
        <w:rPr>
          <w:rFonts w:ascii="Arial" w:cs="Arial" w:eastAsia="Arial" w:hAnsi="Arial"/>
          <w:sz w:val="16"/>
          <w:szCs w:val="16"/>
          <w:color w:val="auto"/>
        </w:rPr>
      </w:pPr>
    </w:p>
    <w:p>
      <w:pPr>
        <w:ind w:left="582"/>
        <w:spacing w:after="0" w:line="283" w:lineRule="auto"/>
        <w:rPr>
          <w:rFonts w:ascii="Arial" w:cs="Arial" w:eastAsia="Arial" w:hAnsi="Arial"/>
          <w:sz w:val="16"/>
          <w:szCs w:val="16"/>
          <w:color w:val="auto"/>
        </w:rPr>
      </w:pPr>
      <w:r>
        <w:rPr>
          <w:rFonts w:ascii="Arial" w:cs="Arial" w:eastAsia="Arial" w:hAnsi="Arial"/>
          <w:sz w:val="16"/>
          <w:szCs w:val="16"/>
          <w:color w:val="auto"/>
        </w:rPr>
        <w:t>A Current Report on Form 8-K was filed with the SEC on July 15, 2003 reporting under Item 12 (Results of Operations and Financial Condition) a press release regarding operations for the Corporation’s quarter and fiscal year ended May 31, 2003.</w:t>
      </w:r>
    </w:p>
    <w:p>
      <w:pPr>
        <w:sectPr>
          <w:pgSz w:w="11900" w:h="16838" w:orient="portrait"/>
          <w:cols w:equalWidth="0" w:num="1">
            <w:col w:w="11502"/>
          </w:cols>
          <w:pgMar w:left="238" w:top="131" w:right="159" w:bottom="0" w:gutter="0" w:footer="0" w:header="0"/>
        </w:sectPr>
      </w:pPr>
    </w:p>
    <w:p>
      <w:pPr>
        <w:spacing w:after="0" w:line="1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360"/>
        <w:spacing w:after="0" w:line="244" w:lineRule="auto"/>
        <w:rPr>
          <w:sz w:val="20"/>
          <w:szCs w:val="20"/>
          <w:color w:val="auto"/>
        </w:rPr>
      </w:pPr>
      <w:r>
        <w:rPr>
          <w:rFonts w:ascii="Arial" w:cs="Arial" w:eastAsia="Arial" w:hAnsi="Arial"/>
          <w:sz w:val="12"/>
          <w:szCs w:val="12"/>
          <w:color w:val="auto"/>
        </w:rPr>
        <w:t>Such long-term debt does not individually amount to more than 10% of the total assets of the Corporation and its subsidiaries on a consolidated basis. Accordingly, pursuant to Item 601(b)(4)(iii) of Regulation S-K, such instrument is not filed herewith. The Corporation hereby agrees to furnish a copy of any such instrument to the SEC upon request.</w:t>
      </w:r>
    </w:p>
    <w:p>
      <w:pPr>
        <w:spacing w:after="0"/>
        <w:rPr>
          <w:sz w:val="20"/>
          <w:szCs w:val="20"/>
          <w:color w:val="auto"/>
        </w:rPr>
      </w:pPr>
      <w:r>
        <w:rPr>
          <w:rFonts w:ascii="Arial" w:cs="Arial" w:eastAsia="Arial" w:hAnsi="Arial"/>
          <w:sz w:val="12"/>
          <w:szCs w:val="12"/>
          <w:color w:val="auto"/>
        </w:rPr>
        <w:t>The referenced exhibit is a management contract or compensation plan or arrangement described in Item 601(b) (10) (iii) of Regulation S-K.</w:t>
      </w:r>
    </w:p>
    <w:p>
      <w:pPr>
        <w:spacing w:after="0" w:line="271" w:lineRule="exact"/>
        <w:rPr>
          <w:sz w:val="20"/>
          <w:szCs w:val="20"/>
          <w:color w:val="auto"/>
        </w:rPr>
      </w:pPr>
    </w:p>
    <w:p>
      <w:pPr>
        <w:sectPr>
          <w:pgSz w:w="11900" w:h="16838" w:orient="portrait"/>
          <w:cols w:equalWidth="0" w:num="2">
            <w:col w:w="202" w:space="160"/>
            <w:col w:w="11140"/>
          </w:cols>
          <w:pgMar w:left="238" w:top="131" w:right="159" w:bottom="0" w:gutter="0" w:footer="0" w:header="0"/>
          <w:type w:val="continuous"/>
        </w:sectPr>
      </w:pPr>
    </w:p>
    <w:p>
      <w:pPr>
        <w:spacing w:after="0" w:line="220" w:lineRule="exact"/>
        <w:rPr>
          <w:sz w:val="20"/>
          <w:szCs w:val="20"/>
          <w:color w:val="auto"/>
        </w:rPr>
      </w:pPr>
    </w:p>
    <w:p>
      <w:pPr>
        <w:jc w:val="center"/>
        <w:ind w:right="78"/>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295275</wp:posOffset>
            </wp:positionV>
            <wp:extent cx="3891280" cy="3282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Signatures</w:t>
      </w:r>
    </w:p>
    <w:p>
      <w:pPr>
        <w:spacing w:after="0" w:line="25" w:lineRule="exact"/>
        <w:rPr>
          <w:sz w:val="20"/>
          <w:szCs w:val="20"/>
          <w:color w:val="auto"/>
        </w:rPr>
      </w:pPr>
    </w:p>
    <w:p>
      <w:pPr>
        <w:ind w:left="2" w:right="860"/>
        <w:spacing w:after="0" w:line="259"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22"/>
        <w:spacing w:after="0"/>
        <w:tabs>
          <w:tab w:leader="none" w:pos="3641" w:val="left"/>
        </w:tabs>
        <w:rPr>
          <w:sz w:val="20"/>
          <w:szCs w:val="20"/>
          <w:color w:val="auto"/>
        </w:rPr>
      </w:pPr>
      <w:r>
        <w:rPr>
          <w:rFonts w:ascii="Arial" w:cs="Arial" w:eastAsia="Arial" w:hAnsi="Arial"/>
          <w:sz w:val="16"/>
          <w:szCs w:val="16"/>
          <w:color w:val="auto"/>
        </w:rPr>
        <w:t>Dated: August 15, 2003</w:t>
      </w:r>
      <w:r>
        <w:rPr>
          <w:sz w:val="20"/>
          <w:szCs w:val="20"/>
          <w:color w:val="auto"/>
        </w:rPr>
        <w:tab/>
      </w:r>
      <w:r>
        <w:rPr>
          <w:rFonts w:ascii="Arial" w:cs="Arial" w:eastAsia="Arial" w:hAnsi="Arial"/>
          <w:sz w:val="15"/>
          <w:szCs w:val="15"/>
          <w:color w:val="auto"/>
        </w:rPr>
        <w:t>SCHOLASTIC CORPORATION</w:t>
      </w:r>
    </w:p>
    <w:p>
      <w:pPr>
        <w:spacing w:after="0" w:line="296" w:lineRule="exact"/>
        <w:rPr>
          <w:sz w:val="20"/>
          <w:szCs w:val="20"/>
          <w:color w:val="auto"/>
        </w:rPr>
      </w:pPr>
    </w:p>
    <w:p>
      <w:pPr>
        <w:ind w:left="3662"/>
        <w:spacing w:after="0"/>
        <w:rPr>
          <w:sz w:val="20"/>
          <w:szCs w:val="20"/>
          <w:color w:val="auto"/>
        </w:rPr>
      </w:pPr>
      <w:r>
        <w:rPr>
          <w:rFonts w:ascii="Arial" w:cs="Arial" w:eastAsia="Arial" w:hAnsi="Arial"/>
          <w:sz w:val="16"/>
          <w:szCs w:val="16"/>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-8890</wp:posOffset>
            </wp:positionV>
            <wp:extent cx="209613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96135" cy="7620"/>
                    </a:xfrm>
                    <a:prstGeom prst="rect">
                      <a:avLst/>
                    </a:prstGeom>
                    <a:noFill/>
                  </pic:spPr>
                </pic:pic>
              </a:graphicData>
            </a:graphic>
          </wp:anchor>
        </w:drawing>
      </w:r>
    </w:p>
    <w:p>
      <w:pPr>
        <w:spacing w:after="0" w:line="30" w:lineRule="exact"/>
        <w:rPr>
          <w:sz w:val="20"/>
          <w:szCs w:val="20"/>
          <w:color w:val="auto"/>
        </w:rPr>
      </w:pPr>
    </w:p>
    <w:p>
      <w:pPr>
        <w:ind w:left="3662"/>
        <w:spacing w:after="0"/>
        <w:rPr>
          <w:sz w:val="20"/>
          <w:szCs w:val="20"/>
          <w:color w:val="auto"/>
        </w:rPr>
      </w:pPr>
      <w:r>
        <w:rPr>
          <w:rFonts w:ascii="Arial" w:cs="Arial" w:eastAsia="Arial" w:hAnsi="Arial"/>
          <w:sz w:val="16"/>
          <w:szCs w:val="16"/>
          <w:color w:val="auto"/>
        </w:rPr>
        <w:t>Richard Robinson, Chairman of the Board,</w:t>
      </w:r>
    </w:p>
    <w:p>
      <w:pPr>
        <w:spacing w:after="0" w:line="21" w:lineRule="exact"/>
        <w:rPr>
          <w:sz w:val="20"/>
          <w:szCs w:val="20"/>
          <w:color w:val="auto"/>
        </w:rPr>
      </w:pPr>
    </w:p>
    <w:p>
      <w:pPr>
        <w:ind w:left="3662"/>
        <w:spacing w:after="0"/>
        <w:rPr>
          <w:sz w:val="20"/>
          <w:szCs w:val="20"/>
          <w:color w:val="auto"/>
        </w:rPr>
      </w:pPr>
      <w:r>
        <w:rPr>
          <w:rFonts w:ascii="Arial" w:cs="Arial" w:eastAsia="Arial" w:hAnsi="Arial"/>
          <w:sz w:val="16"/>
          <w:szCs w:val="16"/>
          <w:color w:val="auto"/>
        </w:rPr>
        <w:t>President and Chief Executive Officer</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Power of Attorney</w:t>
      </w:r>
    </w:p>
    <w:p>
      <w:pPr>
        <w:spacing w:after="0" w:line="25" w:lineRule="exact"/>
        <w:rPr>
          <w:sz w:val="20"/>
          <w:szCs w:val="20"/>
          <w:color w:val="auto"/>
        </w:rPr>
      </w:pPr>
    </w:p>
    <w:p>
      <w:pPr>
        <w:ind w:left="2" w:right="260"/>
        <w:spacing w:after="0" w:line="26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75" w:lineRule="exact"/>
        <w:rPr>
          <w:sz w:val="20"/>
          <w:szCs w:val="20"/>
          <w:color w:val="auto"/>
        </w:rPr>
      </w:pPr>
    </w:p>
    <w:p>
      <w:pPr>
        <w:ind w:left="2" w:right="200"/>
        <w:spacing w:after="0" w:line="283"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350"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94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6"/>
                <w:szCs w:val="16"/>
                <w:b w:val="1"/>
                <w:bCs w:val="1"/>
                <w:color w:val="auto"/>
              </w:rPr>
              <w:t>Title</w:t>
            </w:r>
          </w:p>
        </w:tc>
        <w:tc>
          <w:tcPr>
            <w:tcW w:w="1200" w:type="dxa"/>
            <w:vAlign w:val="bottom"/>
          </w:tcPr>
          <w:p>
            <w:pPr>
              <w:ind w:left="180"/>
              <w:spacing w:after="0"/>
              <w:rPr>
                <w:sz w:val="20"/>
                <w:szCs w:val="20"/>
                <w:color w:val="auto"/>
              </w:rPr>
            </w:pPr>
            <w:r>
              <w:rPr>
                <w:rFonts w:ascii="Arial" w:cs="Arial" w:eastAsia="Arial" w:hAnsi="Arial"/>
                <w:sz w:val="16"/>
                <w:szCs w:val="16"/>
                <w:b w:val="1"/>
                <w:bCs w:val="1"/>
                <w:color w:val="auto"/>
              </w:rPr>
              <w:t>Date</w:t>
            </w:r>
          </w:p>
        </w:tc>
      </w:tr>
      <w:tr>
        <w:trPr>
          <w:trHeight w:val="407"/>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Richard Robinson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Chairman of the Board, President,</w:t>
            </w:r>
          </w:p>
        </w:tc>
        <w:tc>
          <w:tcPr>
            <w:tcW w:w="1200" w:type="dxa"/>
            <w:vAlign w:val="bottom"/>
          </w:tcPr>
          <w:p>
            <w:pPr>
              <w:ind w:left="140"/>
              <w:spacing w:after="0"/>
              <w:rPr>
                <w:sz w:val="20"/>
                <w:szCs w:val="20"/>
                <w:color w:val="auto"/>
              </w:rPr>
            </w:pPr>
            <w:r>
              <w:rPr>
                <w:rFonts w:ascii="Arial" w:cs="Arial" w:eastAsia="Arial" w:hAnsi="Arial"/>
                <w:sz w:val="16"/>
                <w:szCs w:val="16"/>
                <w:color w:val="auto"/>
                <w:w w:val="89"/>
              </w:rPr>
              <w:t>August 15, 2003</w:t>
            </w:r>
          </w:p>
        </w:tc>
      </w:tr>
      <w:tr>
        <w:trPr>
          <w:trHeight w:val="237"/>
        </w:trPr>
        <w:tc>
          <w:tcPr>
            <w:tcW w:w="1940" w:type="dxa"/>
            <w:vAlign w:val="bottom"/>
          </w:tcPr>
          <w:p>
            <w:pPr>
              <w:spacing w:after="0"/>
              <w:rPr>
                <w:sz w:val="20"/>
                <w:szCs w:val="20"/>
                <w:color w:val="auto"/>
              </w:rPr>
            </w:pPr>
            <w:r>
              <w:rPr>
                <w:rFonts w:ascii="Arial" w:cs="Arial" w:eastAsia="Arial" w:hAnsi="Arial"/>
                <w:sz w:val="16"/>
                <w:szCs w:val="16"/>
                <w:color w:val="auto"/>
              </w:rPr>
              <w:t>Richard Robinson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w w:val="96"/>
              </w:rPr>
              <w:t>Chief Executive Officer and Director (Principal Executive Officer)</w:t>
            </w:r>
          </w:p>
        </w:tc>
        <w:tc>
          <w:tcPr>
            <w:tcW w:w="1200" w:type="dxa"/>
            <w:vAlign w:val="bottom"/>
          </w:tcPr>
          <w:p>
            <w:pPr>
              <w:spacing w:after="0"/>
              <w:rPr>
                <w:sz w:val="20"/>
                <w:szCs w:val="20"/>
                <w:color w:val="auto"/>
              </w:rPr>
            </w:pPr>
          </w:p>
        </w:tc>
      </w:tr>
      <w:tr>
        <w:trPr>
          <w:trHeight w:val="407"/>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Kevin J. McEnery</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Executive Vice President and Chief</w:t>
            </w:r>
          </w:p>
        </w:tc>
        <w:tc>
          <w:tcPr>
            <w:tcW w:w="1200" w:type="dxa"/>
            <w:vAlign w:val="bottom"/>
          </w:tcPr>
          <w:p>
            <w:pPr>
              <w:ind w:left="140"/>
              <w:spacing w:after="0"/>
              <w:rPr>
                <w:sz w:val="20"/>
                <w:szCs w:val="20"/>
                <w:color w:val="auto"/>
              </w:rPr>
            </w:pPr>
            <w:r>
              <w:rPr>
                <w:rFonts w:ascii="Arial" w:cs="Arial" w:eastAsia="Arial" w:hAnsi="Arial"/>
                <w:sz w:val="16"/>
                <w:szCs w:val="16"/>
                <w:color w:val="auto"/>
                <w:w w:val="89"/>
              </w:rPr>
              <w:t>August 15, 2003</w:t>
            </w:r>
          </w:p>
        </w:tc>
      </w:tr>
      <w:tr>
        <w:trPr>
          <w:trHeight w:val="237"/>
        </w:trPr>
        <w:tc>
          <w:tcPr>
            <w:tcW w:w="1940" w:type="dxa"/>
            <w:vAlign w:val="bottom"/>
          </w:tcPr>
          <w:p>
            <w:pPr>
              <w:spacing w:after="0"/>
              <w:rPr>
                <w:sz w:val="20"/>
                <w:szCs w:val="20"/>
                <w:color w:val="auto"/>
              </w:rPr>
            </w:pPr>
            <w:r>
              <w:rPr>
                <w:rFonts w:ascii="Arial" w:cs="Arial" w:eastAsia="Arial" w:hAnsi="Arial"/>
                <w:sz w:val="16"/>
                <w:szCs w:val="16"/>
                <w:color w:val="auto"/>
              </w:rPr>
              <w:t>Kevin J. McEnery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Financial Officer (Principal Financial Officer)</w:t>
            </w:r>
          </w:p>
        </w:tc>
        <w:tc>
          <w:tcPr>
            <w:tcW w:w="1200" w:type="dxa"/>
            <w:vAlign w:val="bottom"/>
          </w:tcPr>
          <w:p>
            <w:pPr>
              <w:spacing w:after="0"/>
              <w:rPr>
                <w:sz w:val="20"/>
                <w:szCs w:val="20"/>
                <w:color w:val="auto"/>
              </w:rPr>
            </w:pPr>
          </w:p>
        </w:tc>
      </w:tr>
      <w:tr>
        <w:trPr>
          <w:trHeight w:val="407"/>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Karen A. Maloney</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Vice President and Controller</w:t>
            </w:r>
          </w:p>
        </w:tc>
        <w:tc>
          <w:tcPr>
            <w:tcW w:w="1200" w:type="dxa"/>
            <w:vAlign w:val="bottom"/>
          </w:tcPr>
          <w:p>
            <w:pPr>
              <w:ind w:left="140"/>
              <w:spacing w:after="0"/>
              <w:rPr>
                <w:sz w:val="20"/>
                <w:szCs w:val="20"/>
                <w:color w:val="auto"/>
              </w:rPr>
            </w:pPr>
            <w:r>
              <w:rPr>
                <w:rFonts w:ascii="Arial" w:cs="Arial" w:eastAsia="Arial" w:hAnsi="Arial"/>
                <w:sz w:val="16"/>
                <w:szCs w:val="16"/>
                <w:color w:val="auto"/>
                <w:w w:val="89"/>
              </w:rPr>
              <w:t>August 15, 2003</w:t>
            </w:r>
          </w:p>
        </w:tc>
      </w:tr>
      <w:tr>
        <w:trPr>
          <w:trHeight w:val="237"/>
        </w:trPr>
        <w:tc>
          <w:tcPr>
            <w:tcW w:w="1940" w:type="dxa"/>
            <w:vAlign w:val="bottom"/>
          </w:tcPr>
          <w:p>
            <w:pPr>
              <w:spacing w:after="0"/>
              <w:rPr>
                <w:sz w:val="20"/>
                <w:szCs w:val="20"/>
                <w:color w:val="auto"/>
              </w:rPr>
            </w:pPr>
            <w:r>
              <w:rPr>
                <w:rFonts w:ascii="Arial" w:cs="Arial" w:eastAsia="Arial" w:hAnsi="Arial"/>
                <w:sz w:val="16"/>
                <w:szCs w:val="16"/>
                <w:color w:val="auto"/>
              </w:rPr>
              <w:t>Karen A. Maloney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(Principal Accounting Officer)</w:t>
            </w:r>
          </w:p>
        </w:tc>
        <w:tc>
          <w:tcPr>
            <w:tcW w:w="1200" w:type="dxa"/>
            <w:vAlign w:val="bottom"/>
          </w:tcPr>
          <w:p>
            <w:pPr>
              <w:spacing w:after="0"/>
              <w:rPr>
                <w:sz w:val="20"/>
                <w:szCs w:val="20"/>
                <w:color w:val="auto"/>
              </w:rPr>
            </w:pPr>
          </w:p>
        </w:tc>
      </w:tr>
      <w:tr>
        <w:trPr>
          <w:trHeight w:val="407"/>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Rebeca M. Barrera</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Director</w:t>
            </w:r>
          </w:p>
        </w:tc>
        <w:tc>
          <w:tcPr>
            <w:tcW w:w="1200" w:type="dxa"/>
            <w:vAlign w:val="bottom"/>
          </w:tcPr>
          <w:p>
            <w:pPr>
              <w:ind w:left="140"/>
              <w:spacing w:after="0"/>
              <w:rPr>
                <w:sz w:val="20"/>
                <w:szCs w:val="20"/>
                <w:color w:val="auto"/>
              </w:rPr>
            </w:pPr>
            <w:r>
              <w:rPr>
                <w:rFonts w:ascii="Arial" w:cs="Arial" w:eastAsia="Arial" w:hAnsi="Arial"/>
                <w:sz w:val="16"/>
                <w:szCs w:val="16"/>
                <w:color w:val="auto"/>
                <w:w w:val="89"/>
              </w:rPr>
              <w:t>August 15, 2003</w:t>
            </w:r>
          </w:p>
        </w:tc>
      </w:tr>
      <w:tr>
        <w:trPr>
          <w:trHeight w:val="237"/>
        </w:trPr>
        <w:tc>
          <w:tcPr>
            <w:tcW w:w="1940" w:type="dxa"/>
            <w:vAlign w:val="bottom"/>
          </w:tcPr>
          <w:p>
            <w:pPr>
              <w:spacing w:after="0"/>
              <w:rPr>
                <w:sz w:val="20"/>
                <w:szCs w:val="20"/>
                <w:color w:val="auto"/>
              </w:rPr>
            </w:pPr>
            <w:r>
              <w:rPr>
                <w:rFonts w:ascii="Arial" w:cs="Arial" w:eastAsia="Arial" w:hAnsi="Arial"/>
                <w:sz w:val="16"/>
                <w:szCs w:val="16"/>
                <w:color w:val="auto"/>
              </w:rPr>
              <w:t>Rebeca M. Barrera</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7"/>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Ramon C. Cortines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Director</w:t>
            </w:r>
          </w:p>
        </w:tc>
        <w:tc>
          <w:tcPr>
            <w:tcW w:w="1200" w:type="dxa"/>
            <w:vAlign w:val="bottom"/>
          </w:tcPr>
          <w:p>
            <w:pPr>
              <w:ind w:left="140"/>
              <w:spacing w:after="0"/>
              <w:rPr>
                <w:sz w:val="20"/>
                <w:szCs w:val="20"/>
                <w:color w:val="auto"/>
              </w:rPr>
            </w:pPr>
            <w:r>
              <w:rPr>
                <w:rFonts w:ascii="Arial" w:cs="Arial" w:eastAsia="Arial" w:hAnsi="Arial"/>
                <w:sz w:val="16"/>
                <w:szCs w:val="16"/>
                <w:color w:val="auto"/>
                <w:w w:val="89"/>
              </w:rPr>
              <w:t>August 15, 2003</w:t>
            </w:r>
          </w:p>
        </w:tc>
      </w:tr>
      <w:tr>
        <w:trPr>
          <w:trHeight w:val="237"/>
        </w:trPr>
        <w:tc>
          <w:tcPr>
            <w:tcW w:w="1940" w:type="dxa"/>
            <w:vAlign w:val="bottom"/>
          </w:tcPr>
          <w:p>
            <w:pPr>
              <w:spacing w:after="0"/>
              <w:rPr>
                <w:sz w:val="20"/>
                <w:szCs w:val="20"/>
                <w:color w:val="auto"/>
              </w:rPr>
            </w:pPr>
            <w:r>
              <w:rPr>
                <w:rFonts w:ascii="Arial" w:cs="Arial" w:eastAsia="Arial" w:hAnsi="Arial"/>
                <w:sz w:val="16"/>
                <w:szCs w:val="16"/>
                <w:color w:val="auto"/>
              </w:rPr>
              <w:t>Ramon C. Cortines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7"/>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L. Davies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Director</w:t>
            </w:r>
          </w:p>
        </w:tc>
        <w:tc>
          <w:tcPr>
            <w:tcW w:w="1200" w:type="dxa"/>
            <w:vAlign w:val="bottom"/>
          </w:tcPr>
          <w:p>
            <w:pPr>
              <w:ind w:left="140"/>
              <w:spacing w:after="0"/>
              <w:rPr>
                <w:sz w:val="20"/>
                <w:szCs w:val="20"/>
                <w:color w:val="auto"/>
              </w:rPr>
            </w:pPr>
            <w:r>
              <w:rPr>
                <w:rFonts w:ascii="Arial" w:cs="Arial" w:eastAsia="Arial" w:hAnsi="Arial"/>
                <w:sz w:val="16"/>
                <w:szCs w:val="16"/>
                <w:color w:val="auto"/>
                <w:w w:val="89"/>
              </w:rPr>
              <w:t>August 15, 2003</w:t>
            </w:r>
          </w:p>
        </w:tc>
      </w:tr>
      <w:tr>
        <w:trPr>
          <w:trHeight w:val="237"/>
        </w:trPr>
        <w:tc>
          <w:tcPr>
            <w:tcW w:w="1940" w:type="dxa"/>
            <w:vAlign w:val="bottom"/>
          </w:tcPr>
          <w:p>
            <w:pPr>
              <w:spacing w:after="0"/>
              <w:rPr>
                <w:sz w:val="20"/>
                <w:szCs w:val="20"/>
                <w:color w:val="auto"/>
              </w:rPr>
            </w:pPr>
            <w:r>
              <w:rPr>
                <w:rFonts w:ascii="Arial" w:cs="Arial" w:eastAsia="Arial" w:hAnsi="Arial"/>
                <w:sz w:val="16"/>
                <w:szCs w:val="16"/>
                <w:color w:val="auto"/>
              </w:rPr>
              <w:t>John L. Davies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7"/>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Charles T. Harris III</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540" w:type="dxa"/>
            <w:vAlign w:val="bottom"/>
          </w:tcPr>
          <w:p>
            <w:pPr>
              <w:ind w:left="1140"/>
              <w:spacing w:after="0"/>
              <w:rPr>
                <w:sz w:val="20"/>
                <w:szCs w:val="20"/>
                <w:color w:val="auto"/>
              </w:rPr>
            </w:pPr>
            <w:r>
              <w:rPr>
                <w:rFonts w:ascii="Arial" w:cs="Arial" w:eastAsia="Arial" w:hAnsi="Arial"/>
                <w:sz w:val="16"/>
                <w:szCs w:val="16"/>
                <w:color w:val="auto"/>
              </w:rPr>
              <w:t>Director</w:t>
            </w:r>
          </w:p>
        </w:tc>
        <w:tc>
          <w:tcPr>
            <w:tcW w:w="1200" w:type="dxa"/>
            <w:vAlign w:val="bottom"/>
          </w:tcPr>
          <w:p>
            <w:pPr>
              <w:ind w:left="140"/>
              <w:spacing w:after="0"/>
              <w:rPr>
                <w:sz w:val="20"/>
                <w:szCs w:val="20"/>
                <w:color w:val="auto"/>
              </w:rPr>
            </w:pPr>
            <w:r>
              <w:rPr>
                <w:rFonts w:ascii="Arial" w:cs="Arial" w:eastAsia="Arial" w:hAnsi="Arial"/>
                <w:sz w:val="16"/>
                <w:szCs w:val="16"/>
                <w:color w:val="auto"/>
                <w:w w:val="89"/>
              </w:rPr>
              <w:t>August 15, 2003</w:t>
            </w:r>
          </w:p>
        </w:tc>
      </w:tr>
    </w:tbl>
    <w:p>
      <w:pPr>
        <w:sectPr>
          <w:pgSz w:w="11900" w:h="16838" w:orient="portrait"/>
          <w:cols w:equalWidth="0" w:num="1">
            <w:col w:w="11502"/>
          </w:cols>
          <w:pgMar w:left="238" w:top="131" w:right="159" w:bottom="0" w:gutter="0" w:footer="0" w:header="0"/>
          <w:type w:val="continuous"/>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0" w:type="dxa"/>
            <w:vAlign w:val="bottom"/>
          </w:tcPr>
          <w:p>
            <w:pPr>
              <w:spacing w:after="0"/>
              <w:rPr>
                <w:sz w:val="20"/>
                <w:szCs w:val="20"/>
                <w:color w:val="auto"/>
              </w:rPr>
            </w:pPr>
            <w:r>
              <w:rPr>
                <w:rFonts w:ascii="Arial" w:cs="Arial" w:eastAsia="Arial" w:hAnsi="Arial"/>
                <w:sz w:val="16"/>
                <w:szCs w:val="16"/>
                <w:color w:val="auto"/>
              </w:rPr>
              <w:t>Charles T. Harris III</w:t>
            </w:r>
          </w:p>
        </w:tc>
        <w:tc>
          <w:tcPr>
            <w:tcW w:w="2700" w:type="dxa"/>
            <w:vAlign w:val="bottom"/>
          </w:tcPr>
          <w:p>
            <w:pPr>
              <w:spacing w:after="0"/>
              <w:rPr>
                <w:sz w:val="17"/>
                <w:szCs w:val="17"/>
                <w:color w:val="auto"/>
              </w:rPr>
            </w:pPr>
          </w:p>
        </w:tc>
        <w:tc>
          <w:tcPr>
            <w:tcW w:w="6740" w:type="dxa"/>
            <w:vAlign w:val="bottom"/>
          </w:tcPr>
          <w:p>
            <w:pPr>
              <w:spacing w:after="0"/>
              <w:rPr>
                <w:sz w:val="17"/>
                <w:szCs w:val="17"/>
                <w:color w:val="auto"/>
              </w:rPr>
            </w:pPr>
          </w:p>
        </w:tc>
      </w:tr>
      <w:tr>
        <w:trPr>
          <w:trHeight w:val="407"/>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Andrew S. Hedden</w:t>
            </w:r>
          </w:p>
        </w:tc>
        <w:tc>
          <w:tcPr>
            <w:tcW w:w="2700" w:type="dxa"/>
            <w:vAlign w:val="bottom"/>
          </w:tcPr>
          <w:p>
            <w:pPr>
              <w:ind w:left="1220"/>
              <w:spacing w:after="0"/>
              <w:rPr>
                <w:sz w:val="20"/>
                <w:szCs w:val="20"/>
                <w:color w:val="auto"/>
              </w:rPr>
            </w:pPr>
            <w:r>
              <w:rPr>
                <w:rFonts w:ascii="Arial" w:cs="Arial" w:eastAsia="Arial" w:hAnsi="Arial"/>
                <w:sz w:val="16"/>
                <w:szCs w:val="16"/>
                <w:color w:val="auto"/>
              </w:rPr>
              <w:t>Director</w:t>
            </w:r>
          </w:p>
        </w:tc>
        <w:tc>
          <w:tcPr>
            <w:tcW w:w="6740" w:type="dxa"/>
            <w:vAlign w:val="bottom"/>
          </w:tcPr>
          <w:p>
            <w:pPr>
              <w:jc w:val="right"/>
              <w:ind w:right="2540"/>
              <w:spacing w:after="0"/>
              <w:rPr>
                <w:sz w:val="20"/>
                <w:szCs w:val="20"/>
                <w:color w:val="auto"/>
              </w:rPr>
            </w:pPr>
            <w:r>
              <w:rPr>
                <w:rFonts w:ascii="Arial" w:cs="Arial" w:eastAsia="Arial" w:hAnsi="Arial"/>
                <w:sz w:val="16"/>
                <w:szCs w:val="16"/>
                <w:color w:val="auto"/>
              </w:rPr>
              <w:t>August 15, 2003</w:t>
            </w:r>
          </w:p>
        </w:tc>
      </w:tr>
      <w:tr>
        <w:trPr>
          <w:trHeight w:val="237"/>
        </w:trPr>
        <w:tc>
          <w:tcPr>
            <w:tcW w:w="2000" w:type="dxa"/>
            <w:vAlign w:val="bottom"/>
          </w:tcPr>
          <w:p>
            <w:pPr>
              <w:spacing w:after="0"/>
              <w:rPr>
                <w:sz w:val="20"/>
                <w:szCs w:val="20"/>
                <w:color w:val="auto"/>
              </w:rPr>
            </w:pPr>
            <w:r>
              <w:rPr>
                <w:rFonts w:ascii="Arial" w:cs="Arial" w:eastAsia="Arial" w:hAnsi="Arial"/>
                <w:sz w:val="16"/>
                <w:szCs w:val="16"/>
                <w:color w:val="auto"/>
              </w:rPr>
              <w:t>Andrew S. Hedden</w:t>
            </w:r>
          </w:p>
        </w:tc>
        <w:tc>
          <w:tcPr>
            <w:tcW w:w="270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640"/>
        </w:trPr>
        <w:tc>
          <w:tcPr>
            <w:tcW w:w="2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740" w:type="dxa"/>
            <w:vAlign w:val="bottom"/>
          </w:tcPr>
          <w:p>
            <w:pPr>
              <w:jc w:val="right"/>
              <w:ind w:right="5560"/>
              <w:spacing w:after="0"/>
              <w:rPr>
                <w:sz w:val="20"/>
                <w:szCs w:val="20"/>
                <w:color w:val="auto"/>
              </w:rPr>
            </w:pPr>
            <w:r>
              <w:rPr>
                <w:rFonts w:ascii="Arial" w:cs="Arial" w:eastAsia="Arial" w:hAnsi="Arial"/>
                <w:sz w:val="16"/>
                <w:szCs w:val="16"/>
                <w:color w:val="auto"/>
              </w:rPr>
              <w:t>60</w:t>
            </w:r>
          </w:p>
        </w:tc>
      </w:tr>
      <w:tr>
        <w:trPr>
          <w:trHeight w:val="231"/>
        </w:trPr>
        <w:tc>
          <w:tcPr>
            <w:tcW w:w="2000" w:type="dxa"/>
            <w:vAlign w:val="bottom"/>
            <w:tcBorders>
              <w:bottom w:val="single" w:sz="8" w:color="808080"/>
            </w:tcBorders>
          </w:tcPr>
          <w:p>
            <w:pPr>
              <w:spacing w:after="0"/>
              <w:rPr>
                <w:sz w:val="20"/>
                <w:szCs w:val="20"/>
                <w:color w:val="auto"/>
              </w:rPr>
            </w:pPr>
          </w:p>
        </w:tc>
        <w:tc>
          <w:tcPr>
            <w:tcW w:w="2700" w:type="dxa"/>
            <w:vAlign w:val="bottom"/>
            <w:tcBorders>
              <w:bottom w:val="single" w:sz="8" w:color="808080"/>
            </w:tcBorders>
          </w:tcPr>
          <w:p>
            <w:pPr>
              <w:spacing w:after="0"/>
              <w:rPr>
                <w:sz w:val="20"/>
                <w:szCs w:val="20"/>
                <w:color w:val="auto"/>
              </w:rPr>
            </w:pPr>
          </w:p>
        </w:tc>
        <w:tc>
          <w:tcPr>
            <w:tcW w:w="674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60" w:type="dxa"/>
            <w:vAlign w:val="bottom"/>
            <w:gridSpan w:val="5"/>
          </w:tcPr>
          <w:p>
            <w:pPr>
              <w:spacing w:after="0"/>
              <w:rPr>
                <w:sz w:val="20"/>
                <w:szCs w:val="20"/>
                <w:color w:val="auto"/>
              </w:rPr>
            </w:pPr>
            <w:r>
              <w:rPr>
                <w:rFonts w:ascii="Arial" w:cs="Arial" w:eastAsia="Arial" w:hAnsi="Arial"/>
                <w:sz w:val="16"/>
                <w:szCs w:val="16"/>
                <w:b w:val="1"/>
                <w:bCs w:val="1"/>
                <w:color w:val="auto"/>
              </w:rPr>
              <w:t>Signature</w:t>
            </w:r>
          </w:p>
        </w:tc>
        <w:tc>
          <w:tcPr>
            <w:tcW w:w="2820" w:type="dxa"/>
            <w:vAlign w:val="bottom"/>
          </w:tcPr>
          <w:p>
            <w:pPr>
              <w:ind w:left="1320"/>
              <w:spacing w:after="0"/>
              <w:rPr>
                <w:sz w:val="20"/>
                <w:szCs w:val="20"/>
                <w:color w:val="auto"/>
              </w:rPr>
            </w:pPr>
            <w:r>
              <w:rPr>
                <w:rFonts w:ascii="Arial" w:cs="Arial" w:eastAsia="Arial" w:hAnsi="Arial"/>
                <w:sz w:val="16"/>
                <w:szCs w:val="16"/>
                <w:b w:val="1"/>
                <w:bCs w:val="1"/>
                <w:color w:val="auto"/>
              </w:rPr>
              <w:t>Title</w:t>
            </w:r>
          </w:p>
        </w:tc>
        <w:tc>
          <w:tcPr>
            <w:tcW w:w="6760" w:type="dxa"/>
            <w:vAlign w:val="bottom"/>
          </w:tcPr>
          <w:p>
            <w:pPr>
              <w:ind w:left="2880"/>
              <w:spacing w:after="0"/>
              <w:rPr>
                <w:sz w:val="20"/>
                <w:szCs w:val="20"/>
                <w:color w:val="auto"/>
              </w:rPr>
            </w:pPr>
            <w:r>
              <w:rPr>
                <w:rFonts w:ascii="Arial" w:cs="Arial" w:eastAsia="Arial" w:hAnsi="Arial"/>
                <w:sz w:val="16"/>
                <w:szCs w:val="16"/>
                <w:b w:val="1"/>
                <w:bCs w:val="1"/>
                <w:color w:val="auto"/>
              </w:rPr>
              <w:t>Date</w:t>
            </w:r>
          </w:p>
        </w:tc>
      </w:tr>
      <w:tr>
        <w:trPr>
          <w:trHeight w:val="383"/>
        </w:trPr>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/s/ Mae C. Jemison</w:t>
            </w:r>
          </w:p>
        </w:tc>
        <w:tc>
          <w:tcPr>
            <w:tcW w:w="2820" w:type="dxa"/>
            <w:vAlign w:val="bottom"/>
          </w:tcPr>
          <w:p>
            <w:pPr>
              <w:ind w:left="1320"/>
              <w:spacing w:after="0"/>
              <w:rPr>
                <w:sz w:val="20"/>
                <w:szCs w:val="20"/>
                <w:color w:val="auto"/>
              </w:rPr>
            </w:pPr>
            <w:r>
              <w:rPr>
                <w:rFonts w:ascii="Arial" w:cs="Arial" w:eastAsia="Arial" w:hAnsi="Arial"/>
                <w:sz w:val="16"/>
                <w:szCs w:val="16"/>
                <w:color w:val="auto"/>
              </w:rPr>
              <w:t>Director</w:t>
            </w:r>
          </w:p>
        </w:tc>
        <w:tc>
          <w:tcPr>
            <w:tcW w:w="6760" w:type="dxa"/>
            <w:vAlign w:val="bottom"/>
          </w:tcPr>
          <w:p>
            <w:pPr>
              <w:ind w:left="2880"/>
              <w:spacing w:after="0"/>
              <w:rPr>
                <w:sz w:val="20"/>
                <w:szCs w:val="20"/>
                <w:color w:val="auto"/>
              </w:rPr>
            </w:pPr>
            <w:r>
              <w:rPr>
                <w:rFonts w:ascii="Arial" w:cs="Arial" w:eastAsia="Arial" w:hAnsi="Arial"/>
                <w:sz w:val="16"/>
                <w:szCs w:val="16"/>
                <w:color w:val="auto"/>
              </w:rPr>
              <w:t>August 15, 2003</w:t>
            </w:r>
          </w:p>
        </w:tc>
      </w:tr>
      <w:tr>
        <w:trPr>
          <w:trHeight w:val="237"/>
        </w:trPr>
        <w:tc>
          <w:tcPr>
            <w:tcW w:w="1860" w:type="dxa"/>
            <w:vAlign w:val="bottom"/>
            <w:gridSpan w:val="5"/>
          </w:tcPr>
          <w:p>
            <w:pPr>
              <w:spacing w:after="0"/>
              <w:rPr>
                <w:sz w:val="20"/>
                <w:szCs w:val="20"/>
                <w:color w:val="auto"/>
              </w:rPr>
            </w:pPr>
            <w:r>
              <w:rPr>
                <w:rFonts w:ascii="Arial" w:cs="Arial" w:eastAsia="Arial" w:hAnsi="Arial"/>
                <w:sz w:val="16"/>
                <w:szCs w:val="16"/>
                <w:color w:val="auto"/>
              </w:rPr>
              <w:t>Mae C. Jemison</w:t>
            </w:r>
          </w:p>
        </w:tc>
        <w:tc>
          <w:tcPr>
            <w:tcW w:w="28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07"/>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/s/ Linda B. Keene</w:t>
            </w:r>
          </w:p>
        </w:tc>
        <w:tc>
          <w:tcPr>
            <w:tcW w:w="20" w:type="dxa"/>
            <w:vAlign w:val="bottom"/>
          </w:tcPr>
          <w:p>
            <w:pPr>
              <w:spacing w:after="0"/>
              <w:rPr>
                <w:sz w:val="24"/>
                <w:szCs w:val="24"/>
                <w:color w:val="auto"/>
              </w:rPr>
            </w:pPr>
          </w:p>
        </w:tc>
        <w:tc>
          <w:tcPr>
            <w:tcW w:w="2820" w:type="dxa"/>
            <w:vAlign w:val="bottom"/>
          </w:tcPr>
          <w:p>
            <w:pPr>
              <w:ind w:left="1320"/>
              <w:spacing w:after="0"/>
              <w:rPr>
                <w:sz w:val="20"/>
                <w:szCs w:val="20"/>
                <w:color w:val="auto"/>
              </w:rPr>
            </w:pPr>
            <w:r>
              <w:rPr>
                <w:rFonts w:ascii="Arial" w:cs="Arial" w:eastAsia="Arial" w:hAnsi="Arial"/>
                <w:sz w:val="16"/>
                <w:szCs w:val="16"/>
                <w:color w:val="auto"/>
              </w:rPr>
              <w:t>Director</w:t>
            </w:r>
          </w:p>
        </w:tc>
        <w:tc>
          <w:tcPr>
            <w:tcW w:w="6760" w:type="dxa"/>
            <w:vAlign w:val="bottom"/>
          </w:tcPr>
          <w:p>
            <w:pPr>
              <w:ind w:left="2880"/>
              <w:spacing w:after="0"/>
              <w:rPr>
                <w:sz w:val="20"/>
                <w:szCs w:val="20"/>
                <w:color w:val="auto"/>
              </w:rPr>
            </w:pPr>
            <w:r>
              <w:rPr>
                <w:rFonts w:ascii="Arial" w:cs="Arial" w:eastAsia="Arial" w:hAnsi="Arial"/>
                <w:sz w:val="16"/>
                <w:szCs w:val="16"/>
                <w:color w:val="auto"/>
              </w:rPr>
              <w:t>August 15, 2003</w:t>
            </w:r>
          </w:p>
        </w:tc>
      </w:tr>
      <w:tr>
        <w:trPr>
          <w:trHeight w:val="237"/>
        </w:trPr>
        <w:tc>
          <w:tcPr>
            <w:tcW w:w="1860" w:type="dxa"/>
            <w:vAlign w:val="bottom"/>
            <w:gridSpan w:val="5"/>
          </w:tcPr>
          <w:p>
            <w:pPr>
              <w:spacing w:after="0"/>
              <w:rPr>
                <w:sz w:val="20"/>
                <w:szCs w:val="20"/>
                <w:color w:val="auto"/>
              </w:rPr>
            </w:pPr>
            <w:r>
              <w:rPr>
                <w:rFonts w:ascii="Arial" w:cs="Arial" w:eastAsia="Arial" w:hAnsi="Arial"/>
                <w:sz w:val="16"/>
                <w:szCs w:val="16"/>
                <w:color w:val="auto"/>
              </w:rPr>
              <w:t>Linda B. Keene</w:t>
            </w:r>
          </w:p>
        </w:tc>
        <w:tc>
          <w:tcPr>
            <w:tcW w:w="28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07"/>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Peter M. Mayer</w:t>
            </w:r>
          </w:p>
        </w:tc>
        <w:tc>
          <w:tcPr>
            <w:tcW w:w="60" w:type="dxa"/>
            <w:vAlign w:val="bottom"/>
            <w:gridSpan w:val="2"/>
          </w:tcPr>
          <w:p>
            <w:pPr>
              <w:spacing w:after="0"/>
              <w:rPr>
                <w:sz w:val="24"/>
                <w:szCs w:val="24"/>
                <w:color w:val="auto"/>
              </w:rPr>
            </w:pPr>
          </w:p>
        </w:tc>
        <w:tc>
          <w:tcPr>
            <w:tcW w:w="2820" w:type="dxa"/>
            <w:vAlign w:val="bottom"/>
          </w:tcPr>
          <w:p>
            <w:pPr>
              <w:ind w:left="1320"/>
              <w:spacing w:after="0"/>
              <w:rPr>
                <w:sz w:val="20"/>
                <w:szCs w:val="20"/>
                <w:color w:val="auto"/>
              </w:rPr>
            </w:pPr>
            <w:r>
              <w:rPr>
                <w:rFonts w:ascii="Arial" w:cs="Arial" w:eastAsia="Arial" w:hAnsi="Arial"/>
                <w:sz w:val="16"/>
                <w:szCs w:val="16"/>
                <w:color w:val="auto"/>
              </w:rPr>
              <w:t>Director</w:t>
            </w:r>
          </w:p>
        </w:tc>
        <w:tc>
          <w:tcPr>
            <w:tcW w:w="6760" w:type="dxa"/>
            <w:vAlign w:val="bottom"/>
          </w:tcPr>
          <w:p>
            <w:pPr>
              <w:ind w:left="2880"/>
              <w:spacing w:after="0"/>
              <w:rPr>
                <w:sz w:val="20"/>
                <w:szCs w:val="20"/>
                <w:color w:val="auto"/>
              </w:rPr>
            </w:pPr>
            <w:r>
              <w:rPr>
                <w:rFonts w:ascii="Arial" w:cs="Arial" w:eastAsia="Arial" w:hAnsi="Arial"/>
                <w:sz w:val="16"/>
                <w:szCs w:val="16"/>
                <w:color w:val="auto"/>
              </w:rPr>
              <w:t>August 15, 2003</w:t>
            </w:r>
          </w:p>
        </w:tc>
      </w:tr>
      <w:tr>
        <w:trPr>
          <w:trHeight w:val="237"/>
        </w:trPr>
        <w:tc>
          <w:tcPr>
            <w:tcW w:w="1860" w:type="dxa"/>
            <w:vAlign w:val="bottom"/>
            <w:gridSpan w:val="5"/>
          </w:tcPr>
          <w:p>
            <w:pPr>
              <w:spacing w:after="0"/>
              <w:rPr>
                <w:sz w:val="20"/>
                <w:szCs w:val="20"/>
                <w:color w:val="auto"/>
              </w:rPr>
            </w:pPr>
            <w:r>
              <w:rPr>
                <w:rFonts w:ascii="Arial" w:cs="Arial" w:eastAsia="Arial" w:hAnsi="Arial"/>
                <w:sz w:val="16"/>
                <w:szCs w:val="16"/>
                <w:color w:val="auto"/>
              </w:rPr>
              <w:t>Peter M. Mayer</w:t>
            </w:r>
          </w:p>
        </w:tc>
        <w:tc>
          <w:tcPr>
            <w:tcW w:w="28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John G. McDonald</w:t>
            </w:r>
          </w:p>
        </w:tc>
        <w:tc>
          <w:tcPr>
            <w:tcW w:w="80" w:type="dxa"/>
            <w:vAlign w:val="bottom"/>
            <w:gridSpan w:val="3"/>
          </w:tcPr>
          <w:p>
            <w:pPr>
              <w:spacing w:after="0"/>
              <w:rPr>
                <w:sz w:val="24"/>
                <w:szCs w:val="24"/>
                <w:color w:val="auto"/>
              </w:rPr>
            </w:pPr>
          </w:p>
        </w:tc>
        <w:tc>
          <w:tcPr>
            <w:tcW w:w="2820" w:type="dxa"/>
            <w:vAlign w:val="bottom"/>
          </w:tcPr>
          <w:p>
            <w:pPr>
              <w:ind w:left="1320"/>
              <w:spacing w:after="0"/>
              <w:rPr>
                <w:sz w:val="20"/>
                <w:szCs w:val="20"/>
                <w:color w:val="auto"/>
              </w:rPr>
            </w:pPr>
            <w:r>
              <w:rPr>
                <w:rFonts w:ascii="Arial" w:cs="Arial" w:eastAsia="Arial" w:hAnsi="Arial"/>
                <w:sz w:val="16"/>
                <w:szCs w:val="16"/>
                <w:color w:val="auto"/>
              </w:rPr>
              <w:t>Director</w:t>
            </w:r>
          </w:p>
        </w:tc>
        <w:tc>
          <w:tcPr>
            <w:tcW w:w="6760" w:type="dxa"/>
            <w:vAlign w:val="bottom"/>
          </w:tcPr>
          <w:p>
            <w:pPr>
              <w:ind w:left="2880"/>
              <w:spacing w:after="0"/>
              <w:rPr>
                <w:sz w:val="20"/>
                <w:szCs w:val="20"/>
                <w:color w:val="auto"/>
              </w:rPr>
            </w:pPr>
            <w:r>
              <w:rPr>
                <w:rFonts w:ascii="Arial" w:cs="Arial" w:eastAsia="Arial" w:hAnsi="Arial"/>
                <w:sz w:val="16"/>
                <w:szCs w:val="16"/>
                <w:color w:val="auto"/>
              </w:rPr>
              <w:t>August 15, 2003</w:t>
            </w:r>
          </w:p>
        </w:tc>
      </w:tr>
      <w:tr>
        <w:trPr>
          <w:trHeight w:val="237"/>
        </w:trPr>
        <w:tc>
          <w:tcPr>
            <w:tcW w:w="1860" w:type="dxa"/>
            <w:vAlign w:val="bottom"/>
            <w:gridSpan w:val="5"/>
          </w:tcPr>
          <w:p>
            <w:pPr>
              <w:spacing w:after="0"/>
              <w:rPr>
                <w:sz w:val="20"/>
                <w:szCs w:val="20"/>
                <w:color w:val="auto"/>
              </w:rPr>
            </w:pPr>
            <w:r>
              <w:rPr>
                <w:rFonts w:ascii="Arial" w:cs="Arial" w:eastAsia="Arial" w:hAnsi="Arial"/>
                <w:sz w:val="16"/>
                <w:szCs w:val="16"/>
                <w:color w:val="auto"/>
              </w:rPr>
              <w:t>John G. McDonald</w:t>
            </w:r>
          </w:p>
        </w:tc>
        <w:tc>
          <w:tcPr>
            <w:tcW w:w="28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07"/>
        </w:trPr>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Augustus K. Oliver</w:t>
            </w:r>
          </w:p>
        </w:tc>
        <w:tc>
          <w:tcPr>
            <w:tcW w:w="120" w:type="dxa"/>
            <w:vAlign w:val="bottom"/>
            <w:gridSpan w:val="4"/>
          </w:tcPr>
          <w:p>
            <w:pPr>
              <w:spacing w:after="0"/>
              <w:rPr>
                <w:sz w:val="24"/>
                <w:szCs w:val="24"/>
                <w:color w:val="auto"/>
              </w:rPr>
            </w:pPr>
          </w:p>
        </w:tc>
        <w:tc>
          <w:tcPr>
            <w:tcW w:w="2820" w:type="dxa"/>
            <w:vAlign w:val="bottom"/>
          </w:tcPr>
          <w:p>
            <w:pPr>
              <w:ind w:left="1320"/>
              <w:spacing w:after="0"/>
              <w:rPr>
                <w:sz w:val="20"/>
                <w:szCs w:val="20"/>
                <w:color w:val="auto"/>
              </w:rPr>
            </w:pPr>
            <w:r>
              <w:rPr>
                <w:rFonts w:ascii="Arial" w:cs="Arial" w:eastAsia="Arial" w:hAnsi="Arial"/>
                <w:sz w:val="16"/>
                <w:szCs w:val="16"/>
                <w:color w:val="auto"/>
              </w:rPr>
              <w:t>Director</w:t>
            </w:r>
          </w:p>
        </w:tc>
        <w:tc>
          <w:tcPr>
            <w:tcW w:w="6760" w:type="dxa"/>
            <w:vAlign w:val="bottom"/>
          </w:tcPr>
          <w:p>
            <w:pPr>
              <w:ind w:left="2880"/>
              <w:spacing w:after="0"/>
              <w:rPr>
                <w:sz w:val="20"/>
                <w:szCs w:val="20"/>
                <w:color w:val="auto"/>
              </w:rPr>
            </w:pPr>
            <w:r>
              <w:rPr>
                <w:rFonts w:ascii="Arial" w:cs="Arial" w:eastAsia="Arial" w:hAnsi="Arial"/>
                <w:sz w:val="16"/>
                <w:szCs w:val="16"/>
                <w:color w:val="auto"/>
              </w:rPr>
              <w:t>August 15, 2003</w:t>
            </w:r>
          </w:p>
        </w:tc>
      </w:tr>
      <w:tr>
        <w:trPr>
          <w:trHeight w:val="237"/>
        </w:trPr>
        <w:tc>
          <w:tcPr>
            <w:tcW w:w="1860" w:type="dxa"/>
            <w:vAlign w:val="bottom"/>
            <w:gridSpan w:val="5"/>
          </w:tcPr>
          <w:p>
            <w:pPr>
              <w:spacing w:after="0"/>
              <w:rPr>
                <w:sz w:val="20"/>
                <w:szCs w:val="20"/>
                <w:color w:val="auto"/>
              </w:rPr>
            </w:pPr>
            <w:r>
              <w:rPr>
                <w:rFonts w:ascii="Arial" w:cs="Arial" w:eastAsia="Arial" w:hAnsi="Arial"/>
                <w:sz w:val="16"/>
                <w:szCs w:val="16"/>
                <w:color w:val="auto"/>
              </w:rPr>
              <w:t>Augustus K. Oliver</w:t>
            </w:r>
          </w:p>
        </w:tc>
        <w:tc>
          <w:tcPr>
            <w:tcW w:w="28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07"/>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Richard M. Spaulding</w:t>
            </w:r>
          </w:p>
        </w:tc>
        <w:tc>
          <w:tcPr>
            <w:tcW w:w="60" w:type="dxa"/>
            <w:vAlign w:val="bottom"/>
            <w:gridSpan w:val="2"/>
          </w:tcPr>
          <w:p>
            <w:pPr>
              <w:spacing w:after="0"/>
              <w:rPr>
                <w:sz w:val="24"/>
                <w:szCs w:val="24"/>
                <w:color w:val="auto"/>
              </w:rPr>
            </w:pPr>
          </w:p>
        </w:tc>
        <w:tc>
          <w:tcPr>
            <w:tcW w:w="2820" w:type="dxa"/>
            <w:vAlign w:val="bottom"/>
          </w:tcPr>
          <w:p>
            <w:pPr>
              <w:ind w:left="1320"/>
              <w:spacing w:after="0"/>
              <w:rPr>
                <w:sz w:val="20"/>
                <w:szCs w:val="20"/>
                <w:color w:val="auto"/>
              </w:rPr>
            </w:pPr>
            <w:r>
              <w:rPr>
                <w:rFonts w:ascii="Arial" w:cs="Arial" w:eastAsia="Arial" w:hAnsi="Arial"/>
                <w:sz w:val="16"/>
                <w:szCs w:val="16"/>
                <w:color w:val="auto"/>
              </w:rPr>
              <w:t>Director</w:t>
            </w:r>
          </w:p>
        </w:tc>
        <w:tc>
          <w:tcPr>
            <w:tcW w:w="6760" w:type="dxa"/>
            <w:vAlign w:val="bottom"/>
          </w:tcPr>
          <w:p>
            <w:pPr>
              <w:ind w:left="2880"/>
              <w:spacing w:after="0"/>
              <w:rPr>
                <w:sz w:val="20"/>
                <w:szCs w:val="20"/>
                <w:color w:val="auto"/>
              </w:rPr>
            </w:pPr>
            <w:r>
              <w:rPr>
                <w:rFonts w:ascii="Arial" w:cs="Arial" w:eastAsia="Arial" w:hAnsi="Arial"/>
                <w:sz w:val="16"/>
                <w:szCs w:val="16"/>
                <w:color w:val="auto"/>
              </w:rPr>
              <w:t>August 15, 2003</w:t>
            </w:r>
          </w:p>
        </w:tc>
      </w:tr>
      <w:tr>
        <w:trPr>
          <w:trHeight w:val="237"/>
        </w:trPr>
        <w:tc>
          <w:tcPr>
            <w:tcW w:w="1860" w:type="dxa"/>
            <w:vAlign w:val="bottom"/>
            <w:gridSpan w:val="5"/>
          </w:tcPr>
          <w:p>
            <w:pPr>
              <w:spacing w:after="0"/>
              <w:rPr>
                <w:sz w:val="20"/>
                <w:szCs w:val="20"/>
                <w:color w:val="auto"/>
              </w:rPr>
            </w:pPr>
            <w:r>
              <w:rPr>
                <w:rFonts w:ascii="Arial" w:cs="Arial" w:eastAsia="Arial" w:hAnsi="Arial"/>
                <w:sz w:val="16"/>
                <w:szCs w:val="16"/>
                <w:color w:val="auto"/>
              </w:rPr>
              <w:t>Richard M. Spaulding</w:t>
            </w:r>
          </w:p>
        </w:tc>
        <w:tc>
          <w:tcPr>
            <w:tcW w:w="28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640"/>
        </w:trPr>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760" w:type="dxa"/>
            <w:vAlign w:val="bottom"/>
          </w:tcPr>
          <w:p>
            <w:pPr>
              <w:ind w:left="960"/>
              <w:spacing w:after="0"/>
              <w:rPr>
                <w:sz w:val="20"/>
                <w:szCs w:val="20"/>
                <w:color w:val="auto"/>
              </w:rPr>
            </w:pPr>
            <w:r>
              <w:rPr>
                <w:rFonts w:ascii="Arial" w:cs="Arial" w:eastAsia="Arial" w:hAnsi="Arial"/>
                <w:sz w:val="16"/>
                <w:szCs w:val="16"/>
                <w:color w:val="auto"/>
              </w:rPr>
              <w:t>61</w:t>
            </w:r>
          </w:p>
        </w:tc>
      </w:tr>
      <w:tr>
        <w:trPr>
          <w:trHeight w:val="231"/>
        </w:trPr>
        <w:tc>
          <w:tcPr>
            <w:tcW w:w="17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676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-35560</wp:posOffset>
            </wp:positionV>
            <wp:extent cx="12700" cy="36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122555</wp:posOffset>
            </wp:positionV>
            <wp:extent cx="3891280" cy="3282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59"/>
          <w:szCs w:val="59"/>
          <w:color w:val="auto"/>
        </w:rPr>
        <w:t>Scholastic Corporation</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Financial Statement Schedule</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ANNUAL REPORT ON FORM 10-K</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YEAR ENDED MAY 31, 2003</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ITEM 15(d)</w:t>
      </w:r>
    </w:p>
    <w:p>
      <w:pPr>
        <w:sectPr>
          <w:pgSz w:w="11900" w:h="16838" w:orient="portrait"/>
          <w:cols w:equalWidth="0" w:num="1">
            <w:col w:w="11440"/>
          </w:cols>
          <w:pgMar w:left="240" w:top="131" w:right="219" w:bottom="1440" w:gutter="0" w:footer="0" w:header="0"/>
        </w:sectPr>
      </w:pPr>
    </w:p>
    <w:bookmarkStart w:id="41" w:name="page42"/>
    <w:bookmarkEnd w:id="41"/>
    <w:p>
      <w:pPr>
        <w:jc w:val="center"/>
        <w:ind w:right="18"/>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36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765" cy="361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714375</wp:posOffset>
            </wp:positionV>
            <wp:extent cx="7263765"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3765" cy="20320"/>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295275</wp:posOffset>
            </wp:positionV>
            <wp:extent cx="3891280" cy="3282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912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
        <w:spacing w:after="0"/>
        <w:rPr>
          <w:sz w:val="20"/>
          <w:szCs w:val="20"/>
          <w:color w:val="auto"/>
        </w:rPr>
      </w:pPr>
      <w:r>
        <w:rPr>
          <w:rFonts w:ascii="Arial" w:cs="Arial" w:eastAsia="Arial" w:hAnsi="Arial"/>
          <w:sz w:val="39"/>
          <w:szCs w:val="39"/>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63765"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8"/>
        <w:spacing w:after="0"/>
        <w:rPr>
          <w:sz w:val="20"/>
          <w:szCs w:val="20"/>
          <w:color w:val="auto"/>
        </w:rPr>
      </w:pPr>
      <w:r>
        <w:rPr>
          <w:rFonts w:ascii="Arial" w:cs="Arial" w:eastAsia="Arial" w:hAnsi="Arial"/>
          <w:sz w:val="22"/>
          <w:szCs w:val="22"/>
          <w:b w:val="1"/>
          <w:bCs w:val="1"/>
          <w:color w:val="auto"/>
        </w:rPr>
        <w:t>Valuation and Qualifying Accounts and Reserves</w:t>
      </w:r>
    </w:p>
    <w:p>
      <w:pPr>
        <w:spacing w:after="0" w:line="34"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(Amounts in millions)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720" w:type="dxa"/>
            <w:vAlign w:val="bottom"/>
            <w:vMerge w:val="restart"/>
          </w:tcPr>
          <w:p>
            <w:pPr>
              <w:jc w:val="right"/>
              <w:ind w:right="236"/>
              <w:spacing w:after="0"/>
              <w:rPr>
                <w:sz w:val="20"/>
                <w:szCs w:val="20"/>
                <w:color w:val="auto"/>
              </w:rPr>
            </w:pPr>
            <w:r>
              <w:rPr>
                <w:rFonts w:ascii="Arial" w:cs="Arial" w:eastAsia="Arial" w:hAnsi="Arial"/>
                <w:sz w:val="20"/>
                <w:szCs w:val="20"/>
                <w:b w:val="1"/>
                <w:bCs w:val="1"/>
                <w:color w:val="auto"/>
              </w:rPr>
              <w:t>Balance at</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Years ended May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7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720" w:type="dxa"/>
            <w:vAlign w:val="bottom"/>
          </w:tcPr>
          <w:p>
            <w:pPr>
              <w:jc w:val="right"/>
              <w:ind w:right="236"/>
              <w:spacing w:after="0" w:line="222" w:lineRule="exact"/>
              <w:rPr>
                <w:sz w:val="20"/>
                <w:szCs w:val="20"/>
                <w:color w:val="auto"/>
              </w:rPr>
            </w:pPr>
            <w:r>
              <w:rPr>
                <w:rFonts w:ascii="Arial" w:cs="Arial" w:eastAsia="Arial" w:hAnsi="Arial"/>
                <w:sz w:val="20"/>
                <w:szCs w:val="20"/>
                <w:b w:val="1"/>
                <w:bCs w:val="1"/>
                <w:color w:val="auto"/>
              </w:rPr>
              <w:t>Beginning</w:t>
            </w:r>
          </w:p>
        </w:tc>
        <w:tc>
          <w:tcPr>
            <w:tcW w:w="1680" w:type="dxa"/>
            <w:vAlign w:val="bottom"/>
          </w:tcPr>
          <w:p>
            <w:pPr>
              <w:jc w:val="right"/>
              <w:ind w:right="418"/>
              <w:spacing w:after="0" w:line="222" w:lineRule="exact"/>
              <w:rPr>
                <w:sz w:val="20"/>
                <w:szCs w:val="20"/>
                <w:color w:val="auto"/>
              </w:rPr>
            </w:pPr>
            <w:r>
              <w:rPr>
                <w:rFonts w:ascii="Arial" w:cs="Arial" w:eastAsia="Arial" w:hAnsi="Arial"/>
                <w:sz w:val="20"/>
                <w:szCs w:val="20"/>
                <w:b w:val="1"/>
                <w:bCs w:val="1"/>
                <w:color w:val="auto"/>
              </w:rPr>
              <w:t>Charged</w:t>
            </w:r>
          </w:p>
        </w:tc>
        <w:tc>
          <w:tcPr>
            <w:tcW w:w="1700" w:type="dxa"/>
            <w:vAlign w:val="bottom"/>
          </w:tcPr>
          <w:p>
            <w:pPr>
              <w:jc w:val="right"/>
              <w:ind w:right="358"/>
              <w:spacing w:after="0" w:line="222" w:lineRule="exact"/>
              <w:rPr>
                <w:sz w:val="20"/>
                <w:szCs w:val="20"/>
                <w:color w:val="auto"/>
              </w:rPr>
            </w:pPr>
            <w:r>
              <w:rPr>
                <w:rFonts w:ascii="Arial" w:cs="Arial" w:eastAsia="Arial" w:hAnsi="Arial"/>
                <w:sz w:val="20"/>
                <w:szCs w:val="20"/>
                <w:b w:val="1"/>
                <w:bCs w:val="1"/>
                <w:color w:val="auto"/>
              </w:rPr>
              <w:t>Write-Offs</w:t>
            </w:r>
          </w:p>
        </w:tc>
        <w:tc>
          <w:tcPr>
            <w:tcW w:w="1740" w:type="dxa"/>
            <w:vAlign w:val="bottom"/>
            <w:gridSpan w:val="2"/>
          </w:tcPr>
          <w:p>
            <w:pPr>
              <w:jc w:val="right"/>
              <w:ind w:right="120"/>
              <w:spacing w:after="0" w:line="222" w:lineRule="exact"/>
              <w:rPr>
                <w:sz w:val="20"/>
                <w:szCs w:val="20"/>
                <w:color w:val="auto"/>
              </w:rPr>
            </w:pPr>
            <w:r>
              <w:rPr>
                <w:rFonts w:ascii="Arial" w:cs="Arial" w:eastAsia="Arial" w:hAnsi="Arial"/>
                <w:sz w:val="20"/>
                <w:szCs w:val="20"/>
                <w:b w:val="1"/>
                <w:bCs w:val="1"/>
                <w:color w:val="auto"/>
              </w:rPr>
              <w:t>Balance at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720" w:type="dxa"/>
            <w:vAlign w:val="bottom"/>
          </w:tcPr>
          <w:p>
            <w:pPr>
              <w:jc w:val="right"/>
              <w:ind w:right="236"/>
              <w:spacing w:after="0"/>
              <w:rPr>
                <w:sz w:val="20"/>
                <w:szCs w:val="20"/>
                <w:color w:val="auto"/>
              </w:rPr>
            </w:pPr>
            <w:r>
              <w:rPr>
                <w:rFonts w:ascii="Arial" w:cs="Arial" w:eastAsia="Arial" w:hAnsi="Arial"/>
                <w:sz w:val="20"/>
                <w:szCs w:val="20"/>
                <w:b w:val="1"/>
                <w:bCs w:val="1"/>
                <w:color w:val="auto"/>
              </w:rPr>
              <w:t>Of Year</w:t>
            </w:r>
          </w:p>
        </w:tc>
        <w:tc>
          <w:tcPr>
            <w:tcW w:w="1680" w:type="dxa"/>
            <w:vAlign w:val="bottom"/>
          </w:tcPr>
          <w:p>
            <w:pPr>
              <w:jc w:val="right"/>
              <w:ind w:right="418"/>
              <w:spacing w:after="0"/>
              <w:rPr>
                <w:sz w:val="20"/>
                <w:szCs w:val="20"/>
                <w:color w:val="auto"/>
              </w:rPr>
            </w:pPr>
            <w:r>
              <w:rPr>
                <w:rFonts w:ascii="Arial" w:cs="Arial" w:eastAsia="Arial" w:hAnsi="Arial"/>
                <w:sz w:val="20"/>
                <w:szCs w:val="20"/>
                <w:b w:val="1"/>
                <w:bCs w:val="1"/>
                <w:color w:val="auto"/>
              </w:rPr>
              <w:t>to Income</w:t>
            </w:r>
          </w:p>
        </w:tc>
        <w:tc>
          <w:tcPr>
            <w:tcW w:w="1700" w:type="dxa"/>
            <w:vAlign w:val="bottom"/>
          </w:tcPr>
          <w:p>
            <w:pPr>
              <w:jc w:val="right"/>
              <w:ind w:right="358"/>
              <w:spacing w:after="0"/>
              <w:rPr>
                <w:sz w:val="20"/>
                <w:szCs w:val="20"/>
                <w:color w:val="auto"/>
              </w:rPr>
            </w:pPr>
            <w:r>
              <w:rPr>
                <w:rFonts w:ascii="Arial" w:cs="Arial" w:eastAsia="Arial" w:hAnsi="Arial"/>
                <w:sz w:val="20"/>
                <w:szCs w:val="20"/>
                <w:b w:val="1"/>
                <w:bCs w:val="1"/>
                <w:color w:val="auto"/>
              </w:rPr>
              <w:t>and Other</w:t>
            </w:r>
          </w:p>
        </w:tc>
        <w:tc>
          <w:tcPr>
            <w:tcW w:w="17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End of Year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580" w:type="dxa"/>
            <w:vAlign w:val="bottom"/>
            <w:tcBorders>
              <w:bottom w:val="single" w:sz="8" w:color="808080"/>
            </w:tcBorders>
          </w:tcPr>
          <w:p>
            <w:pPr>
              <w:spacing w:after="0"/>
              <w:rPr>
                <w:sz w:val="7"/>
                <w:szCs w:val="7"/>
                <w:color w:val="auto"/>
              </w:rPr>
            </w:pPr>
          </w:p>
        </w:tc>
        <w:tc>
          <w:tcPr>
            <w:tcW w:w="272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600" w:type="dxa"/>
            <w:vAlign w:val="bottom"/>
            <w:gridSpan w:val="2"/>
          </w:tcPr>
          <w:p>
            <w:pPr>
              <w:spacing w:after="0"/>
              <w:rPr>
                <w:sz w:val="20"/>
                <w:szCs w:val="20"/>
                <w:color w:val="auto"/>
              </w:rPr>
            </w:pPr>
            <w:r>
              <w:rPr>
                <w:rFonts w:ascii="Arial" w:cs="Arial" w:eastAsia="Arial" w:hAnsi="Arial"/>
                <w:sz w:val="20"/>
                <w:szCs w:val="20"/>
                <w:b w:val="1"/>
                <w:bCs w:val="1"/>
                <w:color w:val="auto"/>
              </w:rPr>
              <w:t>2003</w:t>
            </w:r>
          </w:p>
        </w:tc>
        <w:tc>
          <w:tcPr>
            <w:tcW w:w="2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600" w:type="dxa"/>
            <w:vAlign w:val="bottom"/>
            <w:tcBorders>
              <w:bottom w:val="single" w:sz="8" w:color="808080"/>
            </w:tcBorders>
            <w:gridSpan w:val="2"/>
          </w:tcPr>
          <w:p>
            <w:pPr>
              <w:spacing w:after="0"/>
              <w:rPr>
                <w:sz w:val="7"/>
                <w:szCs w:val="7"/>
                <w:color w:val="auto"/>
              </w:rPr>
            </w:pPr>
          </w:p>
        </w:tc>
        <w:tc>
          <w:tcPr>
            <w:tcW w:w="272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5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580" w:type="dxa"/>
            <w:vAlign w:val="bottom"/>
            <w:shd w:val="clear" w:color="auto" w:fill="DDDDDD"/>
          </w:tcPr>
          <w:p>
            <w:pPr>
              <w:spacing w:after="0"/>
              <w:rPr>
                <w:sz w:val="20"/>
                <w:szCs w:val="20"/>
                <w:color w:val="auto"/>
              </w:rPr>
            </w:pPr>
            <w:r>
              <w:rPr>
                <w:rFonts w:ascii="Arial" w:cs="Arial" w:eastAsia="Arial" w:hAnsi="Arial"/>
                <w:sz w:val="16"/>
                <w:szCs w:val="16"/>
                <w:color w:val="auto"/>
              </w:rPr>
              <w:t>Allowance for doubtful accounts</w:t>
            </w:r>
          </w:p>
        </w:tc>
        <w:tc>
          <w:tcPr>
            <w:tcW w:w="2720" w:type="dxa"/>
            <w:vAlign w:val="bottom"/>
            <w:shd w:val="clear" w:color="auto" w:fill="DDDDDD"/>
          </w:tcPr>
          <w:p>
            <w:pPr>
              <w:jc w:val="right"/>
              <w:ind w:right="236"/>
              <w:spacing w:after="0"/>
              <w:rPr>
                <w:sz w:val="20"/>
                <w:szCs w:val="20"/>
                <w:color w:val="auto"/>
              </w:rPr>
            </w:pPr>
            <w:r>
              <w:rPr>
                <w:rFonts w:ascii="Arial" w:cs="Arial" w:eastAsia="Arial" w:hAnsi="Arial"/>
                <w:sz w:val="16"/>
                <w:szCs w:val="16"/>
                <w:color w:val="auto"/>
              </w:rPr>
              <w:t>$ 62.6</w:t>
            </w:r>
          </w:p>
        </w:tc>
        <w:tc>
          <w:tcPr>
            <w:tcW w:w="1680" w:type="dxa"/>
            <w:vAlign w:val="bottom"/>
            <w:shd w:val="clear" w:color="auto" w:fill="DDDDDD"/>
          </w:tcPr>
          <w:p>
            <w:pPr>
              <w:jc w:val="right"/>
              <w:ind w:right="418"/>
              <w:spacing w:after="0"/>
              <w:rPr>
                <w:sz w:val="20"/>
                <w:szCs w:val="20"/>
                <w:color w:val="auto"/>
              </w:rPr>
            </w:pPr>
            <w:r>
              <w:rPr>
                <w:rFonts w:ascii="Arial" w:cs="Arial" w:eastAsia="Arial" w:hAnsi="Arial"/>
                <w:sz w:val="16"/>
                <w:szCs w:val="16"/>
                <w:color w:val="auto"/>
              </w:rPr>
              <w:t>$ 72.3</w:t>
            </w:r>
          </w:p>
        </w:tc>
        <w:tc>
          <w:tcPr>
            <w:tcW w:w="1700" w:type="dxa"/>
            <w:vAlign w:val="bottom"/>
            <w:shd w:val="clear" w:color="auto" w:fill="DDDDDD"/>
          </w:tcPr>
          <w:p>
            <w:pPr>
              <w:jc w:val="right"/>
              <w:ind w:right="358"/>
              <w:spacing w:after="0"/>
              <w:rPr>
                <w:sz w:val="20"/>
                <w:szCs w:val="20"/>
                <w:color w:val="auto"/>
              </w:rPr>
            </w:pPr>
            <w:r>
              <w:rPr>
                <w:rFonts w:ascii="Arial" w:cs="Arial" w:eastAsia="Arial" w:hAnsi="Arial"/>
                <w:sz w:val="16"/>
                <w:szCs w:val="16"/>
                <w:color w:val="auto"/>
              </w:rPr>
              <w:t>$ 74.4</w:t>
            </w:r>
          </w:p>
        </w:tc>
        <w:tc>
          <w:tcPr>
            <w:tcW w:w="172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$ 60.5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Reserve for returns</w:t>
            </w:r>
          </w:p>
        </w:tc>
        <w:tc>
          <w:tcPr>
            <w:tcW w:w="2720" w:type="dxa"/>
            <w:vAlign w:val="bottom"/>
          </w:tcPr>
          <w:p>
            <w:pPr>
              <w:jc w:val="right"/>
              <w:ind w:right="236"/>
              <w:spacing w:after="0"/>
              <w:rPr>
                <w:sz w:val="20"/>
                <w:szCs w:val="20"/>
                <w:color w:val="auto"/>
              </w:rPr>
            </w:pPr>
            <w:r>
              <w:rPr>
                <w:rFonts w:ascii="Arial" w:cs="Arial" w:eastAsia="Arial" w:hAnsi="Arial"/>
                <w:sz w:val="16"/>
                <w:szCs w:val="16"/>
                <w:color w:val="auto"/>
              </w:rPr>
              <w:t>61.3</w:t>
            </w:r>
          </w:p>
        </w:tc>
        <w:tc>
          <w:tcPr>
            <w:tcW w:w="1680" w:type="dxa"/>
            <w:vAlign w:val="bottom"/>
          </w:tcPr>
          <w:p>
            <w:pPr>
              <w:jc w:val="right"/>
              <w:ind w:right="418"/>
              <w:spacing w:after="0"/>
              <w:rPr>
                <w:sz w:val="20"/>
                <w:szCs w:val="20"/>
                <w:color w:val="auto"/>
              </w:rPr>
            </w:pPr>
            <w:r>
              <w:rPr>
                <w:rFonts w:ascii="Arial" w:cs="Arial" w:eastAsia="Arial" w:hAnsi="Arial"/>
                <w:sz w:val="16"/>
                <w:szCs w:val="16"/>
                <w:color w:val="auto"/>
              </w:rPr>
              <w:t>164.1</w:t>
            </w:r>
          </w:p>
        </w:tc>
        <w:tc>
          <w:tcPr>
            <w:tcW w:w="1700" w:type="dxa"/>
            <w:vAlign w:val="bottom"/>
          </w:tcPr>
          <w:p>
            <w:pPr>
              <w:jc w:val="right"/>
              <w:ind w:right="218"/>
              <w:spacing w:after="0" w:line="221" w:lineRule="exact"/>
              <w:rPr>
                <w:sz w:val="20"/>
                <w:szCs w:val="20"/>
                <w:color w:val="auto"/>
              </w:rPr>
            </w:pPr>
            <w:r>
              <w:rPr>
                <w:rFonts w:ascii="Arial" w:cs="Arial" w:eastAsia="Arial" w:hAnsi="Arial"/>
                <w:sz w:val="15"/>
                <w:szCs w:val="15"/>
                <w:color w:val="auto"/>
              </w:rPr>
              <w:t>167.2</w:t>
            </w:r>
            <w:r>
              <w:rPr>
                <w:rFonts w:ascii="Arial" w:cs="Arial" w:eastAsia="Arial" w:hAnsi="Arial"/>
                <w:sz w:val="25"/>
                <w:szCs w:val="25"/>
                <w:color w:val="auto"/>
                <w:vertAlign w:val="superscript"/>
              </w:rPr>
              <w:t>(1)</w:t>
            </w:r>
          </w:p>
        </w:tc>
        <w:tc>
          <w:tcPr>
            <w:tcW w:w="1720" w:type="dxa"/>
            <w:vAlign w:val="bottom"/>
          </w:tcPr>
          <w:p>
            <w:pPr>
              <w:jc w:val="right"/>
              <w:ind w:right="18"/>
              <w:spacing w:after="0"/>
              <w:rPr>
                <w:sz w:val="20"/>
                <w:szCs w:val="20"/>
                <w:color w:val="auto"/>
              </w:rPr>
            </w:pPr>
            <w:r>
              <w:rPr>
                <w:rFonts w:ascii="Arial" w:cs="Arial" w:eastAsia="Arial" w:hAnsi="Arial"/>
                <w:sz w:val="16"/>
                <w:szCs w:val="16"/>
                <w:color w:val="auto"/>
              </w:rPr>
              <w:t>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shd w:val="clear" w:color="auto" w:fill="DDDDDD"/>
          </w:tcPr>
          <w:p>
            <w:pPr>
              <w:spacing w:after="0"/>
              <w:rPr>
                <w:sz w:val="20"/>
                <w:szCs w:val="20"/>
                <w:color w:val="auto"/>
              </w:rPr>
            </w:pPr>
            <w:r>
              <w:rPr>
                <w:rFonts w:ascii="Arial" w:cs="Arial" w:eastAsia="Arial" w:hAnsi="Arial"/>
                <w:sz w:val="16"/>
                <w:szCs w:val="16"/>
                <w:color w:val="auto"/>
              </w:rPr>
              <w:t>Reserve for obsolescence</w:t>
            </w:r>
          </w:p>
        </w:tc>
        <w:tc>
          <w:tcPr>
            <w:tcW w:w="2720" w:type="dxa"/>
            <w:vAlign w:val="bottom"/>
            <w:shd w:val="clear" w:color="auto" w:fill="DDDDDD"/>
          </w:tcPr>
          <w:p>
            <w:pPr>
              <w:jc w:val="right"/>
              <w:ind w:right="236"/>
              <w:spacing w:after="0"/>
              <w:rPr>
                <w:sz w:val="20"/>
                <w:szCs w:val="20"/>
                <w:color w:val="auto"/>
              </w:rPr>
            </w:pPr>
            <w:r>
              <w:rPr>
                <w:rFonts w:ascii="Arial" w:cs="Arial" w:eastAsia="Arial" w:hAnsi="Arial"/>
                <w:sz w:val="16"/>
                <w:szCs w:val="16"/>
                <w:color w:val="auto"/>
              </w:rPr>
              <w:t>55.1</w:t>
            </w:r>
          </w:p>
        </w:tc>
        <w:tc>
          <w:tcPr>
            <w:tcW w:w="1680" w:type="dxa"/>
            <w:vAlign w:val="bottom"/>
            <w:shd w:val="clear" w:color="auto" w:fill="DDDDDD"/>
          </w:tcPr>
          <w:p>
            <w:pPr>
              <w:jc w:val="right"/>
              <w:ind w:right="418"/>
              <w:spacing w:after="0"/>
              <w:rPr>
                <w:sz w:val="20"/>
                <w:szCs w:val="20"/>
                <w:color w:val="auto"/>
              </w:rPr>
            </w:pPr>
            <w:r>
              <w:rPr>
                <w:rFonts w:ascii="Arial" w:cs="Arial" w:eastAsia="Arial" w:hAnsi="Arial"/>
                <w:sz w:val="16"/>
                <w:szCs w:val="16"/>
                <w:color w:val="auto"/>
              </w:rPr>
              <w:t>26.7</w:t>
            </w:r>
          </w:p>
        </w:tc>
        <w:tc>
          <w:tcPr>
            <w:tcW w:w="1700" w:type="dxa"/>
            <w:vAlign w:val="bottom"/>
            <w:shd w:val="clear" w:color="auto" w:fill="DDDDDD"/>
          </w:tcPr>
          <w:p>
            <w:pPr>
              <w:jc w:val="right"/>
              <w:ind w:right="358"/>
              <w:spacing w:after="0"/>
              <w:rPr>
                <w:sz w:val="20"/>
                <w:szCs w:val="20"/>
                <w:color w:val="auto"/>
              </w:rPr>
            </w:pPr>
            <w:r>
              <w:rPr>
                <w:rFonts w:ascii="Arial" w:cs="Arial" w:eastAsia="Arial" w:hAnsi="Arial"/>
                <w:sz w:val="16"/>
                <w:szCs w:val="16"/>
                <w:color w:val="auto"/>
              </w:rPr>
              <w:t>27.4</w:t>
            </w:r>
          </w:p>
        </w:tc>
        <w:tc>
          <w:tcPr>
            <w:tcW w:w="172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Reserve for royalty advances</w:t>
            </w:r>
          </w:p>
        </w:tc>
        <w:tc>
          <w:tcPr>
            <w:tcW w:w="2720" w:type="dxa"/>
            <w:vAlign w:val="bottom"/>
          </w:tcPr>
          <w:p>
            <w:pPr>
              <w:jc w:val="right"/>
              <w:ind w:right="236"/>
              <w:spacing w:after="0"/>
              <w:rPr>
                <w:sz w:val="20"/>
                <w:szCs w:val="20"/>
                <w:color w:val="auto"/>
              </w:rPr>
            </w:pPr>
            <w:r>
              <w:rPr>
                <w:rFonts w:ascii="Arial" w:cs="Arial" w:eastAsia="Arial" w:hAnsi="Arial"/>
                <w:sz w:val="16"/>
                <w:szCs w:val="16"/>
                <w:color w:val="auto"/>
              </w:rPr>
              <w:t>44.6</w:t>
            </w:r>
          </w:p>
        </w:tc>
        <w:tc>
          <w:tcPr>
            <w:tcW w:w="1680" w:type="dxa"/>
            <w:vAlign w:val="bottom"/>
          </w:tcPr>
          <w:p>
            <w:pPr>
              <w:jc w:val="right"/>
              <w:ind w:right="418"/>
              <w:spacing w:after="0"/>
              <w:rPr>
                <w:sz w:val="20"/>
                <w:szCs w:val="20"/>
                <w:color w:val="auto"/>
              </w:rPr>
            </w:pPr>
            <w:r>
              <w:rPr>
                <w:rFonts w:ascii="Arial" w:cs="Arial" w:eastAsia="Arial" w:hAnsi="Arial"/>
                <w:sz w:val="16"/>
                <w:szCs w:val="16"/>
                <w:color w:val="auto"/>
              </w:rPr>
              <w:t>5.0</w:t>
            </w:r>
          </w:p>
        </w:tc>
        <w:tc>
          <w:tcPr>
            <w:tcW w:w="1700" w:type="dxa"/>
            <w:vAlign w:val="bottom"/>
          </w:tcPr>
          <w:p>
            <w:pPr>
              <w:jc w:val="right"/>
              <w:ind w:right="358"/>
              <w:spacing w:after="0"/>
              <w:rPr>
                <w:sz w:val="20"/>
                <w:szCs w:val="20"/>
                <w:color w:val="auto"/>
              </w:rPr>
            </w:pPr>
            <w:r>
              <w:rPr>
                <w:rFonts w:ascii="Arial" w:cs="Arial" w:eastAsia="Arial" w:hAnsi="Arial"/>
                <w:sz w:val="16"/>
                <w:szCs w:val="16"/>
                <w:color w:val="auto"/>
              </w:rPr>
              <w:t>3.8</w:t>
            </w:r>
          </w:p>
        </w:tc>
        <w:tc>
          <w:tcPr>
            <w:tcW w:w="1720" w:type="dxa"/>
            <w:vAlign w:val="bottom"/>
          </w:tcPr>
          <w:p>
            <w:pPr>
              <w:jc w:val="right"/>
              <w:ind w:right="18"/>
              <w:spacing w:after="0"/>
              <w:rPr>
                <w:sz w:val="20"/>
                <w:szCs w:val="20"/>
                <w:color w:val="auto"/>
              </w:rPr>
            </w:pPr>
            <w:r>
              <w:rPr>
                <w:rFonts w:ascii="Arial" w:cs="Arial" w:eastAsia="Arial" w:hAnsi="Arial"/>
                <w:sz w:val="16"/>
                <w:szCs w:val="16"/>
                <w:color w:val="auto"/>
              </w:rPr>
              <w:t>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808080"/>
            </w:tcBorders>
            <w:gridSpan w:val="2"/>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3600" w:type="dxa"/>
            <w:vAlign w:val="bottom"/>
            <w:gridSpan w:val="2"/>
          </w:tcPr>
          <w:p>
            <w:pPr>
              <w:spacing w:after="0"/>
              <w:rPr>
                <w:sz w:val="20"/>
                <w:szCs w:val="20"/>
                <w:color w:val="auto"/>
              </w:rPr>
            </w:pPr>
            <w:r>
              <w:rPr>
                <w:rFonts w:ascii="Arial" w:cs="Arial" w:eastAsia="Arial" w:hAnsi="Arial"/>
                <w:sz w:val="20"/>
                <w:szCs w:val="20"/>
                <w:b w:val="1"/>
                <w:bCs w:val="1"/>
                <w:color w:val="auto"/>
              </w:rPr>
              <w:t>2002</w:t>
            </w:r>
          </w:p>
        </w:tc>
        <w:tc>
          <w:tcPr>
            <w:tcW w:w="2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600" w:type="dxa"/>
            <w:vAlign w:val="bottom"/>
            <w:tcBorders>
              <w:bottom w:val="single" w:sz="8" w:color="808080"/>
            </w:tcBorders>
            <w:gridSpan w:val="2"/>
          </w:tcPr>
          <w:p>
            <w:pPr>
              <w:spacing w:after="0"/>
              <w:rPr>
                <w:sz w:val="7"/>
                <w:szCs w:val="7"/>
                <w:color w:val="auto"/>
              </w:rPr>
            </w:pPr>
          </w:p>
        </w:tc>
        <w:tc>
          <w:tcPr>
            <w:tcW w:w="272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600" w:type="dxa"/>
            <w:vAlign w:val="bottom"/>
            <w:gridSpan w:val="2"/>
          </w:tcPr>
          <w:p>
            <w:pPr>
              <w:spacing w:after="0"/>
              <w:rPr>
                <w:sz w:val="20"/>
                <w:szCs w:val="20"/>
                <w:color w:val="auto"/>
              </w:rPr>
            </w:pPr>
            <w:r>
              <w:rPr>
                <w:rFonts w:ascii="Arial" w:cs="Arial" w:eastAsia="Arial" w:hAnsi="Arial"/>
                <w:sz w:val="16"/>
                <w:szCs w:val="16"/>
                <w:color w:val="auto"/>
              </w:rPr>
              <w:t>Allowance for doubtful accounts</w:t>
            </w:r>
          </w:p>
        </w:tc>
        <w:tc>
          <w:tcPr>
            <w:tcW w:w="2720" w:type="dxa"/>
            <w:vAlign w:val="bottom"/>
          </w:tcPr>
          <w:p>
            <w:pPr>
              <w:jc w:val="right"/>
              <w:ind w:right="236"/>
              <w:spacing w:after="0"/>
              <w:rPr>
                <w:sz w:val="20"/>
                <w:szCs w:val="20"/>
                <w:color w:val="auto"/>
              </w:rPr>
            </w:pPr>
            <w:r>
              <w:rPr>
                <w:rFonts w:ascii="Arial" w:cs="Arial" w:eastAsia="Arial" w:hAnsi="Arial"/>
                <w:sz w:val="16"/>
                <w:szCs w:val="16"/>
                <w:color w:val="auto"/>
              </w:rPr>
              <w:t>$ 70.1</w:t>
            </w:r>
          </w:p>
        </w:tc>
        <w:tc>
          <w:tcPr>
            <w:tcW w:w="1680" w:type="dxa"/>
            <w:vAlign w:val="bottom"/>
          </w:tcPr>
          <w:p>
            <w:pPr>
              <w:jc w:val="right"/>
              <w:ind w:right="418"/>
              <w:spacing w:after="0"/>
              <w:rPr>
                <w:sz w:val="20"/>
                <w:szCs w:val="20"/>
                <w:color w:val="auto"/>
              </w:rPr>
            </w:pPr>
            <w:r>
              <w:rPr>
                <w:rFonts w:ascii="Arial" w:cs="Arial" w:eastAsia="Arial" w:hAnsi="Arial"/>
                <w:sz w:val="16"/>
                <w:szCs w:val="16"/>
                <w:color w:val="auto"/>
              </w:rPr>
              <w:t>$ 68.7</w:t>
            </w:r>
          </w:p>
        </w:tc>
        <w:tc>
          <w:tcPr>
            <w:tcW w:w="1700" w:type="dxa"/>
            <w:vAlign w:val="bottom"/>
          </w:tcPr>
          <w:p>
            <w:pPr>
              <w:jc w:val="right"/>
              <w:ind w:right="358"/>
              <w:spacing w:after="0"/>
              <w:rPr>
                <w:sz w:val="20"/>
                <w:szCs w:val="20"/>
                <w:color w:val="auto"/>
              </w:rPr>
            </w:pPr>
            <w:r>
              <w:rPr>
                <w:rFonts w:ascii="Arial" w:cs="Arial" w:eastAsia="Arial" w:hAnsi="Arial"/>
                <w:sz w:val="16"/>
                <w:szCs w:val="16"/>
                <w:color w:val="auto"/>
              </w:rPr>
              <w:t>$ 76.2</w:t>
            </w:r>
          </w:p>
        </w:tc>
        <w:tc>
          <w:tcPr>
            <w:tcW w:w="1720" w:type="dxa"/>
            <w:vAlign w:val="bottom"/>
          </w:tcPr>
          <w:p>
            <w:pPr>
              <w:jc w:val="right"/>
              <w:ind w:right="18"/>
              <w:spacing w:after="0"/>
              <w:rPr>
                <w:sz w:val="20"/>
                <w:szCs w:val="20"/>
                <w:color w:val="auto"/>
              </w:rPr>
            </w:pPr>
            <w:r>
              <w:rPr>
                <w:rFonts w:ascii="Arial" w:cs="Arial" w:eastAsia="Arial" w:hAnsi="Arial"/>
                <w:sz w:val="16"/>
                <w:szCs w:val="16"/>
                <w:color w:val="auto"/>
              </w:rPr>
              <w:t>$ 62.6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580" w:type="dxa"/>
            <w:vAlign w:val="bottom"/>
            <w:shd w:val="clear" w:color="auto" w:fill="DDDDDD"/>
          </w:tcPr>
          <w:p>
            <w:pPr>
              <w:spacing w:after="0"/>
              <w:rPr>
                <w:sz w:val="20"/>
                <w:szCs w:val="20"/>
                <w:color w:val="auto"/>
              </w:rPr>
            </w:pPr>
            <w:r>
              <w:rPr>
                <w:rFonts w:ascii="Arial" w:cs="Arial" w:eastAsia="Arial" w:hAnsi="Arial"/>
                <w:sz w:val="16"/>
                <w:szCs w:val="16"/>
                <w:color w:val="auto"/>
              </w:rPr>
              <w:t>Reserve for returns</w:t>
            </w:r>
          </w:p>
        </w:tc>
        <w:tc>
          <w:tcPr>
            <w:tcW w:w="2720" w:type="dxa"/>
            <w:vAlign w:val="bottom"/>
            <w:shd w:val="clear" w:color="auto" w:fill="DDDDDD"/>
          </w:tcPr>
          <w:p>
            <w:pPr>
              <w:jc w:val="right"/>
              <w:ind w:right="236"/>
              <w:spacing w:after="0"/>
              <w:rPr>
                <w:sz w:val="20"/>
                <w:szCs w:val="20"/>
                <w:color w:val="auto"/>
              </w:rPr>
            </w:pPr>
            <w:r>
              <w:rPr>
                <w:rFonts w:ascii="Arial" w:cs="Arial" w:eastAsia="Arial" w:hAnsi="Arial"/>
                <w:sz w:val="16"/>
                <w:szCs w:val="16"/>
                <w:color w:val="auto"/>
              </w:rPr>
              <w:t>63.0</w:t>
            </w:r>
          </w:p>
        </w:tc>
        <w:tc>
          <w:tcPr>
            <w:tcW w:w="1680" w:type="dxa"/>
            <w:vAlign w:val="bottom"/>
            <w:shd w:val="clear" w:color="auto" w:fill="DDDDDD"/>
          </w:tcPr>
          <w:p>
            <w:pPr>
              <w:jc w:val="right"/>
              <w:ind w:right="418"/>
              <w:spacing w:after="0"/>
              <w:rPr>
                <w:sz w:val="20"/>
                <w:szCs w:val="20"/>
                <w:color w:val="auto"/>
              </w:rPr>
            </w:pPr>
            <w:r>
              <w:rPr>
                <w:rFonts w:ascii="Arial" w:cs="Arial" w:eastAsia="Arial" w:hAnsi="Arial"/>
                <w:sz w:val="16"/>
                <w:szCs w:val="16"/>
                <w:color w:val="auto"/>
              </w:rPr>
              <w:t>156.8</w:t>
            </w:r>
          </w:p>
        </w:tc>
        <w:tc>
          <w:tcPr>
            <w:tcW w:w="1700" w:type="dxa"/>
            <w:vAlign w:val="bottom"/>
            <w:shd w:val="clear" w:color="auto" w:fill="DDDDDD"/>
          </w:tcPr>
          <w:p>
            <w:pPr>
              <w:jc w:val="right"/>
              <w:ind w:right="218"/>
              <w:spacing w:after="0" w:line="221" w:lineRule="exact"/>
              <w:rPr>
                <w:sz w:val="20"/>
                <w:szCs w:val="20"/>
                <w:color w:val="auto"/>
              </w:rPr>
            </w:pPr>
            <w:r>
              <w:rPr>
                <w:rFonts w:ascii="Arial" w:cs="Arial" w:eastAsia="Arial" w:hAnsi="Arial"/>
                <w:sz w:val="15"/>
                <w:szCs w:val="15"/>
                <w:color w:val="auto"/>
              </w:rPr>
              <w:t>158.5</w:t>
            </w:r>
            <w:r>
              <w:rPr>
                <w:rFonts w:ascii="Arial" w:cs="Arial" w:eastAsia="Arial" w:hAnsi="Arial"/>
                <w:sz w:val="25"/>
                <w:szCs w:val="25"/>
                <w:color w:val="auto"/>
                <w:vertAlign w:val="superscript"/>
              </w:rPr>
              <w:t>(1)</w:t>
            </w:r>
          </w:p>
        </w:tc>
        <w:tc>
          <w:tcPr>
            <w:tcW w:w="172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Reserve for obsolescence</w:t>
            </w:r>
          </w:p>
        </w:tc>
        <w:tc>
          <w:tcPr>
            <w:tcW w:w="2720" w:type="dxa"/>
            <w:vAlign w:val="bottom"/>
          </w:tcPr>
          <w:p>
            <w:pPr>
              <w:jc w:val="right"/>
              <w:ind w:right="236"/>
              <w:spacing w:after="0"/>
              <w:rPr>
                <w:sz w:val="20"/>
                <w:szCs w:val="20"/>
                <w:color w:val="auto"/>
              </w:rPr>
            </w:pPr>
            <w:r>
              <w:rPr>
                <w:rFonts w:ascii="Arial" w:cs="Arial" w:eastAsia="Arial" w:hAnsi="Arial"/>
                <w:sz w:val="16"/>
                <w:szCs w:val="16"/>
                <w:color w:val="auto"/>
              </w:rPr>
              <w:t>64.7</w:t>
            </w:r>
          </w:p>
        </w:tc>
        <w:tc>
          <w:tcPr>
            <w:tcW w:w="1680" w:type="dxa"/>
            <w:vAlign w:val="bottom"/>
          </w:tcPr>
          <w:p>
            <w:pPr>
              <w:jc w:val="right"/>
              <w:ind w:right="418"/>
              <w:spacing w:after="0"/>
              <w:rPr>
                <w:sz w:val="20"/>
                <w:szCs w:val="20"/>
                <w:color w:val="auto"/>
              </w:rPr>
            </w:pPr>
            <w:r>
              <w:rPr>
                <w:rFonts w:ascii="Arial" w:cs="Arial" w:eastAsia="Arial" w:hAnsi="Arial"/>
                <w:sz w:val="16"/>
                <w:szCs w:val="16"/>
                <w:color w:val="auto"/>
              </w:rPr>
              <w:t>22.1</w:t>
            </w:r>
          </w:p>
        </w:tc>
        <w:tc>
          <w:tcPr>
            <w:tcW w:w="1700" w:type="dxa"/>
            <w:vAlign w:val="bottom"/>
          </w:tcPr>
          <w:p>
            <w:pPr>
              <w:jc w:val="right"/>
              <w:ind w:right="358"/>
              <w:spacing w:after="0"/>
              <w:rPr>
                <w:sz w:val="20"/>
                <w:szCs w:val="20"/>
                <w:color w:val="auto"/>
              </w:rPr>
            </w:pPr>
            <w:r>
              <w:rPr>
                <w:rFonts w:ascii="Arial" w:cs="Arial" w:eastAsia="Arial" w:hAnsi="Arial"/>
                <w:sz w:val="16"/>
                <w:szCs w:val="16"/>
                <w:color w:val="auto"/>
              </w:rPr>
              <w:t>31.7</w:t>
            </w:r>
          </w:p>
        </w:tc>
        <w:tc>
          <w:tcPr>
            <w:tcW w:w="1720" w:type="dxa"/>
            <w:vAlign w:val="bottom"/>
          </w:tcPr>
          <w:p>
            <w:pPr>
              <w:jc w:val="right"/>
              <w:ind w:right="18"/>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DDDDDD"/>
          </w:tcPr>
          <w:p>
            <w:pPr>
              <w:spacing w:after="0"/>
              <w:rPr>
                <w:sz w:val="20"/>
                <w:szCs w:val="20"/>
                <w:color w:val="auto"/>
              </w:rPr>
            </w:pPr>
            <w:r>
              <w:rPr>
                <w:rFonts w:ascii="Arial" w:cs="Arial" w:eastAsia="Arial" w:hAnsi="Arial"/>
                <w:sz w:val="16"/>
                <w:szCs w:val="16"/>
                <w:color w:val="auto"/>
              </w:rPr>
              <w:t>Reserve for royalty advances</w:t>
            </w:r>
          </w:p>
        </w:tc>
        <w:tc>
          <w:tcPr>
            <w:tcW w:w="2720" w:type="dxa"/>
            <w:vAlign w:val="bottom"/>
            <w:shd w:val="clear" w:color="auto" w:fill="DDDDDD"/>
          </w:tcPr>
          <w:p>
            <w:pPr>
              <w:jc w:val="right"/>
              <w:ind w:right="236"/>
              <w:spacing w:after="0"/>
              <w:rPr>
                <w:sz w:val="20"/>
                <w:szCs w:val="20"/>
                <w:color w:val="auto"/>
              </w:rPr>
            </w:pPr>
            <w:r>
              <w:rPr>
                <w:rFonts w:ascii="Arial" w:cs="Arial" w:eastAsia="Arial" w:hAnsi="Arial"/>
                <w:sz w:val="16"/>
                <w:szCs w:val="16"/>
                <w:color w:val="auto"/>
              </w:rPr>
              <w:t>43.0</w:t>
            </w:r>
          </w:p>
        </w:tc>
        <w:tc>
          <w:tcPr>
            <w:tcW w:w="1680" w:type="dxa"/>
            <w:vAlign w:val="bottom"/>
            <w:shd w:val="clear" w:color="auto" w:fill="DDDDDD"/>
          </w:tcPr>
          <w:p>
            <w:pPr>
              <w:jc w:val="right"/>
              <w:ind w:right="418"/>
              <w:spacing w:after="0"/>
              <w:rPr>
                <w:sz w:val="20"/>
                <w:szCs w:val="20"/>
                <w:color w:val="auto"/>
              </w:rPr>
            </w:pPr>
            <w:r>
              <w:rPr>
                <w:rFonts w:ascii="Arial" w:cs="Arial" w:eastAsia="Arial" w:hAnsi="Arial"/>
                <w:sz w:val="16"/>
                <w:szCs w:val="16"/>
                <w:color w:val="auto"/>
              </w:rPr>
              <w:t>3.7</w:t>
            </w:r>
          </w:p>
        </w:tc>
        <w:tc>
          <w:tcPr>
            <w:tcW w:w="1700" w:type="dxa"/>
            <w:vAlign w:val="bottom"/>
            <w:shd w:val="clear" w:color="auto" w:fill="DDDDDD"/>
          </w:tcPr>
          <w:p>
            <w:pPr>
              <w:jc w:val="right"/>
              <w:ind w:right="358"/>
              <w:spacing w:after="0"/>
              <w:rPr>
                <w:sz w:val="20"/>
                <w:szCs w:val="20"/>
                <w:color w:val="auto"/>
              </w:rPr>
            </w:pPr>
            <w:r>
              <w:rPr>
                <w:rFonts w:ascii="Arial" w:cs="Arial" w:eastAsia="Arial" w:hAnsi="Arial"/>
                <w:sz w:val="16"/>
                <w:szCs w:val="16"/>
                <w:color w:val="auto"/>
              </w:rPr>
              <w:t>2.1</w:t>
            </w:r>
          </w:p>
        </w:tc>
        <w:tc>
          <w:tcPr>
            <w:tcW w:w="172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44.6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600" w:type="dxa"/>
            <w:vAlign w:val="bottom"/>
            <w:gridSpan w:val="2"/>
          </w:tcPr>
          <w:p>
            <w:pPr>
              <w:spacing w:after="0"/>
              <w:rPr>
                <w:sz w:val="20"/>
                <w:szCs w:val="20"/>
                <w:color w:val="auto"/>
              </w:rPr>
            </w:pPr>
            <w:r>
              <w:rPr>
                <w:rFonts w:ascii="Arial" w:cs="Arial" w:eastAsia="Arial" w:hAnsi="Arial"/>
                <w:sz w:val="20"/>
                <w:szCs w:val="20"/>
                <w:b w:val="1"/>
                <w:bCs w:val="1"/>
                <w:color w:val="auto"/>
              </w:rPr>
              <w:t>2001</w:t>
            </w:r>
          </w:p>
        </w:tc>
        <w:tc>
          <w:tcPr>
            <w:tcW w:w="2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600" w:type="dxa"/>
            <w:vAlign w:val="bottom"/>
            <w:tcBorders>
              <w:bottom w:val="single" w:sz="8" w:color="808080"/>
            </w:tcBorders>
            <w:gridSpan w:val="2"/>
          </w:tcPr>
          <w:p>
            <w:pPr>
              <w:spacing w:after="0"/>
              <w:rPr>
                <w:sz w:val="7"/>
                <w:szCs w:val="7"/>
                <w:color w:val="auto"/>
              </w:rPr>
            </w:pPr>
          </w:p>
        </w:tc>
        <w:tc>
          <w:tcPr>
            <w:tcW w:w="272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5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580" w:type="dxa"/>
            <w:vAlign w:val="bottom"/>
            <w:shd w:val="clear" w:color="auto" w:fill="DDDDDD"/>
          </w:tcPr>
          <w:p>
            <w:pPr>
              <w:spacing w:after="0"/>
              <w:rPr>
                <w:sz w:val="20"/>
                <w:szCs w:val="20"/>
                <w:color w:val="auto"/>
              </w:rPr>
            </w:pPr>
            <w:r>
              <w:rPr>
                <w:rFonts w:ascii="Arial" w:cs="Arial" w:eastAsia="Arial" w:hAnsi="Arial"/>
                <w:sz w:val="16"/>
                <w:szCs w:val="16"/>
                <w:color w:val="auto"/>
              </w:rPr>
              <w:t>Allowance for doubtful accounts</w:t>
            </w:r>
          </w:p>
        </w:tc>
        <w:tc>
          <w:tcPr>
            <w:tcW w:w="2720" w:type="dxa"/>
            <w:vAlign w:val="bottom"/>
            <w:shd w:val="clear" w:color="auto" w:fill="DDDDDD"/>
          </w:tcPr>
          <w:p>
            <w:pPr>
              <w:jc w:val="right"/>
              <w:ind w:right="236"/>
              <w:spacing w:after="0"/>
              <w:rPr>
                <w:sz w:val="20"/>
                <w:szCs w:val="20"/>
                <w:color w:val="auto"/>
              </w:rPr>
            </w:pPr>
            <w:r>
              <w:rPr>
                <w:rFonts w:ascii="Arial" w:cs="Arial" w:eastAsia="Arial" w:hAnsi="Arial"/>
                <w:sz w:val="16"/>
                <w:szCs w:val="16"/>
                <w:color w:val="auto"/>
              </w:rPr>
              <w:t>$ 14.7</w:t>
            </w:r>
          </w:p>
        </w:tc>
        <w:tc>
          <w:tcPr>
            <w:tcW w:w="1680" w:type="dxa"/>
            <w:vAlign w:val="bottom"/>
            <w:shd w:val="clear" w:color="auto" w:fill="DDDDDD"/>
          </w:tcPr>
          <w:p>
            <w:pPr>
              <w:jc w:val="right"/>
              <w:ind w:right="418"/>
              <w:spacing w:after="0"/>
              <w:rPr>
                <w:sz w:val="20"/>
                <w:szCs w:val="20"/>
                <w:color w:val="auto"/>
              </w:rPr>
            </w:pPr>
            <w:r>
              <w:rPr>
                <w:rFonts w:ascii="Arial" w:cs="Arial" w:eastAsia="Arial" w:hAnsi="Arial"/>
                <w:sz w:val="16"/>
                <w:szCs w:val="16"/>
                <w:color w:val="auto"/>
              </w:rPr>
              <w:t>$ 75.5</w:t>
            </w:r>
          </w:p>
        </w:tc>
        <w:tc>
          <w:tcPr>
            <w:tcW w:w="1700" w:type="dxa"/>
            <w:vAlign w:val="bottom"/>
            <w:shd w:val="clear" w:color="auto" w:fill="DDDDDD"/>
          </w:tcPr>
          <w:p>
            <w:pPr>
              <w:jc w:val="right"/>
              <w:ind w:right="358"/>
              <w:spacing w:after="0"/>
              <w:rPr>
                <w:sz w:val="20"/>
                <w:szCs w:val="20"/>
                <w:color w:val="auto"/>
              </w:rPr>
            </w:pPr>
            <w:r>
              <w:rPr>
                <w:rFonts w:ascii="Arial" w:cs="Arial" w:eastAsia="Arial" w:hAnsi="Arial"/>
                <w:sz w:val="16"/>
                <w:szCs w:val="16"/>
                <w:color w:val="auto"/>
              </w:rPr>
              <w:t>$ 20.1</w:t>
            </w:r>
          </w:p>
        </w:tc>
        <w:tc>
          <w:tcPr>
            <w:tcW w:w="172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$ 70.1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Reserve for returns</w:t>
            </w:r>
          </w:p>
        </w:tc>
        <w:tc>
          <w:tcPr>
            <w:tcW w:w="2720" w:type="dxa"/>
            <w:vAlign w:val="bottom"/>
          </w:tcPr>
          <w:p>
            <w:pPr>
              <w:jc w:val="right"/>
              <w:ind w:right="236"/>
              <w:spacing w:after="0"/>
              <w:rPr>
                <w:sz w:val="20"/>
                <w:szCs w:val="20"/>
                <w:color w:val="auto"/>
              </w:rPr>
            </w:pPr>
            <w:r>
              <w:rPr>
                <w:rFonts w:ascii="Arial" w:cs="Arial" w:eastAsia="Arial" w:hAnsi="Arial"/>
                <w:sz w:val="16"/>
                <w:szCs w:val="16"/>
                <w:color w:val="auto"/>
              </w:rPr>
              <w:t>44.1</w:t>
            </w:r>
          </w:p>
        </w:tc>
        <w:tc>
          <w:tcPr>
            <w:tcW w:w="1680" w:type="dxa"/>
            <w:vAlign w:val="bottom"/>
          </w:tcPr>
          <w:p>
            <w:pPr>
              <w:jc w:val="right"/>
              <w:ind w:right="418"/>
              <w:spacing w:after="0"/>
              <w:rPr>
                <w:sz w:val="20"/>
                <w:szCs w:val="20"/>
                <w:color w:val="auto"/>
              </w:rPr>
            </w:pPr>
            <w:r>
              <w:rPr>
                <w:rFonts w:ascii="Arial" w:cs="Arial" w:eastAsia="Arial" w:hAnsi="Arial"/>
                <w:sz w:val="16"/>
                <w:szCs w:val="16"/>
                <w:color w:val="auto"/>
              </w:rPr>
              <w:t>160.4</w:t>
            </w:r>
          </w:p>
        </w:tc>
        <w:tc>
          <w:tcPr>
            <w:tcW w:w="1700" w:type="dxa"/>
            <w:vAlign w:val="bottom"/>
          </w:tcPr>
          <w:p>
            <w:pPr>
              <w:jc w:val="right"/>
              <w:ind w:right="218"/>
              <w:spacing w:after="0" w:line="221" w:lineRule="exact"/>
              <w:rPr>
                <w:sz w:val="20"/>
                <w:szCs w:val="20"/>
                <w:color w:val="auto"/>
              </w:rPr>
            </w:pPr>
            <w:r>
              <w:rPr>
                <w:rFonts w:ascii="Arial" w:cs="Arial" w:eastAsia="Arial" w:hAnsi="Arial"/>
                <w:sz w:val="15"/>
                <w:szCs w:val="15"/>
                <w:color w:val="auto"/>
              </w:rPr>
              <w:t>141.5</w:t>
            </w:r>
            <w:r>
              <w:rPr>
                <w:rFonts w:ascii="Arial" w:cs="Arial" w:eastAsia="Arial" w:hAnsi="Arial"/>
                <w:sz w:val="25"/>
                <w:szCs w:val="25"/>
                <w:color w:val="auto"/>
                <w:vertAlign w:val="superscript"/>
              </w:rPr>
              <w:t>(1)</w:t>
            </w:r>
          </w:p>
        </w:tc>
        <w:tc>
          <w:tcPr>
            <w:tcW w:w="1720" w:type="dxa"/>
            <w:vAlign w:val="bottom"/>
          </w:tcPr>
          <w:p>
            <w:pPr>
              <w:jc w:val="right"/>
              <w:ind w:right="18"/>
              <w:spacing w:after="0"/>
              <w:rPr>
                <w:sz w:val="20"/>
                <w:szCs w:val="20"/>
                <w:color w:val="auto"/>
              </w:rPr>
            </w:pPr>
            <w:r>
              <w:rPr>
                <w:rFonts w:ascii="Arial" w:cs="Arial" w:eastAsia="Arial" w:hAnsi="Arial"/>
                <w:sz w:val="16"/>
                <w:szCs w:val="16"/>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shd w:val="clear" w:color="auto" w:fill="DDDDDD"/>
          </w:tcPr>
          <w:p>
            <w:pPr>
              <w:spacing w:after="0"/>
              <w:rPr>
                <w:sz w:val="20"/>
                <w:szCs w:val="20"/>
                <w:color w:val="auto"/>
              </w:rPr>
            </w:pPr>
            <w:r>
              <w:rPr>
                <w:rFonts w:ascii="Arial" w:cs="Arial" w:eastAsia="Arial" w:hAnsi="Arial"/>
                <w:sz w:val="16"/>
                <w:szCs w:val="16"/>
                <w:color w:val="auto"/>
              </w:rPr>
              <w:t>Reserve for obsolescence</w:t>
            </w:r>
          </w:p>
        </w:tc>
        <w:tc>
          <w:tcPr>
            <w:tcW w:w="2720" w:type="dxa"/>
            <w:vAlign w:val="bottom"/>
            <w:shd w:val="clear" w:color="auto" w:fill="DDDDDD"/>
          </w:tcPr>
          <w:p>
            <w:pPr>
              <w:jc w:val="right"/>
              <w:ind w:right="236"/>
              <w:spacing w:after="0"/>
              <w:rPr>
                <w:sz w:val="20"/>
                <w:szCs w:val="20"/>
                <w:color w:val="auto"/>
              </w:rPr>
            </w:pPr>
            <w:r>
              <w:rPr>
                <w:rFonts w:ascii="Arial" w:cs="Arial" w:eastAsia="Arial" w:hAnsi="Arial"/>
                <w:sz w:val="16"/>
                <w:szCs w:val="16"/>
                <w:color w:val="auto"/>
              </w:rPr>
              <w:t>41.8</w:t>
            </w:r>
          </w:p>
        </w:tc>
        <w:tc>
          <w:tcPr>
            <w:tcW w:w="1680" w:type="dxa"/>
            <w:vAlign w:val="bottom"/>
            <w:shd w:val="clear" w:color="auto" w:fill="DDDDDD"/>
          </w:tcPr>
          <w:p>
            <w:pPr>
              <w:jc w:val="right"/>
              <w:ind w:right="258"/>
              <w:spacing w:after="0" w:line="221" w:lineRule="exact"/>
              <w:rPr>
                <w:sz w:val="20"/>
                <w:szCs w:val="20"/>
                <w:color w:val="auto"/>
              </w:rPr>
            </w:pPr>
            <w:r>
              <w:rPr>
                <w:rFonts w:ascii="Arial" w:cs="Arial" w:eastAsia="Arial" w:hAnsi="Arial"/>
                <w:sz w:val="15"/>
                <w:szCs w:val="15"/>
                <w:color w:val="auto"/>
              </w:rPr>
              <w:t>51.9</w:t>
            </w:r>
            <w:r>
              <w:rPr>
                <w:rFonts w:ascii="Arial" w:cs="Arial" w:eastAsia="Arial" w:hAnsi="Arial"/>
                <w:sz w:val="25"/>
                <w:szCs w:val="25"/>
                <w:color w:val="auto"/>
                <w:vertAlign w:val="superscript"/>
              </w:rPr>
              <w:t>(2)</w:t>
            </w:r>
          </w:p>
        </w:tc>
        <w:tc>
          <w:tcPr>
            <w:tcW w:w="1700" w:type="dxa"/>
            <w:vAlign w:val="bottom"/>
            <w:shd w:val="clear" w:color="auto" w:fill="DDDDDD"/>
          </w:tcPr>
          <w:p>
            <w:pPr>
              <w:jc w:val="right"/>
              <w:ind w:right="358"/>
              <w:spacing w:after="0"/>
              <w:rPr>
                <w:sz w:val="20"/>
                <w:szCs w:val="20"/>
                <w:color w:val="auto"/>
              </w:rPr>
            </w:pPr>
            <w:r>
              <w:rPr>
                <w:rFonts w:ascii="Arial" w:cs="Arial" w:eastAsia="Arial" w:hAnsi="Arial"/>
                <w:sz w:val="16"/>
                <w:szCs w:val="16"/>
                <w:color w:val="auto"/>
              </w:rPr>
              <w:t>29.0</w:t>
            </w:r>
          </w:p>
        </w:tc>
        <w:tc>
          <w:tcPr>
            <w:tcW w:w="1720" w:type="dxa"/>
            <w:vAlign w:val="bottom"/>
            <w:shd w:val="clear" w:color="auto" w:fill="DDDDDD"/>
          </w:tcPr>
          <w:p>
            <w:pPr>
              <w:jc w:val="right"/>
              <w:ind w:right="18"/>
              <w:spacing w:after="0"/>
              <w:rPr>
                <w:sz w:val="20"/>
                <w:szCs w:val="20"/>
                <w:color w:val="auto"/>
              </w:rPr>
            </w:pPr>
            <w:r>
              <w:rPr>
                <w:rFonts w:ascii="Arial" w:cs="Arial" w:eastAsia="Arial" w:hAnsi="Arial"/>
                <w:sz w:val="16"/>
                <w:szCs w:val="16"/>
                <w:color w:val="auto"/>
              </w:rPr>
              <w:t>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Reserve for royalty advances</w:t>
            </w:r>
          </w:p>
        </w:tc>
        <w:tc>
          <w:tcPr>
            <w:tcW w:w="2720" w:type="dxa"/>
            <w:vAlign w:val="bottom"/>
          </w:tcPr>
          <w:p>
            <w:pPr>
              <w:jc w:val="right"/>
              <w:ind w:right="236"/>
              <w:spacing w:after="0"/>
              <w:rPr>
                <w:sz w:val="20"/>
                <w:szCs w:val="20"/>
                <w:color w:val="auto"/>
              </w:rPr>
            </w:pPr>
            <w:r>
              <w:rPr>
                <w:rFonts w:ascii="Arial" w:cs="Arial" w:eastAsia="Arial" w:hAnsi="Arial"/>
                <w:sz w:val="16"/>
                <w:szCs w:val="16"/>
                <w:color w:val="auto"/>
              </w:rPr>
              <w:t>38.8</w:t>
            </w:r>
          </w:p>
        </w:tc>
        <w:tc>
          <w:tcPr>
            <w:tcW w:w="1680" w:type="dxa"/>
            <w:vAlign w:val="bottom"/>
          </w:tcPr>
          <w:p>
            <w:pPr>
              <w:jc w:val="right"/>
              <w:ind w:right="418"/>
              <w:spacing w:after="0"/>
              <w:rPr>
                <w:sz w:val="20"/>
                <w:szCs w:val="20"/>
                <w:color w:val="auto"/>
              </w:rPr>
            </w:pPr>
            <w:r>
              <w:rPr>
                <w:rFonts w:ascii="Arial" w:cs="Arial" w:eastAsia="Arial" w:hAnsi="Arial"/>
                <w:sz w:val="16"/>
                <w:szCs w:val="16"/>
                <w:color w:val="auto"/>
              </w:rPr>
              <w:t>4.4</w:t>
            </w:r>
          </w:p>
        </w:tc>
        <w:tc>
          <w:tcPr>
            <w:tcW w:w="1700" w:type="dxa"/>
            <w:vAlign w:val="bottom"/>
          </w:tcPr>
          <w:p>
            <w:pPr>
              <w:jc w:val="right"/>
              <w:ind w:right="358"/>
              <w:spacing w:after="0"/>
              <w:rPr>
                <w:sz w:val="20"/>
                <w:szCs w:val="20"/>
                <w:color w:val="auto"/>
              </w:rPr>
            </w:pPr>
            <w:r>
              <w:rPr>
                <w:rFonts w:ascii="Arial" w:cs="Arial" w:eastAsia="Arial" w:hAnsi="Arial"/>
                <w:sz w:val="16"/>
                <w:szCs w:val="16"/>
                <w:color w:val="auto"/>
              </w:rPr>
              <w:t>0.2</w:t>
            </w:r>
          </w:p>
        </w:tc>
        <w:tc>
          <w:tcPr>
            <w:tcW w:w="1720" w:type="dxa"/>
            <w:vAlign w:val="bottom"/>
          </w:tcPr>
          <w:p>
            <w:pPr>
              <w:jc w:val="right"/>
              <w:ind w:right="18"/>
              <w:spacing w:after="0"/>
              <w:rPr>
                <w:sz w:val="20"/>
                <w:szCs w:val="20"/>
                <w:color w:val="auto"/>
              </w:rPr>
            </w:pPr>
            <w:r>
              <w:rPr>
                <w:rFonts w:ascii="Arial" w:cs="Arial" w:eastAsia="Arial" w:hAnsi="Arial"/>
                <w:sz w:val="16"/>
                <w:szCs w:val="16"/>
                <w:color w:val="auto"/>
              </w:rPr>
              <w:t>43.0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-27940</wp:posOffset>
            </wp:positionV>
            <wp:extent cx="12700" cy="285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7" w:lineRule="exact"/>
        <w:rPr>
          <w:sz w:val="20"/>
          <w:szCs w:val="20"/>
          <w:color w:val="auto"/>
        </w:rPr>
      </w:pPr>
    </w:p>
    <w:p>
      <w:pPr>
        <w:ind w:left="342" w:hanging="342"/>
        <w:spacing w:after="0"/>
        <w:tabs>
          <w:tab w:leader="none" w:pos="342"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actual returns charged to the reserve.</w:t>
      </w:r>
    </w:p>
    <w:p>
      <w:pPr>
        <w:spacing w:after="0" w:line="83" w:lineRule="exact"/>
        <w:rPr>
          <w:rFonts w:ascii="Arial" w:cs="Arial" w:eastAsia="Arial" w:hAnsi="Arial"/>
          <w:sz w:val="12"/>
          <w:szCs w:val="12"/>
          <w:color w:val="auto"/>
        </w:rPr>
      </w:pPr>
    </w:p>
    <w:p>
      <w:pPr>
        <w:ind w:left="342" w:hanging="342"/>
        <w:spacing w:after="0"/>
        <w:tabs>
          <w:tab w:leader="none" w:pos="342"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$19.8 pertaining to the Special Charge related to the Company’s decision not to update Scholastic Literacy Place.</w:t>
      </w:r>
    </w:p>
    <w:p>
      <w:pPr>
        <w:spacing w:after="0" w:line="200" w:lineRule="exact"/>
        <w:rPr>
          <w:sz w:val="20"/>
          <w:szCs w:val="20"/>
          <w:color w:val="auto"/>
        </w:rPr>
      </w:pPr>
    </w:p>
    <w:p>
      <w:pPr>
        <w:spacing w:after="0" w:line="302"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42"/>
          </w:cols>
          <w:pgMar w:left="238" w:top="549"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EXHIBIT 10.8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Split Dollar Life Insurance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Arrangements for the Benefit of Richard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Robinson and Helen Benham</w:t>
      </w:r>
    </w:p>
    <w:p>
      <w:pPr>
        <w:spacing w:after="0" w:line="202" w:lineRule="exact"/>
        <w:rPr>
          <w:sz w:val="20"/>
          <w:szCs w:val="20"/>
          <w:color w:val="auto"/>
        </w:rPr>
      </w:pPr>
    </w:p>
    <w:p>
      <w:pPr>
        <w:ind w:firstLine="200"/>
        <w:spacing w:after="0" w:line="299" w:lineRule="auto"/>
        <w:rPr>
          <w:sz w:val="20"/>
          <w:szCs w:val="20"/>
          <w:color w:val="auto"/>
        </w:rPr>
      </w:pPr>
      <w:r>
        <w:rPr>
          <w:rFonts w:ascii="Arial" w:cs="Arial" w:eastAsia="Arial" w:hAnsi="Arial"/>
          <w:sz w:val="14"/>
          <w:szCs w:val="14"/>
          <w:color w:val="auto"/>
        </w:rPr>
        <w:t>During the fiscal year ended May 31, 2000, with the approval of the Board of Directors of Scholastic Corporation (the “Company”), the Company agreed to pay that portion of the annual premium representing the non-term life insurance portion of a split dollar life insurance policy for the benefit of Richard Robinson and his wife, Helen Benham.</w:t>
      </w:r>
    </w:p>
    <w:p>
      <w:pPr>
        <w:spacing w:after="0" w:line="260" w:lineRule="auto"/>
        <w:rPr>
          <w:sz w:val="20"/>
          <w:szCs w:val="20"/>
          <w:color w:val="auto"/>
        </w:rPr>
      </w:pPr>
      <w:r>
        <w:rPr>
          <w:rFonts w:ascii="Arial" w:cs="Arial" w:eastAsia="Arial" w:hAnsi="Arial"/>
          <w:sz w:val="16"/>
          <w:szCs w:val="16"/>
          <w:color w:val="auto"/>
        </w:rPr>
        <w:t>Mr. Robinson is the Chairman of the Board, President and Chief Executive Officer of the Company. During the Company’s three fiscal years ended May 31, 2002, the aggregate portion of the annual premiums paid by the Company was $700,741. Notwithstanding the foregoing agreement, the Company ceased to pay such portion of the annual premium due during the fiscal year ended May 31, 2003, which premium was paid pursuant to the automatic premium loan provision of the original policy as issued in February 2000. All premiums previously paid by the Company in respect of the non-term portion of the split dollar life insurance policy will be repaid to the Company, without interest, not later than upon the death of the last to survive of Mr. Robinson and Ms. Benham. The Company is not responsible for payment of the portion of the premium attributable to the term life insurance portion of such policy.</w:t>
      </w:r>
    </w:p>
    <w:p>
      <w:pPr>
        <w:sectPr>
          <w:pgSz w:w="11900" w:h="16838" w:orient="portrait"/>
          <w:cols w:equalWidth="0" w:num="1">
            <w:col w:w="11420"/>
          </w:cols>
          <w:pgMar w:left="240" w:top="127" w:right="239" w:bottom="1440" w:gutter="0" w:footer="0" w:header="0"/>
        </w:sectPr>
      </w:pPr>
    </w:p>
    <w:bookmarkStart w:id="43" w:name="page44"/>
    <w:bookmarkEnd w:id="43"/>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88900</wp:posOffset>
            </wp:positionV>
            <wp:extent cx="2070735" cy="288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2070735" cy="288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20"/>
                <w:szCs w:val="20"/>
                <w:color w:val="auto"/>
              </w:rPr>
            </w:pPr>
            <w:r>
              <w:rPr>
                <w:rFonts w:ascii="Arial" w:cs="Arial" w:eastAsia="Arial" w:hAnsi="Arial"/>
                <w:sz w:val="16"/>
                <w:szCs w:val="16"/>
                <w:b w:val="1"/>
                <w:bCs w:val="1"/>
                <w:color w:val="auto"/>
              </w:rPr>
              <w:t>Exhibit 21</w:t>
            </w:r>
          </w:p>
        </w:tc>
        <w:tc>
          <w:tcPr>
            <w:tcW w:w="4520" w:type="dxa"/>
            <w:vAlign w:val="bottom"/>
          </w:tcPr>
          <w:p>
            <w:pPr>
              <w:spacing w:after="0"/>
              <w:rPr>
                <w:sz w:val="18"/>
                <w:szCs w:val="18"/>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6"/>
                <w:szCs w:val="16"/>
                <w:b w:val="1"/>
                <w:bCs w:val="1"/>
                <w:color w:val="auto"/>
              </w:rPr>
              <w:t>SUBSIDIARIES OF THE REGISTRANT</w:t>
            </w:r>
          </w:p>
        </w:tc>
        <w:tc>
          <w:tcPr>
            <w:tcW w:w="4520" w:type="dxa"/>
            <w:vAlign w:val="bottom"/>
          </w:tcPr>
          <w:p>
            <w:pPr>
              <w:spacing w:after="0"/>
              <w:rPr>
                <w:sz w:val="19"/>
                <w:szCs w:val="19"/>
                <w:color w:val="auto"/>
              </w:rPr>
            </w:pPr>
          </w:p>
        </w:tc>
      </w:tr>
      <w:tr>
        <w:trPr>
          <w:trHeight w:val="221"/>
        </w:trPr>
        <w:tc>
          <w:tcPr>
            <w:tcW w:w="6940" w:type="dxa"/>
            <w:vAlign w:val="bottom"/>
          </w:tcPr>
          <w:p>
            <w:pPr>
              <w:spacing w:after="0"/>
              <w:rPr>
                <w:sz w:val="19"/>
                <w:szCs w:val="19"/>
                <w:color w:val="auto"/>
              </w:rPr>
            </w:pPr>
          </w:p>
        </w:tc>
        <w:tc>
          <w:tcPr>
            <w:tcW w:w="4520" w:type="dxa"/>
            <w:vAlign w:val="bottom"/>
          </w:tcPr>
          <w:p>
            <w:pPr>
              <w:ind w:left="2560"/>
              <w:spacing w:after="0"/>
              <w:rPr>
                <w:sz w:val="20"/>
                <w:szCs w:val="20"/>
                <w:color w:val="auto"/>
              </w:rPr>
            </w:pPr>
            <w:r>
              <w:rPr>
                <w:rFonts w:ascii="Arial" w:cs="Arial" w:eastAsia="Arial" w:hAnsi="Arial"/>
                <w:sz w:val="16"/>
                <w:szCs w:val="16"/>
                <w:b w:val="1"/>
                <w:bCs w:val="1"/>
                <w:color w:val="auto"/>
              </w:rPr>
              <w:t>JURISDICTION</w:t>
            </w:r>
          </w:p>
        </w:tc>
      </w:tr>
      <w:tr>
        <w:trPr>
          <w:trHeight w:val="209"/>
        </w:trPr>
        <w:tc>
          <w:tcPr>
            <w:tcW w:w="6940" w:type="dxa"/>
            <w:vAlign w:val="bottom"/>
          </w:tcPr>
          <w:p>
            <w:pPr>
              <w:spacing w:after="0"/>
              <w:rPr>
                <w:sz w:val="20"/>
                <w:szCs w:val="20"/>
                <w:color w:val="auto"/>
              </w:rPr>
            </w:pPr>
            <w:r>
              <w:rPr>
                <w:rFonts w:ascii="Arial" w:cs="Arial" w:eastAsia="Arial" w:hAnsi="Arial"/>
                <w:sz w:val="16"/>
                <w:szCs w:val="16"/>
                <w:color w:val="auto"/>
              </w:rPr>
              <w:t>Scholastic Inc</w:t>
            </w:r>
          </w:p>
        </w:tc>
        <w:tc>
          <w:tcPr>
            <w:tcW w:w="4520" w:type="dxa"/>
            <w:vAlign w:val="bottom"/>
          </w:tcPr>
          <w:p>
            <w:pPr>
              <w:ind w:left="2560"/>
              <w:spacing w:after="0"/>
              <w:rPr>
                <w:sz w:val="20"/>
                <w:szCs w:val="20"/>
                <w:color w:val="auto"/>
              </w:rPr>
            </w:pPr>
            <w:r>
              <w:rPr>
                <w:rFonts w:ascii="Arial" w:cs="Arial" w:eastAsia="Arial" w:hAnsi="Arial"/>
                <w:sz w:val="16"/>
                <w:szCs w:val="16"/>
                <w:color w:val="auto"/>
              </w:rPr>
              <w:t>New York</w:t>
            </w:r>
          </w:p>
        </w:tc>
      </w:tr>
      <w:tr>
        <w:trPr>
          <w:trHeight w:val="209"/>
        </w:trPr>
        <w:tc>
          <w:tcPr>
            <w:tcW w:w="6940" w:type="dxa"/>
            <w:vAlign w:val="bottom"/>
          </w:tcPr>
          <w:p>
            <w:pPr>
              <w:ind w:left="140"/>
              <w:spacing w:after="0"/>
              <w:rPr>
                <w:sz w:val="20"/>
                <w:szCs w:val="20"/>
                <w:color w:val="auto"/>
              </w:rPr>
            </w:pPr>
            <w:r>
              <w:rPr>
                <w:rFonts w:ascii="Arial" w:cs="Arial" w:eastAsia="Arial" w:hAnsi="Arial"/>
                <w:sz w:val="16"/>
                <w:szCs w:val="16"/>
                <w:color w:val="auto"/>
              </w:rPr>
              <w:t>Scholastic Book Clubs,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Missouri</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Entertainment Inc</w:t>
            </w:r>
          </w:p>
        </w:tc>
        <w:tc>
          <w:tcPr>
            <w:tcW w:w="4520" w:type="dxa"/>
            <w:vAlign w:val="bottom"/>
          </w:tcPr>
          <w:p>
            <w:pPr>
              <w:ind w:left="2560"/>
              <w:spacing w:after="0"/>
              <w:rPr>
                <w:sz w:val="20"/>
                <w:szCs w:val="20"/>
                <w:color w:val="auto"/>
              </w:rPr>
            </w:pPr>
            <w:r>
              <w:rPr>
                <w:rFonts w:ascii="Arial" w:cs="Arial" w:eastAsia="Arial" w:hAnsi="Arial"/>
                <w:sz w:val="16"/>
                <w:szCs w:val="16"/>
                <w:color w:val="auto"/>
              </w:rPr>
              <w:t>New York</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SE Distribution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Book Services,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UK Group L.L.C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Group Ltd</w:t>
            </w:r>
          </w:p>
        </w:tc>
        <w:tc>
          <w:tcPr>
            <w:tcW w:w="4520" w:type="dxa"/>
            <w:vAlign w:val="bottom"/>
          </w:tcPr>
          <w:p>
            <w:pPr>
              <w:ind w:left="2560"/>
              <w:spacing w:after="0"/>
              <w:rPr>
                <w:sz w:val="20"/>
                <w:szCs w:val="20"/>
                <w:color w:val="auto"/>
              </w:rPr>
            </w:pPr>
            <w:r>
              <w:rPr>
                <w:rFonts w:ascii="Arial" w:cs="Arial" w:eastAsia="Arial" w:hAnsi="Arial"/>
                <w:sz w:val="16"/>
                <w:szCs w:val="16"/>
                <w:color w:val="auto"/>
              </w:rPr>
              <w:t>England</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Ltd</w:t>
            </w:r>
          </w:p>
        </w:tc>
        <w:tc>
          <w:tcPr>
            <w:tcW w:w="4520" w:type="dxa"/>
            <w:vAlign w:val="bottom"/>
          </w:tcPr>
          <w:p>
            <w:pPr>
              <w:ind w:left="2560"/>
              <w:spacing w:after="0"/>
              <w:rPr>
                <w:sz w:val="20"/>
                <w:szCs w:val="20"/>
                <w:color w:val="auto"/>
              </w:rPr>
            </w:pPr>
            <w:r>
              <w:rPr>
                <w:rFonts w:ascii="Arial" w:cs="Arial" w:eastAsia="Arial" w:hAnsi="Arial"/>
                <w:sz w:val="16"/>
                <w:szCs w:val="16"/>
                <w:color w:val="auto"/>
              </w:rPr>
              <w:t>England</w:t>
            </w:r>
          </w:p>
        </w:tc>
      </w:tr>
      <w:tr>
        <w:trPr>
          <w:trHeight w:val="221"/>
        </w:trPr>
        <w:tc>
          <w:tcPr>
            <w:tcW w:w="6940" w:type="dxa"/>
            <w:vAlign w:val="bottom"/>
          </w:tcPr>
          <w:p>
            <w:pPr>
              <w:ind w:left="440"/>
              <w:spacing w:after="0"/>
              <w:rPr>
                <w:sz w:val="20"/>
                <w:szCs w:val="20"/>
                <w:color w:val="auto"/>
              </w:rPr>
            </w:pPr>
            <w:r>
              <w:rPr>
                <w:rFonts w:ascii="Arial" w:cs="Arial" w:eastAsia="Arial" w:hAnsi="Arial"/>
                <w:sz w:val="16"/>
                <w:szCs w:val="16"/>
                <w:color w:val="auto"/>
              </w:rPr>
              <w:t>Catteshall Ltd. - (50% owned)</w:t>
            </w:r>
          </w:p>
        </w:tc>
        <w:tc>
          <w:tcPr>
            <w:tcW w:w="4520" w:type="dxa"/>
            <w:vAlign w:val="bottom"/>
          </w:tcPr>
          <w:p>
            <w:pPr>
              <w:ind w:left="2560"/>
              <w:spacing w:after="0"/>
              <w:rPr>
                <w:sz w:val="20"/>
                <w:szCs w:val="20"/>
                <w:color w:val="auto"/>
              </w:rPr>
            </w:pPr>
            <w:r>
              <w:rPr>
                <w:rFonts w:ascii="Arial" w:cs="Arial" w:eastAsia="Arial" w:hAnsi="Arial"/>
                <w:sz w:val="16"/>
                <w:szCs w:val="16"/>
                <w:color w:val="auto"/>
              </w:rPr>
              <w:t>England</w:t>
            </w:r>
          </w:p>
        </w:tc>
      </w:tr>
      <w:tr>
        <w:trPr>
          <w:trHeight w:val="221"/>
        </w:trPr>
        <w:tc>
          <w:tcPr>
            <w:tcW w:w="6940" w:type="dxa"/>
            <w:vAlign w:val="bottom"/>
          </w:tcPr>
          <w:p>
            <w:pPr>
              <w:ind w:left="440"/>
              <w:spacing w:after="0"/>
              <w:rPr>
                <w:sz w:val="20"/>
                <w:szCs w:val="20"/>
                <w:color w:val="auto"/>
              </w:rPr>
            </w:pPr>
            <w:r>
              <w:rPr>
                <w:rFonts w:ascii="Arial" w:cs="Arial" w:eastAsia="Arial" w:hAnsi="Arial"/>
                <w:sz w:val="16"/>
                <w:szCs w:val="16"/>
                <w:color w:val="auto"/>
              </w:rPr>
              <w:t>School Book Fairs Ltd</w:t>
            </w:r>
          </w:p>
        </w:tc>
        <w:tc>
          <w:tcPr>
            <w:tcW w:w="4520" w:type="dxa"/>
            <w:vAlign w:val="bottom"/>
          </w:tcPr>
          <w:p>
            <w:pPr>
              <w:ind w:left="2560"/>
              <w:spacing w:after="0"/>
              <w:rPr>
                <w:sz w:val="20"/>
                <w:szCs w:val="20"/>
                <w:color w:val="auto"/>
              </w:rPr>
            </w:pPr>
            <w:r>
              <w:rPr>
                <w:rFonts w:ascii="Arial" w:cs="Arial" w:eastAsia="Arial" w:hAnsi="Arial"/>
                <w:sz w:val="16"/>
                <w:szCs w:val="16"/>
                <w:color w:val="auto"/>
              </w:rPr>
              <w:t>England</w:t>
            </w:r>
          </w:p>
        </w:tc>
      </w:tr>
      <w:tr>
        <w:trPr>
          <w:trHeight w:val="221"/>
        </w:trPr>
        <w:tc>
          <w:tcPr>
            <w:tcW w:w="6940" w:type="dxa"/>
            <w:vAlign w:val="bottom"/>
          </w:tcPr>
          <w:p>
            <w:pPr>
              <w:ind w:left="580"/>
              <w:spacing w:after="0"/>
              <w:rPr>
                <w:sz w:val="20"/>
                <w:szCs w:val="20"/>
                <w:color w:val="auto"/>
              </w:rPr>
            </w:pPr>
            <w:r>
              <w:rPr>
                <w:rFonts w:ascii="Arial" w:cs="Arial" w:eastAsia="Arial" w:hAnsi="Arial"/>
                <w:sz w:val="16"/>
                <w:szCs w:val="16"/>
                <w:color w:val="auto"/>
              </w:rPr>
              <w:t>Scholastic Ireland Ltd</w:t>
            </w:r>
          </w:p>
        </w:tc>
        <w:tc>
          <w:tcPr>
            <w:tcW w:w="4520" w:type="dxa"/>
            <w:vAlign w:val="bottom"/>
          </w:tcPr>
          <w:p>
            <w:pPr>
              <w:ind w:left="2560"/>
              <w:spacing w:after="0"/>
              <w:rPr>
                <w:sz w:val="20"/>
                <w:szCs w:val="20"/>
                <w:color w:val="auto"/>
              </w:rPr>
            </w:pPr>
            <w:r>
              <w:rPr>
                <w:rFonts w:ascii="Arial" w:cs="Arial" w:eastAsia="Arial" w:hAnsi="Arial"/>
                <w:sz w:val="16"/>
                <w:szCs w:val="16"/>
                <w:color w:val="auto"/>
              </w:rPr>
              <w:t>Ireland</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Book Clubs Ltd</w:t>
            </w:r>
          </w:p>
        </w:tc>
        <w:tc>
          <w:tcPr>
            <w:tcW w:w="4520" w:type="dxa"/>
            <w:vAlign w:val="bottom"/>
          </w:tcPr>
          <w:p>
            <w:pPr>
              <w:ind w:left="2560"/>
              <w:spacing w:after="0"/>
              <w:rPr>
                <w:sz w:val="20"/>
                <w:szCs w:val="20"/>
                <w:color w:val="auto"/>
              </w:rPr>
            </w:pPr>
            <w:r>
              <w:rPr>
                <w:rFonts w:ascii="Arial" w:cs="Arial" w:eastAsia="Arial" w:hAnsi="Arial"/>
                <w:sz w:val="16"/>
                <w:szCs w:val="16"/>
                <w:color w:val="auto"/>
              </w:rPr>
              <w:t>England</w:t>
            </w:r>
          </w:p>
        </w:tc>
      </w:tr>
      <w:tr>
        <w:trPr>
          <w:trHeight w:val="221"/>
        </w:trPr>
        <w:tc>
          <w:tcPr>
            <w:tcW w:w="6940" w:type="dxa"/>
            <w:vAlign w:val="bottom"/>
          </w:tcPr>
          <w:p>
            <w:pPr>
              <w:ind w:left="440"/>
              <w:spacing w:after="0"/>
              <w:rPr>
                <w:sz w:val="20"/>
                <w:szCs w:val="20"/>
                <w:color w:val="auto"/>
              </w:rPr>
            </w:pPr>
            <w:r>
              <w:rPr>
                <w:rFonts w:ascii="Arial" w:cs="Arial" w:eastAsia="Arial" w:hAnsi="Arial"/>
                <w:sz w:val="16"/>
                <w:szCs w:val="16"/>
                <w:color w:val="auto"/>
              </w:rPr>
              <w:t>Red House Books Ltd</w:t>
            </w:r>
          </w:p>
        </w:tc>
        <w:tc>
          <w:tcPr>
            <w:tcW w:w="4520" w:type="dxa"/>
            <w:vAlign w:val="bottom"/>
          </w:tcPr>
          <w:p>
            <w:pPr>
              <w:ind w:left="2560"/>
              <w:spacing w:after="0"/>
              <w:rPr>
                <w:sz w:val="20"/>
                <w:szCs w:val="20"/>
                <w:color w:val="auto"/>
              </w:rPr>
            </w:pPr>
            <w:r>
              <w:rPr>
                <w:rFonts w:ascii="Arial" w:cs="Arial" w:eastAsia="Arial" w:hAnsi="Arial"/>
                <w:sz w:val="16"/>
                <w:szCs w:val="16"/>
                <w:color w:val="auto"/>
              </w:rPr>
              <w:t>England</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Educational Magazines Ltd</w:t>
            </w:r>
          </w:p>
        </w:tc>
        <w:tc>
          <w:tcPr>
            <w:tcW w:w="4520" w:type="dxa"/>
            <w:vAlign w:val="bottom"/>
          </w:tcPr>
          <w:p>
            <w:pPr>
              <w:ind w:left="2560"/>
              <w:spacing w:after="0"/>
              <w:rPr>
                <w:sz w:val="20"/>
                <w:szCs w:val="20"/>
                <w:color w:val="auto"/>
              </w:rPr>
            </w:pPr>
            <w:r>
              <w:rPr>
                <w:rFonts w:ascii="Arial" w:cs="Arial" w:eastAsia="Arial" w:hAnsi="Arial"/>
                <w:sz w:val="16"/>
                <w:szCs w:val="16"/>
                <w:color w:val="auto"/>
              </w:rPr>
              <w:t>England</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Weston Woods Studios,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Georgetown Studios,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Connecticut</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Children’s Music Library, Inc</w:t>
            </w:r>
          </w:p>
        </w:tc>
        <w:tc>
          <w:tcPr>
            <w:tcW w:w="4520" w:type="dxa"/>
            <w:vAlign w:val="bottom"/>
          </w:tcPr>
          <w:p>
            <w:pPr>
              <w:ind w:left="2560"/>
              <w:spacing w:after="0"/>
              <w:rPr>
                <w:sz w:val="20"/>
                <w:szCs w:val="20"/>
                <w:color w:val="auto"/>
              </w:rPr>
            </w:pPr>
            <w:r>
              <w:rPr>
                <w:rFonts w:ascii="Arial" w:cs="Arial" w:eastAsia="Arial" w:hAnsi="Arial"/>
                <w:sz w:val="16"/>
                <w:szCs w:val="16"/>
                <w:color w:val="auto"/>
              </w:rPr>
              <w:t>New York</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Lectorum Publications,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New York</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The Electronic Bookshelf, Inc</w:t>
            </w:r>
          </w:p>
        </w:tc>
        <w:tc>
          <w:tcPr>
            <w:tcW w:w="4520" w:type="dxa"/>
            <w:vAlign w:val="bottom"/>
          </w:tcPr>
          <w:p>
            <w:pPr>
              <w:ind w:left="2560"/>
              <w:spacing w:after="0"/>
              <w:rPr>
                <w:sz w:val="20"/>
                <w:szCs w:val="20"/>
                <w:color w:val="auto"/>
              </w:rPr>
            </w:pPr>
            <w:r>
              <w:rPr>
                <w:rFonts w:ascii="Arial" w:cs="Arial" w:eastAsia="Arial" w:hAnsi="Arial"/>
                <w:sz w:val="16"/>
                <w:szCs w:val="16"/>
                <w:color w:val="auto"/>
              </w:rPr>
              <w:t>Indiana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Quality Education Data,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The Scholastic Store, Inc</w:t>
            </w:r>
          </w:p>
        </w:tc>
        <w:tc>
          <w:tcPr>
            <w:tcW w:w="4520" w:type="dxa"/>
            <w:vAlign w:val="bottom"/>
          </w:tcPr>
          <w:p>
            <w:pPr>
              <w:ind w:left="2560"/>
              <w:spacing w:after="0"/>
              <w:rPr>
                <w:sz w:val="20"/>
                <w:szCs w:val="20"/>
                <w:color w:val="auto"/>
              </w:rPr>
            </w:pPr>
            <w:r>
              <w:rPr>
                <w:rFonts w:ascii="Arial" w:cs="Arial" w:eastAsia="Arial" w:hAnsi="Arial"/>
                <w:sz w:val="16"/>
                <w:szCs w:val="16"/>
                <w:color w:val="auto"/>
              </w:rPr>
              <w:t>New York</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Interactive Xchange,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Tom Snyder Productions,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Distribution Services,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Soup2Nuts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RetroRanch Inc. (formerly Science Court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Klutz</w:t>
            </w:r>
          </w:p>
        </w:tc>
        <w:tc>
          <w:tcPr>
            <w:tcW w:w="4520" w:type="dxa"/>
            <w:vAlign w:val="bottom"/>
          </w:tcPr>
          <w:p>
            <w:pPr>
              <w:ind w:left="2560"/>
              <w:spacing w:after="0"/>
              <w:rPr>
                <w:sz w:val="20"/>
                <w:szCs w:val="20"/>
                <w:color w:val="auto"/>
              </w:rPr>
            </w:pPr>
            <w:r>
              <w:rPr>
                <w:rFonts w:ascii="Arial" w:cs="Arial" w:eastAsia="Arial" w:hAnsi="Arial"/>
                <w:sz w:val="16"/>
                <w:szCs w:val="16"/>
                <w:color w:val="auto"/>
              </w:rPr>
              <w:t>California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Sandvik Publishing Ltd</w:t>
            </w:r>
          </w:p>
        </w:tc>
        <w:tc>
          <w:tcPr>
            <w:tcW w:w="4520" w:type="dxa"/>
            <w:vAlign w:val="bottom"/>
          </w:tcPr>
          <w:p>
            <w:pPr>
              <w:ind w:left="2560"/>
              <w:spacing w:after="0"/>
              <w:rPr>
                <w:sz w:val="20"/>
                <w:szCs w:val="20"/>
                <w:color w:val="auto"/>
              </w:rPr>
            </w:pPr>
            <w:r>
              <w:rPr>
                <w:rFonts w:ascii="Arial" w:cs="Arial" w:eastAsia="Arial" w:hAnsi="Arial"/>
                <w:sz w:val="16"/>
                <w:szCs w:val="16"/>
                <w:color w:val="auto"/>
              </w:rPr>
              <w:t>Nevada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Teacher’s Friend Publications,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California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The Book People Inc. - (80% owned)</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Export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Book Fairs,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Australia Pty. Ltd</w:t>
            </w:r>
          </w:p>
        </w:tc>
        <w:tc>
          <w:tcPr>
            <w:tcW w:w="4520" w:type="dxa"/>
            <w:vAlign w:val="bottom"/>
          </w:tcPr>
          <w:p>
            <w:pPr>
              <w:ind w:left="2560"/>
              <w:spacing w:after="0"/>
              <w:rPr>
                <w:sz w:val="20"/>
                <w:szCs w:val="20"/>
                <w:color w:val="auto"/>
              </w:rPr>
            </w:pPr>
            <w:r>
              <w:rPr>
                <w:rFonts w:ascii="Arial" w:cs="Arial" w:eastAsia="Arial" w:hAnsi="Arial"/>
                <w:sz w:val="16"/>
                <w:szCs w:val="16"/>
                <w:color w:val="auto"/>
              </w:rPr>
              <w:t>Australia</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Bookshelf Publishing Australia Pty. Ltd</w:t>
            </w:r>
          </w:p>
        </w:tc>
        <w:tc>
          <w:tcPr>
            <w:tcW w:w="4520" w:type="dxa"/>
            <w:vAlign w:val="bottom"/>
          </w:tcPr>
          <w:p>
            <w:pPr>
              <w:ind w:left="2560"/>
              <w:spacing w:after="0"/>
              <w:rPr>
                <w:sz w:val="20"/>
                <w:szCs w:val="20"/>
                <w:color w:val="auto"/>
              </w:rPr>
            </w:pPr>
            <w:r>
              <w:rPr>
                <w:rFonts w:ascii="Arial" w:cs="Arial" w:eastAsia="Arial" w:hAnsi="Arial"/>
                <w:sz w:val="16"/>
                <w:szCs w:val="16"/>
                <w:color w:val="auto"/>
              </w:rPr>
              <w:t>Australia</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Troll School Book Clubs and Fairs Australia Pty. Ltd</w:t>
            </w:r>
          </w:p>
        </w:tc>
        <w:tc>
          <w:tcPr>
            <w:tcW w:w="4520" w:type="dxa"/>
            <w:vAlign w:val="bottom"/>
          </w:tcPr>
          <w:p>
            <w:pPr>
              <w:ind w:left="2560"/>
              <w:spacing w:after="0"/>
              <w:rPr>
                <w:sz w:val="20"/>
                <w:szCs w:val="20"/>
                <w:color w:val="auto"/>
              </w:rPr>
            </w:pPr>
            <w:r>
              <w:rPr>
                <w:rFonts w:ascii="Arial" w:cs="Arial" w:eastAsia="Arial" w:hAnsi="Arial"/>
                <w:sz w:val="16"/>
                <w:szCs w:val="16"/>
                <w:color w:val="auto"/>
              </w:rPr>
              <w:t>Australia</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Australia Superannuation Pty. Ltd</w:t>
            </w:r>
          </w:p>
        </w:tc>
        <w:tc>
          <w:tcPr>
            <w:tcW w:w="4520" w:type="dxa"/>
            <w:vAlign w:val="bottom"/>
          </w:tcPr>
          <w:p>
            <w:pPr>
              <w:ind w:left="2560"/>
              <w:spacing w:after="0"/>
              <w:rPr>
                <w:sz w:val="20"/>
                <w:szCs w:val="20"/>
                <w:color w:val="auto"/>
              </w:rPr>
            </w:pPr>
            <w:r>
              <w:rPr>
                <w:rFonts w:ascii="Arial" w:cs="Arial" w:eastAsia="Arial" w:hAnsi="Arial"/>
                <w:sz w:val="16"/>
                <w:szCs w:val="16"/>
                <w:color w:val="auto"/>
              </w:rPr>
              <w:t>Australia</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Executive Superannuation Pty. Ltd</w:t>
            </w:r>
          </w:p>
        </w:tc>
        <w:tc>
          <w:tcPr>
            <w:tcW w:w="4520" w:type="dxa"/>
            <w:vAlign w:val="bottom"/>
          </w:tcPr>
          <w:p>
            <w:pPr>
              <w:ind w:left="2560"/>
              <w:spacing w:after="0"/>
              <w:rPr>
                <w:sz w:val="20"/>
                <w:szCs w:val="20"/>
                <w:color w:val="auto"/>
              </w:rPr>
            </w:pPr>
            <w:r>
              <w:rPr>
                <w:rFonts w:ascii="Arial" w:cs="Arial" w:eastAsia="Arial" w:hAnsi="Arial"/>
                <w:sz w:val="16"/>
                <w:szCs w:val="16"/>
                <w:color w:val="auto"/>
              </w:rPr>
              <w:t>Australia</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Oldmeadow Booksellers (Aust.) Pty. Ltd</w:t>
            </w:r>
          </w:p>
        </w:tc>
        <w:tc>
          <w:tcPr>
            <w:tcW w:w="4520" w:type="dxa"/>
            <w:vAlign w:val="bottom"/>
          </w:tcPr>
          <w:p>
            <w:pPr>
              <w:ind w:left="2560"/>
              <w:spacing w:after="0"/>
              <w:rPr>
                <w:sz w:val="20"/>
                <w:szCs w:val="20"/>
                <w:color w:val="auto"/>
              </w:rPr>
            </w:pPr>
            <w:r>
              <w:rPr>
                <w:rFonts w:ascii="Arial" w:cs="Arial" w:eastAsia="Arial" w:hAnsi="Arial"/>
                <w:sz w:val="16"/>
                <w:szCs w:val="16"/>
                <w:color w:val="auto"/>
              </w:rPr>
              <w:t>Australia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Canada Ltd</w:t>
            </w:r>
          </w:p>
        </w:tc>
        <w:tc>
          <w:tcPr>
            <w:tcW w:w="4520" w:type="dxa"/>
            <w:vAlign w:val="bottom"/>
          </w:tcPr>
          <w:p>
            <w:pPr>
              <w:ind w:left="2560"/>
              <w:spacing w:after="0"/>
              <w:rPr>
                <w:sz w:val="20"/>
                <w:szCs w:val="20"/>
                <w:color w:val="auto"/>
              </w:rPr>
            </w:pPr>
            <w:r>
              <w:rPr>
                <w:rFonts w:ascii="Arial" w:cs="Arial" w:eastAsia="Arial" w:hAnsi="Arial"/>
                <w:sz w:val="16"/>
                <w:szCs w:val="16"/>
                <w:color w:val="auto"/>
              </w:rPr>
              <w:t>Canada</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Productions Canada Ltd</w:t>
            </w:r>
          </w:p>
        </w:tc>
        <w:tc>
          <w:tcPr>
            <w:tcW w:w="4520" w:type="dxa"/>
            <w:vAlign w:val="bottom"/>
          </w:tcPr>
          <w:p>
            <w:pPr>
              <w:ind w:left="2560"/>
              <w:spacing w:after="0"/>
              <w:rPr>
                <w:sz w:val="20"/>
                <w:szCs w:val="20"/>
                <w:color w:val="auto"/>
              </w:rPr>
            </w:pPr>
            <w:r>
              <w:rPr>
                <w:rFonts w:ascii="Arial" w:cs="Arial" w:eastAsia="Arial" w:hAnsi="Arial"/>
                <w:sz w:val="16"/>
                <w:szCs w:val="16"/>
                <w:color w:val="auto"/>
              </w:rPr>
              <w:t>Canada</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Bookfairs Canada Inc</w:t>
            </w:r>
          </w:p>
        </w:tc>
        <w:tc>
          <w:tcPr>
            <w:tcW w:w="4520" w:type="dxa"/>
            <w:vAlign w:val="bottom"/>
          </w:tcPr>
          <w:p>
            <w:pPr>
              <w:ind w:left="2560"/>
              <w:spacing w:after="0"/>
              <w:rPr>
                <w:sz w:val="20"/>
                <w:szCs w:val="20"/>
                <w:color w:val="auto"/>
              </w:rPr>
            </w:pPr>
            <w:r>
              <w:rPr>
                <w:rFonts w:ascii="Arial" w:cs="Arial" w:eastAsia="Arial" w:hAnsi="Arial"/>
                <w:sz w:val="16"/>
                <w:szCs w:val="16"/>
                <w:color w:val="auto"/>
              </w:rPr>
              <w:t>Canada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Hong Kong Limited</w:t>
            </w:r>
          </w:p>
        </w:tc>
        <w:tc>
          <w:tcPr>
            <w:tcW w:w="4520" w:type="dxa"/>
            <w:vAlign w:val="bottom"/>
          </w:tcPr>
          <w:p>
            <w:pPr>
              <w:ind w:left="2560"/>
              <w:spacing w:after="0"/>
              <w:rPr>
                <w:sz w:val="20"/>
                <w:szCs w:val="20"/>
                <w:color w:val="auto"/>
              </w:rPr>
            </w:pPr>
            <w:r>
              <w:rPr>
                <w:rFonts w:ascii="Arial" w:cs="Arial" w:eastAsia="Arial" w:hAnsi="Arial"/>
                <w:sz w:val="16"/>
                <w:szCs w:val="16"/>
                <w:color w:val="auto"/>
              </w:rPr>
              <w:t>Hong Kong</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India Private Limited</w:t>
            </w:r>
          </w:p>
        </w:tc>
        <w:tc>
          <w:tcPr>
            <w:tcW w:w="4520" w:type="dxa"/>
            <w:vAlign w:val="bottom"/>
          </w:tcPr>
          <w:p>
            <w:pPr>
              <w:ind w:left="2560"/>
              <w:spacing w:after="0"/>
              <w:rPr>
                <w:sz w:val="20"/>
                <w:szCs w:val="20"/>
                <w:color w:val="auto"/>
              </w:rPr>
            </w:pPr>
            <w:r>
              <w:rPr>
                <w:rFonts w:ascii="Arial" w:cs="Arial" w:eastAsia="Arial" w:hAnsi="Arial"/>
                <w:sz w:val="16"/>
                <w:szCs w:val="16"/>
                <w:color w:val="auto"/>
              </w:rPr>
              <w:t>India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Mexico S.A. de C.V</w:t>
            </w:r>
          </w:p>
        </w:tc>
        <w:tc>
          <w:tcPr>
            <w:tcW w:w="4520" w:type="dxa"/>
            <w:vAlign w:val="bottom"/>
          </w:tcPr>
          <w:p>
            <w:pPr>
              <w:ind w:left="2560"/>
              <w:spacing w:after="0"/>
              <w:rPr>
                <w:sz w:val="20"/>
                <w:szCs w:val="20"/>
                <w:color w:val="auto"/>
              </w:rPr>
            </w:pPr>
            <w:r>
              <w:rPr>
                <w:rFonts w:ascii="Arial" w:cs="Arial" w:eastAsia="Arial" w:hAnsi="Arial"/>
                <w:sz w:val="16"/>
                <w:szCs w:val="16"/>
                <w:color w:val="auto"/>
              </w:rPr>
              <w:t>Mexico</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New Zealand Ltd</w:t>
            </w:r>
          </w:p>
        </w:tc>
        <w:tc>
          <w:tcPr>
            <w:tcW w:w="4520" w:type="dxa"/>
            <w:vAlign w:val="bottom"/>
          </w:tcPr>
          <w:p>
            <w:pPr>
              <w:ind w:left="2560"/>
              <w:spacing w:after="0"/>
              <w:rPr>
                <w:sz w:val="20"/>
                <w:szCs w:val="20"/>
                <w:color w:val="auto"/>
              </w:rPr>
            </w:pPr>
            <w:r>
              <w:rPr>
                <w:rFonts w:ascii="Arial" w:cs="Arial" w:eastAsia="Arial" w:hAnsi="Arial"/>
                <w:sz w:val="16"/>
                <w:szCs w:val="16"/>
                <w:color w:val="auto"/>
              </w:rPr>
              <w:t>New Zealand</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Scholastic Argentina S.A</w:t>
            </w:r>
          </w:p>
        </w:tc>
        <w:tc>
          <w:tcPr>
            <w:tcW w:w="4520" w:type="dxa"/>
            <w:vAlign w:val="bottom"/>
          </w:tcPr>
          <w:p>
            <w:pPr>
              <w:ind w:left="2560"/>
              <w:spacing w:after="0"/>
              <w:rPr>
                <w:sz w:val="20"/>
                <w:szCs w:val="20"/>
                <w:color w:val="auto"/>
              </w:rPr>
            </w:pPr>
            <w:r>
              <w:rPr>
                <w:rFonts w:ascii="Arial" w:cs="Arial" w:eastAsia="Arial" w:hAnsi="Arial"/>
                <w:sz w:val="16"/>
                <w:szCs w:val="16"/>
                <w:color w:val="auto"/>
              </w:rPr>
              <w:t>Argentina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Grolier Incorporated</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21"/>
        </w:trPr>
        <w:tc>
          <w:tcPr>
            <w:tcW w:w="6940" w:type="dxa"/>
            <w:vAlign w:val="bottom"/>
          </w:tcPr>
          <w:p>
            <w:pPr>
              <w:ind w:left="300"/>
              <w:spacing w:after="0"/>
              <w:rPr>
                <w:sz w:val="20"/>
                <w:szCs w:val="20"/>
                <w:color w:val="auto"/>
              </w:rPr>
            </w:pPr>
            <w:r>
              <w:rPr>
                <w:rFonts w:ascii="Arial" w:cs="Arial" w:eastAsia="Arial" w:hAnsi="Arial"/>
                <w:sz w:val="16"/>
                <w:szCs w:val="16"/>
                <w:color w:val="auto"/>
              </w:rPr>
              <w:t>Scholastic at Home Inc. (formerly Grolier Enterprises Inc.)</w:t>
            </w:r>
          </w:p>
        </w:tc>
        <w:tc>
          <w:tcPr>
            <w:tcW w:w="45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07"/>
        </w:trPr>
        <w:tc>
          <w:tcPr>
            <w:tcW w:w="6940" w:type="dxa"/>
            <w:vAlign w:val="bottom"/>
            <w:tcBorders>
              <w:bottom w:val="single" w:sz="8" w:color="808080"/>
            </w:tcBorders>
          </w:tcPr>
          <w:p>
            <w:pPr>
              <w:spacing w:after="0"/>
              <w:rPr>
                <w:sz w:val="17"/>
                <w:szCs w:val="17"/>
                <w:color w:val="auto"/>
              </w:rPr>
            </w:pPr>
          </w:p>
        </w:tc>
        <w:tc>
          <w:tcPr>
            <w:tcW w:w="45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122555</wp:posOffset>
            </wp:positionV>
            <wp:extent cx="2047240" cy="281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47240" cy="28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20"/>
                <w:szCs w:val="20"/>
                <w:color w:val="auto"/>
              </w:rPr>
            </w:pPr>
            <w:r>
              <w:rPr>
                <w:rFonts w:ascii="Arial" w:cs="Arial" w:eastAsia="Arial" w:hAnsi="Arial"/>
                <w:sz w:val="16"/>
                <w:szCs w:val="16"/>
                <w:b w:val="1"/>
                <w:bCs w:val="1"/>
                <w:color w:val="auto"/>
              </w:rPr>
              <w:t xml:space="preserve">SUBSIDIARIES OF THE REGISTRANT </w:t>
            </w:r>
            <w:r>
              <w:rPr>
                <w:rFonts w:ascii="Arial" w:cs="Arial" w:eastAsia="Arial" w:hAnsi="Arial"/>
                <w:sz w:val="16"/>
                <w:szCs w:val="16"/>
                <w:color w:val="auto"/>
              </w:rPr>
              <w:t>(Continued)</w:t>
            </w:r>
          </w:p>
        </w:tc>
        <w:tc>
          <w:tcPr>
            <w:tcW w:w="3680" w:type="dxa"/>
            <w:vAlign w:val="bottom"/>
          </w:tcPr>
          <w:p>
            <w:pPr>
              <w:spacing w:after="0"/>
              <w:rPr>
                <w:sz w:val="18"/>
                <w:szCs w:val="18"/>
                <w:color w:val="auto"/>
              </w:rPr>
            </w:pPr>
          </w:p>
        </w:tc>
      </w:tr>
      <w:tr>
        <w:trPr>
          <w:trHeight w:val="394"/>
        </w:trPr>
        <w:tc>
          <w:tcPr>
            <w:tcW w:w="6940" w:type="dxa"/>
            <w:vAlign w:val="bottom"/>
          </w:tcPr>
          <w:p>
            <w:pPr>
              <w:spacing w:after="0"/>
              <w:rPr>
                <w:sz w:val="24"/>
                <w:szCs w:val="24"/>
                <w:color w:val="auto"/>
              </w:rPr>
            </w:pPr>
          </w:p>
        </w:tc>
        <w:tc>
          <w:tcPr>
            <w:tcW w:w="3680" w:type="dxa"/>
            <w:vAlign w:val="bottom"/>
          </w:tcPr>
          <w:p>
            <w:pPr>
              <w:ind w:left="2560"/>
              <w:spacing w:after="0"/>
              <w:rPr>
                <w:sz w:val="20"/>
                <w:szCs w:val="20"/>
                <w:color w:val="auto"/>
              </w:rPr>
            </w:pPr>
            <w:r>
              <w:rPr>
                <w:rFonts w:ascii="Arial" w:cs="Arial" w:eastAsia="Arial" w:hAnsi="Arial"/>
                <w:sz w:val="16"/>
                <w:szCs w:val="16"/>
                <w:b w:val="1"/>
                <w:bCs w:val="1"/>
                <w:color w:val="auto"/>
                <w:w w:val="97"/>
              </w:rPr>
              <w:t>JURISDICTION</w:t>
            </w:r>
          </w:p>
        </w:tc>
      </w:tr>
      <w:tr>
        <w:trPr>
          <w:trHeight w:val="201"/>
        </w:trPr>
        <w:tc>
          <w:tcPr>
            <w:tcW w:w="6940" w:type="dxa"/>
            <w:vAlign w:val="bottom"/>
          </w:tcPr>
          <w:p>
            <w:pPr>
              <w:spacing w:after="0"/>
              <w:rPr>
                <w:sz w:val="20"/>
                <w:szCs w:val="20"/>
                <w:color w:val="auto"/>
              </w:rPr>
            </w:pPr>
            <w:r>
              <w:rPr>
                <w:rFonts w:ascii="Arial" w:cs="Arial" w:eastAsia="Arial" w:hAnsi="Arial"/>
                <w:sz w:val="16"/>
                <w:szCs w:val="16"/>
                <w:color w:val="auto"/>
              </w:rPr>
              <w:t>Grolier Interactive Inc</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193"/>
        </w:trPr>
        <w:tc>
          <w:tcPr>
            <w:tcW w:w="6940" w:type="dxa"/>
            <w:vAlign w:val="bottom"/>
          </w:tcPr>
          <w:p>
            <w:pPr>
              <w:spacing w:after="0"/>
              <w:rPr>
                <w:sz w:val="20"/>
                <w:szCs w:val="20"/>
                <w:color w:val="auto"/>
              </w:rPr>
            </w:pPr>
            <w:r>
              <w:rPr>
                <w:rFonts w:ascii="Arial" w:cs="Arial" w:eastAsia="Arial" w:hAnsi="Arial"/>
                <w:sz w:val="16"/>
                <w:szCs w:val="16"/>
                <w:color w:val="auto"/>
              </w:rPr>
              <w:t>Scholastic Library Publishing, Inc</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09"/>
        </w:trPr>
        <w:tc>
          <w:tcPr>
            <w:tcW w:w="6940" w:type="dxa"/>
            <w:vAlign w:val="bottom"/>
          </w:tcPr>
          <w:p>
            <w:pPr>
              <w:ind w:left="140"/>
              <w:spacing w:after="0"/>
              <w:rPr>
                <w:sz w:val="20"/>
                <w:szCs w:val="20"/>
                <w:color w:val="auto"/>
              </w:rPr>
            </w:pPr>
            <w:r>
              <w:rPr>
                <w:rFonts w:ascii="Arial" w:cs="Arial" w:eastAsia="Arial" w:hAnsi="Arial"/>
                <w:sz w:val="16"/>
                <w:szCs w:val="16"/>
                <w:color w:val="auto"/>
              </w:rPr>
              <w:t>(formerly Grolier Publishing Co., Inc.)</w:t>
            </w:r>
          </w:p>
        </w:tc>
        <w:tc>
          <w:tcPr>
            <w:tcW w:w="3680" w:type="dxa"/>
            <w:vAlign w:val="bottom"/>
          </w:tcPr>
          <w:p>
            <w:pPr>
              <w:spacing w:after="0"/>
              <w:rPr>
                <w:sz w:val="18"/>
                <w:szCs w:val="18"/>
                <w:color w:val="auto"/>
              </w:rPr>
            </w:pPr>
          </w:p>
        </w:tc>
      </w:tr>
      <w:tr>
        <w:trPr>
          <w:trHeight w:val="189"/>
        </w:trPr>
        <w:tc>
          <w:tcPr>
            <w:tcW w:w="6940" w:type="dxa"/>
            <w:vAlign w:val="bottom"/>
          </w:tcPr>
          <w:p>
            <w:pPr>
              <w:spacing w:after="0"/>
              <w:rPr>
                <w:sz w:val="20"/>
                <w:szCs w:val="20"/>
                <w:color w:val="auto"/>
              </w:rPr>
            </w:pPr>
            <w:r>
              <w:rPr>
                <w:rFonts w:ascii="Arial" w:cs="Arial" w:eastAsia="Arial" w:hAnsi="Arial"/>
                <w:sz w:val="16"/>
                <w:szCs w:val="16"/>
                <w:color w:val="auto"/>
              </w:rPr>
              <w:t>Grolier Reading Programs Inc</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185"/>
        </w:trPr>
        <w:tc>
          <w:tcPr>
            <w:tcW w:w="6940" w:type="dxa"/>
            <w:vAlign w:val="bottom"/>
          </w:tcPr>
          <w:p>
            <w:pPr>
              <w:spacing w:after="0"/>
              <w:rPr>
                <w:sz w:val="20"/>
                <w:szCs w:val="20"/>
                <w:color w:val="auto"/>
              </w:rPr>
            </w:pPr>
            <w:r>
              <w:rPr>
                <w:rFonts w:ascii="Arial" w:cs="Arial" w:eastAsia="Arial" w:hAnsi="Arial"/>
                <w:sz w:val="16"/>
                <w:szCs w:val="16"/>
                <w:color w:val="auto"/>
              </w:rPr>
              <w:t>Grolier Telemarketing, Inc</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185"/>
        </w:trPr>
        <w:tc>
          <w:tcPr>
            <w:tcW w:w="6940" w:type="dxa"/>
            <w:vAlign w:val="bottom"/>
          </w:tcPr>
          <w:p>
            <w:pPr>
              <w:spacing w:after="0"/>
              <w:rPr>
                <w:sz w:val="20"/>
                <w:szCs w:val="20"/>
                <w:color w:val="auto"/>
              </w:rPr>
            </w:pPr>
            <w:r>
              <w:rPr>
                <w:rFonts w:ascii="Arial" w:cs="Arial" w:eastAsia="Arial" w:hAnsi="Arial"/>
                <w:sz w:val="16"/>
                <w:szCs w:val="16"/>
                <w:color w:val="auto"/>
              </w:rPr>
              <w:t>Grolier (New York) Incorporated</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185"/>
        </w:trPr>
        <w:tc>
          <w:tcPr>
            <w:tcW w:w="6940" w:type="dxa"/>
            <w:vAlign w:val="bottom"/>
          </w:tcPr>
          <w:p>
            <w:pPr>
              <w:spacing w:after="0"/>
              <w:rPr>
                <w:sz w:val="20"/>
                <w:szCs w:val="20"/>
                <w:color w:val="auto"/>
              </w:rPr>
            </w:pPr>
            <w:r>
              <w:rPr>
                <w:rFonts w:ascii="Arial" w:cs="Arial" w:eastAsia="Arial" w:hAnsi="Arial"/>
                <w:sz w:val="16"/>
                <w:szCs w:val="16"/>
                <w:color w:val="auto"/>
              </w:rPr>
              <w:t>Orchard Books, Inc</w:t>
            </w:r>
          </w:p>
        </w:tc>
        <w:tc>
          <w:tcPr>
            <w:tcW w:w="3680" w:type="dxa"/>
            <w:vAlign w:val="bottom"/>
          </w:tcPr>
          <w:p>
            <w:pPr>
              <w:ind w:left="2560"/>
              <w:spacing w:after="0"/>
              <w:rPr>
                <w:sz w:val="20"/>
                <w:szCs w:val="20"/>
                <w:color w:val="auto"/>
              </w:rPr>
            </w:pPr>
            <w:r>
              <w:rPr>
                <w:rFonts w:ascii="Arial" w:cs="Arial" w:eastAsia="Arial" w:hAnsi="Arial"/>
                <w:sz w:val="16"/>
                <w:szCs w:val="16"/>
                <w:color w:val="auto"/>
              </w:rPr>
              <w:t>New York</w:t>
            </w:r>
          </w:p>
        </w:tc>
      </w:tr>
      <w:tr>
        <w:trPr>
          <w:trHeight w:val="185"/>
        </w:trPr>
        <w:tc>
          <w:tcPr>
            <w:tcW w:w="6940" w:type="dxa"/>
            <w:vAlign w:val="bottom"/>
          </w:tcPr>
          <w:p>
            <w:pPr>
              <w:spacing w:after="0"/>
              <w:rPr>
                <w:sz w:val="20"/>
                <w:szCs w:val="20"/>
                <w:color w:val="auto"/>
              </w:rPr>
            </w:pPr>
            <w:r>
              <w:rPr>
                <w:rFonts w:ascii="Arial" w:cs="Arial" w:eastAsia="Arial" w:hAnsi="Arial"/>
                <w:sz w:val="16"/>
                <w:szCs w:val="16"/>
                <w:color w:val="auto"/>
              </w:rPr>
              <w:t>Publishers World Trade Corporation</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185"/>
        </w:trPr>
        <w:tc>
          <w:tcPr>
            <w:tcW w:w="6940" w:type="dxa"/>
            <w:vAlign w:val="bottom"/>
          </w:tcPr>
          <w:p>
            <w:pPr>
              <w:spacing w:after="0"/>
              <w:rPr>
                <w:sz w:val="20"/>
                <w:szCs w:val="20"/>
                <w:color w:val="auto"/>
              </w:rPr>
            </w:pPr>
            <w:r>
              <w:rPr>
                <w:rFonts w:ascii="Arial" w:cs="Arial" w:eastAsia="Arial" w:hAnsi="Arial"/>
                <w:sz w:val="16"/>
                <w:szCs w:val="16"/>
                <w:color w:val="auto"/>
              </w:rPr>
              <w:t>Federated Credit Corp</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193"/>
        </w:trPr>
        <w:tc>
          <w:tcPr>
            <w:tcW w:w="6940" w:type="dxa"/>
            <w:vAlign w:val="bottom"/>
          </w:tcPr>
          <w:p>
            <w:pPr>
              <w:spacing w:after="0"/>
              <w:rPr>
                <w:sz w:val="20"/>
                <w:szCs w:val="20"/>
                <w:color w:val="auto"/>
              </w:rPr>
            </w:pPr>
            <w:r>
              <w:rPr>
                <w:rFonts w:ascii="Arial" w:cs="Arial" w:eastAsia="Arial" w:hAnsi="Arial"/>
                <w:sz w:val="16"/>
                <w:szCs w:val="16"/>
                <w:color w:val="auto"/>
              </w:rPr>
              <w:t>Grolier International, Inc</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09"/>
        </w:trPr>
        <w:tc>
          <w:tcPr>
            <w:tcW w:w="6940" w:type="dxa"/>
            <w:vAlign w:val="bottom"/>
          </w:tcPr>
          <w:p>
            <w:pPr>
              <w:ind w:left="140"/>
              <w:spacing w:after="0"/>
              <w:rPr>
                <w:sz w:val="20"/>
                <w:szCs w:val="20"/>
                <w:color w:val="auto"/>
              </w:rPr>
            </w:pPr>
            <w:r>
              <w:rPr>
                <w:rFonts w:ascii="Arial" w:cs="Arial" w:eastAsia="Arial" w:hAnsi="Arial"/>
                <w:sz w:val="16"/>
                <w:szCs w:val="16"/>
                <w:color w:val="auto"/>
              </w:rPr>
              <w:t>Grolier International Finance Inc. (Philippines) (60% owned)</w:t>
            </w:r>
          </w:p>
        </w:tc>
        <w:tc>
          <w:tcPr>
            <w:tcW w:w="3680" w:type="dxa"/>
            <w:vAlign w:val="bottom"/>
          </w:tcPr>
          <w:p>
            <w:pPr>
              <w:ind w:left="2560"/>
              <w:spacing w:after="0"/>
              <w:rPr>
                <w:sz w:val="20"/>
                <w:szCs w:val="20"/>
                <w:color w:val="auto"/>
              </w:rPr>
            </w:pPr>
            <w:r>
              <w:rPr>
                <w:rFonts w:ascii="Arial" w:cs="Arial" w:eastAsia="Arial" w:hAnsi="Arial"/>
                <w:sz w:val="16"/>
                <w:szCs w:val="16"/>
                <w:color w:val="auto"/>
              </w:rPr>
              <w:t>Philippines</w:t>
            </w:r>
          </w:p>
        </w:tc>
      </w:tr>
      <w:tr>
        <w:trPr>
          <w:trHeight w:val="197"/>
        </w:trPr>
        <w:tc>
          <w:tcPr>
            <w:tcW w:w="6940" w:type="dxa"/>
            <w:vAlign w:val="bottom"/>
          </w:tcPr>
          <w:p>
            <w:pPr>
              <w:spacing w:after="0"/>
              <w:rPr>
                <w:sz w:val="20"/>
                <w:szCs w:val="20"/>
                <w:color w:val="auto"/>
              </w:rPr>
            </w:pPr>
            <w:r>
              <w:rPr>
                <w:rFonts w:ascii="Arial" w:cs="Arial" w:eastAsia="Arial" w:hAnsi="Arial"/>
                <w:sz w:val="16"/>
                <w:szCs w:val="16"/>
                <w:color w:val="auto"/>
              </w:rPr>
              <w:t>Grolier Overseas Incorporated</w:t>
            </w:r>
          </w:p>
        </w:tc>
        <w:tc>
          <w:tcPr>
            <w:tcW w:w="368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09"/>
        </w:trPr>
        <w:tc>
          <w:tcPr>
            <w:tcW w:w="6940" w:type="dxa"/>
            <w:vAlign w:val="bottom"/>
          </w:tcPr>
          <w:p>
            <w:pPr>
              <w:ind w:left="140"/>
              <w:spacing w:after="0"/>
              <w:rPr>
                <w:sz w:val="20"/>
                <w:szCs w:val="20"/>
                <w:color w:val="auto"/>
              </w:rPr>
            </w:pPr>
            <w:r>
              <w:rPr>
                <w:rFonts w:ascii="Arial" w:cs="Arial" w:eastAsia="Arial" w:hAnsi="Arial"/>
                <w:sz w:val="16"/>
                <w:szCs w:val="16"/>
                <w:color w:val="auto"/>
              </w:rPr>
              <w:t>Grolier International Private Limited (India)</w:t>
            </w:r>
          </w:p>
        </w:tc>
        <w:tc>
          <w:tcPr>
            <w:tcW w:w="3680" w:type="dxa"/>
            <w:vAlign w:val="bottom"/>
          </w:tcPr>
          <w:p>
            <w:pPr>
              <w:ind w:left="2560"/>
              <w:spacing w:after="0"/>
              <w:rPr>
                <w:sz w:val="20"/>
                <w:szCs w:val="20"/>
                <w:color w:val="auto"/>
              </w:rPr>
            </w:pPr>
            <w:r>
              <w:rPr>
                <w:rFonts w:ascii="Arial" w:cs="Arial" w:eastAsia="Arial" w:hAnsi="Arial"/>
                <w:sz w:val="16"/>
                <w:szCs w:val="16"/>
                <w:color w:val="auto"/>
              </w:rPr>
              <w:t>India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Grolier (Malaysia) SDN BHD (40% owned)</w:t>
            </w:r>
          </w:p>
        </w:tc>
        <w:tc>
          <w:tcPr>
            <w:tcW w:w="3680" w:type="dxa"/>
            <w:vAlign w:val="bottom"/>
          </w:tcPr>
          <w:p>
            <w:pPr>
              <w:ind w:left="2560"/>
              <w:spacing w:after="0"/>
              <w:rPr>
                <w:sz w:val="20"/>
                <w:szCs w:val="20"/>
                <w:color w:val="auto"/>
              </w:rPr>
            </w:pPr>
            <w:r>
              <w:rPr>
                <w:rFonts w:ascii="Arial" w:cs="Arial" w:eastAsia="Arial" w:hAnsi="Arial"/>
                <w:sz w:val="16"/>
                <w:szCs w:val="16"/>
                <w:color w:val="auto"/>
              </w:rPr>
              <w:t>Malaysia</w:t>
            </w:r>
          </w:p>
        </w:tc>
      </w:tr>
      <w:tr>
        <w:trPr>
          <w:trHeight w:val="221"/>
        </w:trPr>
        <w:tc>
          <w:tcPr>
            <w:tcW w:w="6940" w:type="dxa"/>
            <w:vAlign w:val="bottom"/>
          </w:tcPr>
          <w:p>
            <w:pPr>
              <w:ind w:left="140"/>
              <w:spacing w:after="0"/>
              <w:rPr>
                <w:sz w:val="20"/>
                <w:szCs w:val="20"/>
                <w:color w:val="auto"/>
              </w:rPr>
            </w:pPr>
            <w:r>
              <w:rPr>
                <w:rFonts w:ascii="Arial" w:cs="Arial" w:eastAsia="Arial" w:hAnsi="Arial"/>
                <w:sz w:val="16"/>
                <w:szCs w:val="16"/>
                <w:color w:val="auto"/>
              </w:rPr>
              <w:t>Grolier Limited (Canada)</w:t>
            </w:r>
          </w:p>
        </w:tc>
        <w:tc>
          <w:tcPr>
            <w:tcW w:w="3680" w:type="dxa"/>
            <w:vAlign w:val="bottom"/>
          </w:tcPr>
          <w:p>
            <w:pPr>
              <w:ind w:left="2560"/>
              <w:spacing w:after="0"/>
              <w:rPr>
                <w:sz w:val="20"/>
                <w:szCs w:val="20"/>
                <w:color w:val="auto"/>
              </w:rPr>
            </w:pPr>
            <w:r>
              <w:rPr>
                <w:rFonts w:ascii="Arial" w:cs="Arial" w:eastAsia="Arial" w:hAnsi="Arial"/>
                <w:sz w:val="16"/>
                <w:szCs w:val="16"/>
                <w:color w:val="auto"/>
              </w:rPr>
              <w:t>Canada</w:t>
            </w:r>
          </w:p>
        </w:tc>
      </w:tr>
    </w:tbl>
    <w:p>
      <w:pPr>
        <w:sectPr>
          <w:pgSz w:w="11900" w:h="16864" w:orient="portrait"/>
          <w:cols w:equalWidth="0" w:num="1">
            <w:col w:w="11460"/>
          </w:cols>
          <w:pgMar w:left="240" w:top="787" w:right="19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Caribe Grolier, Inc</w:t>
            </w:r>
          </w:p>
        </w:tc>
        <w:tc>
          <w:tcPr>
            <w:tcW w:w="4200" w:type="dxa"/>
            <w:vAlign w:val="bottom"/>
          </w:tcPr>
          <w:p>
            <w:pPr>
              <w:ind w:left="3360"/>
              <w:spacing w:after="0"/>
              <w:rPr>
                <w:sz w:val="20"/>
                <w:szCs w:val="20"/>
                <w:color w:val="auto"/>
              </w:rPr>
            </w:pPr>
            <w:r>
              <w:rPr>
                <w:rFonts w:ascii="Arial" w:cs="Arial" w:eastAsia="Arial" w:hAnsi="Arial"/>
                <w:sz w:val="16"/>
                <w:szCs w:val="16"/>
                <w:color w:val="auto"/>
                <w:w w:val="98"/>
              </w:rPr>
              <w:t>Puerto Rico</w:t>
            </w:r>
          </w:p>
        </w:tc>
      </w:tr>
      <w:tr>
        <w:trPr>
          <w:trHeight w:val="221"/>
        </w:trPr>
        <w:tc>
          <w:tcPr>
            <w:tcW w:w="6000" w:type="dxa"/>
            <w:vAlign w:val="bottom"/>
          </w:tcPr>
          <w:p>
            <w:pPr>
              <w:spacing w:after="0"/>
              <w:rPr>
                <w:sz w:val="20"/>
                <w:szCs w:val="20"/>
                <w:color w:val="auto"/>
              </w:rPr>
            </w:pPr>
            <w:r>
              <w:rPr>
                <w:rFonts w:ascii="Arial" w:cs="Arial" w:eastAsia="Arial" w:hAnsi="Arial"/>
                <w:sz w:val="16"/>
                <w:szCs w:val="16"/>
                <w:color w:val="auto"/>
              </w:rPr>
              <w:t>Grolier Limited (U.K.)</w:t>
            </w:r>
          </w:p>
        </w:tc>
        <w:tc>
          <w:tcPr>
            <w:tcW w:w="4200" w:type="dxa"/>
            <w:vAlign w:val="bottom"/>
          </w:tcPr>
          <w:p>
            <w:pPr>
              <w:ind w:left="3360"/>
              <w:spacing w:after="0"/>
              <w:rPr>
                <w:sz w:val="20"/>
                <w:szCs w:val="20"/>
                <w:color w:val="auto"/>
              </w:rPr>
            </w:pPr>
            <w:r>
              <w:rPr>
                <w:rFonts w:ascii="Arial" w:cs="Arial" w:eastAsia="Arial" w:hAnsi="Arial"/>
                <w:sz w:val="16"/>
                <w:szCs w:val="16"/>
                <w:color w:val="auto"/>
              </w:rPr>
              <w:t>England</w:t>
            </w:r>
          </w:p>
        </w:tc>
      </w:tr>
      <w:tr>
        <w:trPr>
          <w:trHeight w:val="221"/>
        </w:trPr>
        <w:tc>
          <w:tcPr>
            <w:tcW w:w="6000" w:type="dxa"/>
            <w:vAlign w:val="bottom"/>
          </w:tcPr>
          <w:p>
            <w:pPr>
              <w:spacing w:after="0"/>
              <w:rPr>
                <w:sz w:val="20"/>
                <w:szCs w:val="20"/>
                <w:color w:val="auto"/>
              </w:rPr>
            </w:pPr>
            <w:r>
              <w:rPr>
                <w:rFonts w:ascii="Arial" w:cs="Arial" w:eastAsia="Arial" w:hAnsi="Arial"/>
                <w:sz w:val="16"/>
                <w:szCs w:val="16"/>
                <w:color w:val="auto"/>
              </w:rPr>
              <w:t>Grolier Credit Services (U.K.) Limited</w:t>
            </w:r>
          </w:p>
        </w:tc>
        <w:tc>
          <w:tcPr>
            <w:tcW w:w="4200" w:type="dxa"/>
            <w:vAlign w:val="bottom"/>
          </w:tcPr>
          <w:p>
            <w:pPr>
              <w:ind w:left="3360"/>
              <w:spacing w:after="0"/>
              <w:rPr>
                <w:sz w:val="20"/>
                <w:szCs w:val="20"/>
                <w:color w:val="auto"/>
              </w:rPr>
            </w:pPr>
            <w:r>
              <w:rPr>
                <w:rFonts w:ascii="Arial" w:cs="Arial" w:eastAsia="Arial" w:hAnsi="Arial"/>
                <w:sz w:val="16"/>
                <w:szCs w:val="16"/>
                <w:color w:val="auto"/>
              </w:rPr>
              <w:t>England</w:t>
            </w:r>
          </w:p>
        </w:tc>
      </w:tr>
    </w:tbl>
    <w:p>
      <w:pPr>
        <w:sectPr>
          <w:pgSz w:w="11900" w:h="16838" w:orient="portrait"/>
          <w:cols w:equalWidth="0" w:num="1">
            <w:col w:w="10200"/>
          </w:cols>
          <w:pgMar w:left="380" w:top="142" w:right="131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2760980</wp:posOffset>
            </wp:positionH>
            <wp:positionV relativeFrom="page">
              <wp:posOffset>88900</wp:posOffset>
            </wp:positionV>
            <wp:extent cx="2039620" cy="2736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2039620" cy="273685"/>
                    </a:xfrm>
                    <a:prstGeom prst="rect">
                      <a:avLst/>
                    </a:prstGeom>
                    <a:noFill/>
                  </pic:spPr>
                </pic:pic>
              </a:graphicData>
            </a:graphic>
          </wp:anchor>
        </w:drawing>
        <w:t>Exhibit 23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Auditors</w:t>
      </w:r>
    </w:p>
    <w:p>
      <w:pPr>
        <w:spacing w:after="0" w:line="217"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We consent to the incorporation by reference in the Registration Statements (Form S-8 No. 33-48655, No. 33-69058 and No. 33-91090) pertaining to the Scholastic Corporation 401(K) Savings and Retirement Plan; Registration Statement (Form S-8 No. 33-46338) pertaining to the 1992 Stock Option Plan; Registration Statement (Form S-8 No. 33-50128) pertaining to the 1992 Outside Directors’ Stock Option Plan; Registration Statement (Form S-8 No. 333-62297) pertaining to Scholastic Corporation 1997 Outside Directors’ Stock Option Plan; Registration Statement (Form S-8 No. 333-65757) pertaining to the Scholastic Corporation 1995 Stock Option Plan; Registration Statement (Form S-8 No. 333-68181) pertaining to the Scholastic Corporation Employee Stock Purchase Plan; Registration Statement (Form S-8 No. 333-68185) pertaining to the Scholastic Corporation Management Stock Purchase Plan; and Registration Statement (Form S-4 No. 333-104799) pertaining to the issuance of up to $175,000,000 of 5% Notes due 2013, of our report dated July 14, 2003, with respect to the consolidated financial statements and schedule of Scholastic Corporation included in this Annual Report (Form 10-K) for the year ended May 31, 2003.</w:t>
      </w:r>
    </w:p>
    <w:p>
      <w:pPr>
        <w:spacing w:after="0" w:line="202"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Ernst &amp; Young LLP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August 15, 2003</w:t>
      </w:r>
    </w:p>
    <w:p>
      <w:pPr>
        <w:sectPr>
          <w:pgSz w:w="11900" w:h="16838" w:orient="portrait"/>
          <w:cols w:equalWidth="0" w:num="1">
            <w:col w:w="11400"/>
          </w:cols>
          <w:pgMar w:left="240" w:top="750" w:right="259" w:bottom="1440" w:gutter="0" w:footer="0" w:header="0"/>
        </w:sectPr>
      </w:pPr>
    </w:p>
    <w:bookmarkStart w:id="46" w:name="page47"/>
    <w:bookmarkEnd w:id="46"/>
    <w:p>
      <w:pPr>
        <w:ind w:left="280"/>
        <w:spacing w:after="0"/>
        <w:rPr>
          <w:sz w:val="20"/>
          <w:szCs w:val="20"/>
          <w:color w:val="auto"/>
        </w:rPr>
      </w:pPr>
      <w:r>
        <w:rPr>
          <w:rFonts w:ascii="Arial" w:cs="Arial" w:eastAsia="Arial" w:hAnsi="Arial"/>
          <w:sz w:val="16"/>
          <w:szCs w:val="16"/>
          <w:b w:val="1"/>
          <w:bCs w:val="1"/>
          <w:color w:val="auto"/>
        </w:rPr>
        <w:t>Exhibit 31.1</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 Richard Robinson, the principal executive officer of Scholastic Corporation, certify that:</w:t>
      </w:r>
    </w:p>
    <w:p>
      <w:pPr>
        <w:spacing w:after="0" w:line="62" w:lineRule="exact"/>
        <w:rPr>
          <w:sz w:val="20"/>
          <w:szCs w:val="20"/>
          <w:color w:val="auto"/>
        </w:rPr>
      </w:pPr>
    </w:p>
    <w:p>
      <w:pPr>
        <w:ind w:left="740" w:hanging="34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Scholastic Corporation;</w:t>
      </w:r>
    </w:p>
    <w:p>
      <w:pPr>
        <w:spacing w:after="0" w:line="271" w:lineRule="exact"/>
        <w:rPr>
          <w:rFonts w:ascii="Arial" w:cs="Arial" w:eastAsia="Arial" w:hAnsi="Arial"/>
          <w:sz w:val="16"/>
          <w:szCs w:val="16"/>
          <w:color w:val="auto"/>
        </w:rPr>
      </w:pPr>
    </w:p>
    <w:p>
      <w:pPr>
        <w:jc w:val="both"/>
        <w:ind w:left="740" w:right="280" w:hanging="348"/>
        <w:spacing w:after="0" w:line="246"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Arial" w:cs="Arial" w:eastAsia="Arial" w:hAnsi="Arial"/>
          <w:sz w:val="16"/>
          <w:szCs w:val="16"/>
          <w:color w:val="auto"/>
        </w:rPr>
      </w:pPr>
    </w:p>
    <w:p>
      <w:pPr>
        <w:ind w:left="740" w:right="400" w:hanging="348"/>
        <w:spacing w:after="0" w:line="25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6"/>
          <w:szCs w:val="16"/>
          <w:color w:val="auto"/>
        </w:rPr>
      </w:pPr>
    </w:p>
    <w:p>
      <w:pPr>
        <w:ind w:left="740" w:right="580" w:hanging="348"/>
        <w:spacing w:after="0" w:line="25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339" w:lineRule="exact"/>
        <w:rPr>
          <w:rFonts w:ascii="Arial" w:cs="Arial" w:eastAsia="Arial" w:hAnsi="Arial"/>
          <w:sz w:val="16"/>
          <w:szCs w:val="16"/>
          <w:color w:val="auto"/>
        </w:rPr>
      </w:pPr>
    </w:p>
    <w:p>
      <w:pPr>
        <w:ind w:left="740" w:right="140" w:firstLine="9"/>
        <w:spacing w:after="0" w:line="246" w:lineRule="auto"/>
        <w:tabs>
          <w:tab w:leader="none" w:pos="927"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7" w:lineRule="exact"/>
        <w:rPr>
          <w:rFonts w:ascii="Arial" w:cs="Arial" w:eastAsia="Arial" w:hAnsi="Arial"/>
          <w:sz w:val="16"/>
          <w:szCs w:val="16"/>
          <w:color w:val="auto"/>
        </w:rPr>
      </w:pPr>
    </w:p>
    <w:p>
      <w:pPr>
        <w:ind w:left="740" w:right="820" w:firstLine="9"/>
        <w:spacing w:after="0" w:line="285" w:lineRule="auto"/>
        <w:tabs>
          <w:tab w:leader="none" w:pos="927"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9" w:lineRule="exact"/>
        <w:rPr>
          <w:rFonts w:ascii="Arial" w:cs="Arial" w:eastAsia="Arial" w:hAnsi="Arial"/>
          <w:sz w:val="15"/>
          <w:szCs w:val="15"/>
          <w:color w:val="auto"/>
        </w:rPr>
      </w:pPr>
    </w:p>
    <w:p>
      <w:pPr>
        <w:jc w:val="both"/>
        <w:ind w:left="740" w:right="60" w:firstLine="9"/>
        <w:spacing w:after="0" w:line="246" w:lineRule="auto"/>
        <w:tabs>
          <w:tab w:leader="none" w:pos="91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7" w:lineRule="exact"/>
        <w:rPr>
          <w:rFonts w:ascii="Arial" w:cs="Arial" w:eastAsia="Arial" w:hAnsi="Arial"/>
          <w:sz w:val="16"/>
          <w:szCs w:val="16"/>
          <w:color w:val="auto"/>
        </w:rPr>
      </w:pPr>
    </w:p>
    <w:p>
      <w:pPr>
        <w:ind w:left="740" w:right="340" w:hanging="348"/>
        <w:spacing w:after="0" w:line="25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39" w:lineRule="exact"/>
        <w:rPr>
          <w:rFonts w:ascii="Arial" w:cs="Arial" w:eastAsia="Arial" w:hAnsi="Arial"/>
          <w:sz w:val="16"/>
          <w:szCs w:val="16"/>
          <w:color w:val="auto"/>
        </w:rPr>
      </w:pPr>
    </w:p>
    <w:p>
      <w:pPr>
        <w:ind w:left="740" w:right="20" w:firstLine="9"/>
        <w:spacing w:after="0" w:line="252" w:lineRule="auto"/>
        <w:tabs>
          <w:tab w:leader="none" w:pos="92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2" w:lineRule="exact"/>
        <w:rPr>
          <w:rFonts w:ascii="Arial" w:cs="Arial" w:eastAsia="Arial" w:hAnsi="Arial"/>
          <w:sz w:val="16"/>
          <w:szCs w:val="16"/>
          <w:color w:val="auto"/>
        </w:rPr>
      </w:pPr>
    </w:p>
    <w:p>
      <w:pPr>
        <w:ind w:left="740" w:firstLine="9"/>
        <w:spacing w:after="0" w:line="252" w:lineRule="auto"/>
        <w:tabs>
          <w:tab w:leader="none" w:pos="92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Date: August 15, 2003</w:t>
      </w:r>
    </w:p>
    <w:p>
      <w:pPr>
        <w:spacing w:after="0" w:line="25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74295</wp:posOffset>
            </wp:positionV>
            <wp:extent cx="464629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646295" cy="20320"/>
                    </a:xfrm>
                    <a:prstGeom prst="rect">
                      <a:avLst/>
                    </a:prstGeom>
                    <a:noFill/>
                  </pic:spPr>
                </pic:pic>
              </a:graphicData>
            </a:graphic>
          </wp:anchor>
        </w:drawing>
      </w:r>
    </w:p>
    <w:p>
      <w:pPr>
        <w:spacing w:after="0" w:line="23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Richard Robinson</w:t>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Chairman of the Board,</w:t>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360"/>
          </w:cols>
          <w:pgMar w:left="240" w:top="184" w:right="2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Exhibit 31.2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Kevin J. McEnery, the principal financial officer of Scholastic Corporation, certify that:</w:t>
      </w:r>
    </w:p>
    <w:p>
      <w:pPr>
        <w:spacing w:after="0" w:line="234" w:lineRule="exact"/>
        <w:rPr>
          <w:sz w:val="20"/>
          <w:szCs w:val="20"/>
          <w:color w:val="auto"/>
        </w:rPr>
      </w:pPr>
    </w:p>
    <w:p>
      <w:pPr>
        <w:ind w:left="620" w:hanging="585"/>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Scholastic Corporation;</w:t>
      </w:r>
    </w:p>
    <w:p>
      <w:pPr>
        <w:spacing w:after="0" w:line="271" w:lineRule="exact"/>
        <w:rPr>
          <w:rFonts w:ascii="Arial" w:cs="Arial" w:eastAsia="Arial" w:hAnsi="Arial"/>
          <w:sz w:val="16"/>
          <w:szCs w:val="16"/>
          <w:color w:val="auto"/>
        </w:rPr>
      </w:pPr>
    </w:p>
    <w:p>
      <w:pPr>
        <w:jc w:val="both"/>
        <w:ind w:left="620" w:right="280" w:hanging="585"/>
        <w:spacing w:after="0" w:line="246"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Arial" w:cs="Arial" w:eastAsia="Arial" w:hAnsi="Arial"/>
          <w:sz w:val="16"/>
          <w:szCs w:val="16"/>
          <w:color w:val="auto"/>
        </w:rPr>
      </w:pPr>
    </w:p>
    <w:p>
      <w:pPr>
        <w:ind w:left="620" w:right="400" w:hanging="585"/>
        <w:spacing w:after="0" w:line="252"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6"/>
          <w:szCs w:val="16"/>
          <w:color w:val="auto"/>
        </w:rPr>
      </w:pPr>
    </w:p>
    <w:p>
      <w:pPr>
        <w:ind w:left="620" w:right="580" w:hanging="585"/>
        <w:spacing w:after="0" w:line="252"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93" w:lineRule="exact"/>
        <w:rPr>
          <w:rFonts w:ascii="Arial" w:cs="Arial" w:eastAsia="Arial" w:hAnsi="Arial"/>
          <w:sz w:val="16"/>
          <w:szCs w:val="16"/>
          <w:color w:val="auto"/>
        </w:rPr>
      </w:pPr>
    </w:p>
    <w:p>
      <w:pPr>
        <w:ind w:left="620" w:right="140" w:firstLine="6"/>
        <w:spacing w:after="0" w:line="246" w:lineRule="auto"/>
        <w:tabs>
          <w:tab w:leader="none" w:pos="8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7" w:lineRule="exact"/>
        <w:rPr>
          <w:rFonts w:ascii="Arial" w:cs="Arial" w:eastAsia="Arial" w:hAnsi="Arial"/>
          <w:sz w:val="16"/>
          <w:szCs w:val="16"/>
          <w:color w:val="auto"/>
        </w:rPr>
      </w:pPr>
    </w:p>
    <w:p>
      <w:pPr>
        <w:ind w:left="620" w:right="820" w:firstLine="6"/>
        <w:spacing w:after="0" w:line="285" w:lineRule="auto"/>
        <w:tabs>
          <w:tab w:leader="none" w:pos="807"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9" w:lineRule="exact"/>
        <w:rPr>
          <w:rFonts w:ascii="Arial" w:cs="Arial" w:eastAsia="Arial" w:hAnsi="Arial"/>
          <w:sz w:val="15"/>
          <w:szCs w:val="15"/>
          <w:color w:val="auto"/>
        </w:rPr>
      </w:pPr>
    </w:p>
    <w:p>
      <w:pPr>
        <w:jc w:val="both"/>
        <w:ind w:left="620" w:right="60" w:firstLine="6"/>
        <w:spacing w:after="0" w:line="246" w:lineRule="auto"/>
        <w:tabs>
          <w:tab w:leader="none" w:pos="79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7" w:lineRule="exact"/>
        <w:rPr>
          <w:rFonts w:ascii="Arial" w:cs="Arial" w:eastAsia="Arial" w:hAnsi="Arial"/>
          <w:sz w:val="16"/>
          <w:szCs w:val="16"/>
          <w:color w:val="auto"/>
        </w:rPr>
      </w:pPr>
    </w:p>
    <w:p>
      <w:pPr>
        <w:ind w:left="620" w:right="340" w:hanging="585"/>
        <w:spacing w:after="0" w:line="252"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39" w:lineRule="exact"/>
        <w:rPr>
          <w:rFonts w:ascii="Arial" w:cs="Arial" w:eastAsia="Arial" w:hAnsi="Arial"/>
          <w:sz w:val="16"/>
          <w:szCs w:val="16"/>
          <w:color w:val="auto"/>
        </w:rPr>
      </w:pPr>
    </w:p>
    <w:p>
      <w:pPr>
        <w:ind w:left="620" w:right="20" w:firstLine="6"/>
        <w:spacing w:after="0" w:line="252" w:lineRule="auto"/>
        <w:tabs>
          <w:tab w:leader="none" w:pos="8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2" w:lineRule="exact"/>
        <w:rPr>
          <w:rFonts w:ascii="Arial" w:cs="Arial" w:eastAsia="Arial" w:hAnsi="Arial"/>
          <w:sz w:val="16"/>
          <w:szCs w:val="16"/>
          <w:color w:val="auto"/>
        </w:rPr>
      </w:pPr>
    </w:p>
    <w:p>
      <w:pPr>
        <w:ind w:left="620" w:firstLine="6"/>
        <w:spacing w:after="0" w:line="252" w:lineRule="auto"/>
        <w:tabs>
          <w:tab w:leader="none" w:pos="8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Date: August 15, 2003</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 Kevin J. McEnery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74295</wp:posOffset>
            </wp:positionV>
            <wp:extent cx="4138295"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138295" cy="20320"/>
                    </a:xfrm>
                    <a:prstGeom prst="rect">
                      <a:avLst/>
                    </a:prstGeom>
                    <a:noFill/>
                  </pic:spPr>
                </pic:pic>
              </a:graphicData>
            </a:graphic>
          </wp:anchor>
        </w:drawing>
      </w:r>
    </w:p>
    <w:p>
      <w:pPr>
        <w:spacing w:after="0" w:line="239"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Kevin J. McEnery</w:t>
      </w:r>
    </w:p>
    <w:p>
      <w:pPr>
        <w:spacing w:after="0" w:line="38"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Executive Vice President</w:t>
      </w:r>
    </w:p>
    <w:p>
      <w:pPr>
        <w:spacing w:after="0" w:line="38"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and Chief Financial Officer</w:t>
      </w:r>
    </w:p>
    <w:p>
      <w:pPr>
        <w:sectPr>
          <w:pgSz w:w="11900" w:h="16838" w:orient="portrait"/>
          <w:cols w:equalWidth="0" w:num="1">
            <w:col w:w="11240"/>
          </w:cols>
          <w:pgMar w:left="240" w:top="122" w:right="41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Exhibit 32</w:t>
      </w:r>
    </w:p>
    <w:p>
      <w:pPr>
        <w:spacing w:after="0" w:line="189" w:lineRule="exact"/>
        <w:rPr>
          <w:sz w:val="20"/>
          <w:szCs w:val="20"/>
          <w:color w:val="auto"/>
        </w:rPr>
      </w:pPr>
    </w:p>
    <w:p>
      <w:pPr>
        <w:ind w:right="5300"/>
        <w:spacing w:after="0" w:line="238" w:lineRule="auto"/>
        <w:rPr>
          <w:sz w:val="20"/>
          <w:szCs w:val="20"/>
          <w:color w:val="auto"/>
        </w:rPr>
      </w:pPr>
      <w:r>
        <w:rPr>
          <w:rFonts w:ascii="Arial" w:cs="Arial" w:eastAsia="Arial" w:hAnsi="Arial"/>
          <w:sz w:val="20"/>
          <w:szCs w:val="20"/>
          <w:b w:val="1"/>
          <w:bCs w:val="1"/>
          <w:color w:val="auto"/>
        </w:rPr>
        <w:t>Certification Pursuant to Section 906 of the Sarbanes-Oxley Act of 2002 with Respect to the Annual Report on Form 10-K for the Year ended May 31, 2003</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 Scholastic Corporation</w:t>
      </w:r>
    </w:p>
    <w:p>
      <w:pPr>
        <w:spacing w:after="0" w:line="172" w:lineRule="exact"/>
        <w:rPr>
          <w:sz w:val="20"/>
          <w:szCs w:val="20"/>
          <w:color w:val="auto"/>
        </w:rPr>
      </w:pPr>
    </w:p>
    <w:p>
      <w:pPr>
        <w:ind w:firstLine="591"/>
        <w:spacing w:after="0" w:line="241" w:lineRule="auto"/>
        <w:rPr>
          <w:sz w:val="20"/>
          <w:szCs w:val="20"/>
          <w:color w:val="auto"/>
        </w:rPr>
      </w:pPr>
      <w:r>
        <w:rPr>
          <w:rFonts w:ascii="Arial" w:cs="Arial" w:eastAsia="Arial" w:hAnsi="Arial"/>
          <w:sz w:val="20"/>
          <w:szCs w:val="20"/>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205" w:lineRule="exact"/>
        <w:rPr>
          <w:sz w:val="20"/>
          <w:szCs w:val="20"/>
          <w:color w:val="auto"/>
        </w:rPr>
      </w:pPr>
    </w:p>
    <w:p>
      <w:pPr>
        <w:ind w:left="1220" w:right="440" w:hanging="594"/>
        <w:spacing w:after="0" w:line="270" w:lineRule="auto"/>
        <w:tabs>
          <w:tab w:leader="none" w:pos="12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Company’s Annual Report on Form 10-K for the year ended May 31, 2003 (the “Form 10-K”) fully complies with the requirements of Section 13(a) or 15(d) of the Securities Exchange Act of 1934, as amended; and</w:t>
      </w:r>
    </w:p>
    <w:p>
      <w:pPr>
        <w:ind w:left="1220" w:right="40" w:hanging="594"/>
        <w:spacing w:after="0" w:line="251" w:lineRule="auto"/>
        <w:tabs>
          <w:tab w:leader="none" w:pos="12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2"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auto"/>
        </w:rPr>
        <w:t>Dated: August 15, 2003</w:t>
      </w:r>
      <w:r>
        <w:rPr>
          <w:sz w:val="20"/>
          <w:szCs w:val="20"/>
          <w:color w:val="auto"/>
        </w:rPr>
        <w:tab/>
      </w:r>
      <w:r>
        <w:rPr>
          <w:rFonts w:ascii="Arial" w:cs="Arial" w:eastAsia="Arial" w:hAnsi="Arial"/>
          <w:sz w:val="16"/>
          <w:szCs w:val="16"/>
          <w:color w:val="auto"/>
        </w:rPr>
        <w:t>/s/Richard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66675</wp:posOffset>
            </wp:positionV>
            <wp:extent cx="3778885"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78885" cy="20320"/>
                    </a:xfrm>
                    <a:prstGeom prst="rect">
                      <a:avLst/>
                    </a:prstGeom>
                    <a:noFill/>
                  </pic:spPr>
                </pic:pic>
              </a:graphicData>
            </a:graphic>
          </wp:anchor>
        </w:drawing>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Richard Robinson</w:t>
      </w:r>
    </w:p>
    <w:p>
      <w:pPr>
        <w:spacing w:after="0" w:line="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auto"/>
        </w:rPr>
        <w:t>Dated: August 15, 2003</w:t>
      </w:r>
      <w:r>
        <w:rPr>
          <w:sz w:val="20"/>
          <w:szCs w:val="20"/>
          <w:color w:val="auto"/>
        </w:rPr>
        <w:tab/>
      </w:r>
      <w:r>
        <w:rPr>
          <w:rFonts w:ascii="Arial" w:cs="Arial" w:eastAsia="Arial" w:hAnsi="Arial"/>
          <w:sz w:val="18"/>
          <w:szCs w:val="18"/>
          <w:color w:val="auto"/>
        </w:rPr>
        <w:t>/s/Kevin J. McEnery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66675</wp:posOffset>
            </wp:positionV>
            <wp:extent cx="3778885"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778885" cy="20320"/>
                    </a:xfrm>
                    <a:prstGeom prst="rect">
                      <a:avLst/>
                    </a:prstGeom>
                    <a:noFill/>
                  </pic:spPr>
                </pic:pic>
              </a:graphicData>
            </a:graphic>
          </wp:anchor>
        </w:drawing>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Kevin J. McEnery</w:t>
      </w:r>
    </w:p>
    <w:p>
      <w:pPr>
        <w:spacing w:after="0" w:line="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Chief Financial Officer</w:t>
      </w:r>
    </w:p>
    <w:p>
      <w:pPr>
        <w:spacing w:after="0" w:line="172" w:lineRule="exact"/>
        <w:rPr>
          <w:sz w:val="20"/>
          <w:szCs w:val="20"/>
          <w:color w:val="auto"/>
        </w:rPr>
      </w:pPr>
    </w:p>
    <w:p>
      <w:pPr>
        <w:ind w:firstLine="246"/>
        <w:spacing w:after="0" w:line="277" w:lineRule="auto"/>
        <w:rPr>
          <w:sz w:val="20"/>
          <w:szCs w:val="20"/>
          <w:color w:val="auto"/>
        </w:rPr>
      </w:pPr>
      <w:r>
        <w:rPr>
          <w:rFonts w:ascii="Arial" w:cs="Arial" w:eastAsia="Arial" w:hAnsi="Arial"/>
          <w:sz w:val="19"/>
          <w:szCs w:val="19"/>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320"/>
      </w:cols>
      <w:pgMar w:left="24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21"/>
    </w:lvl>
  </w:abstractNum>
  <w:abstractNum w:abstractNumId="10">
    <w:nsid w:val="DED7263"/>
    <w:multiLevelType w:val="hybridMultilevel"/>
    <w:lvl w:ilvl="0">
      <w:lvlJc w:val="left"/>
      <w:lvlText w:val="%1"/>
      <w:numFmt w:val="decimal"/>
      <w:start w:val="23"/>
    </w:lvl>
  </w:abstractNum>
  <w:abstractNum w:abstractNumId="11">
    <w:nsid w:val="7FDCC233"/>
    <w:multiLevelType w:val="hybridMultilevel"/>
    <w:lvl w:ilvl="0">
      <w:lvlJc w:val="left"/>
      <w:lvlText w:val="%1"/>
      <w:numFmt w:val="decimal"/>
      <w:start w:val="32"/>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2019-12-13T19:46:17Z</dcterms:created>
  <dcterms:modified xsi:type="dcterms:W3CDTF">2019-12-13T19:46:17Z</dcterms:modified>
</cp:coreProperties>
</file>