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2927350</wp:posOffset>
            </wp:positionH>
            <wp:positionV relativeFrom="page">
              <wp:posOffset>320675</wp:posOffset>
            </wp:positionV>
            <wp:extent cx="171513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5135" cy="205740"/>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 the quarterly period ended February 28, 2013</w:t>
            </w:r>
          </w:p>
        </w:tc>
        <w:tc>
          <w:tcPr>
            <w:tcW w:w="66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Commission File No. 000-19860</w:t>
            </w:r>
          </w:p>
        </w:tc>
      </w:tr>
      <w:tr>
        <w:trPr>
          <w:trHeight w:val="460"/>
        </w:trPr>
        <w:tc>
          <w:tcPr>
            <w:tcW w:w="3680" w:type="dxa"/>
            <w:vAlign w:val="bottom"/>
          </w:tcPr>
          <w:p>
            <w:pPr>
              <w:spacing w:after="0"/>
              <w:rPr>
                <w:sz w:val="24"/>
                <w:szCs w:val="24"/>
                <w:color w:val="auto"/>
              </w:rPr>
            </w:pPr>
          </w:p>
        </w:tc>
        <w:tc>
          <w:tcPr>
            <w:tcW w:w="6660" w:type="dxa"/>
            <w:vAlign w:val="bottom"/>
          </w:tcPr>
          <w:p>
            <w:pPr>
              <w:jc w:val="center"/>
              <w:ind w:right="2492"/>
              <w:spacing w:after="0"/>
              <w:rPr>
                <w:sz w:val="20"/>
                <w:szCs w:val="20"/>
                <w:color w:val="auto"/>
              </w:rPr>
            </w:pPr>
            <w:r>
              <w:rPr>
                <w:rFonts w:ascii="Times New Roman" w:cs="Times New Roman" w:eastAsia="Times New Roman" w:hAnsi="Times New Roman"/>
                <w:sz w:val="18"/>
                <w:szCs w:val="18"/>
                <w:b w:val="1"/>
                <w:bCs w:val="1"/>
                <w:color w:val="auto"/>
                <w:w w:val="97"/>
              </w:rPr>
              <w:t>SCHOLASTIC CORPORATION</w:t>
            </w:r>
          </w:p>
        </w:tc>
      </w:tr>
      <w:tr>
        <w:trPr>
          <w:trHeight w:val="228"/>
        </w:trPr>
        <w:tc>
          <w:tcPr>
            <w:tcW w:w="3680" w:type="dxa"/>
            <w:vAlign w:val="bottom"/>
          </w:tcPr>
          <w:p>
            <w:pPr>
              <w:spacing w:after="0"/>
              <w:rPr>
                <w:sz w:val="19"/>
                <w:szCs w:val="19"/>
                <w:color w:val="auto"/>
              </w:rPr>
            </w:pPr>
          </w:p>
        </w:tc>
        <w:tc>
          <w:tcPr>
            <w:tcW w:w="6660" w:type="dxa"/>
            <w:vAlign w:val="bottom"/>
          </w:tcPr>
          <w:p>
            <w:pPr>
              <w:jc w:val="center"/>
              <w:ind w:right="249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460"/>
        </w:trPr>
        <w:tc>
          <w:tcPr>
            <w:tcW w:w="36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6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13-3385513</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6660" w:type="dxa"/>
            <w:vAlign w:val="bottom"/>
          </w:tcPr>
          <w:p>
            <w:pPr>
              <w:jc w:val="center"/>
              <w:ind w:left="415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660" w:type="dxa"/>
            <w:vAlign w:val="bottom"/>
          </w:tcPr>
          <w:p>
            <w:pPr>
              <w:spacing w:after="0"/>
              <w:rPr>
                <w:sz w:val="19"/>
                <w:szCs w:val="19"/>
                <w:color w:val="auto"/>
              </w:rPr>
            </w:pPr>
          </w:p>
        </w:tc>
      </w:tr>
      <w:tr>
        <w:trPr>
          <w:trHeight w:val="35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557 Broadway, New York, New York</w:t>
            </w:r>
          </w:p>
        </w:tc>
        <w:tc>
          <w:tcPr>
            <w:tcW w:w="6660" w:type="dxa"/>
            <w:vAlign w:val="bottom"/>
          </w:tcPr>
          <w:p>
            <w:pPr>
              <w:jc w:val="right"/>
              <w:ind w:right="892"/>
              <w:spacing w:after="0"/>
              <w:rPr>
                <w:sz w:val="20"/>
                <w:szCs w:val="20"/>
                <w:color w:val="auto"/>
              </w:rPr>
            </w:pPr>
            <w:r>
              <w:rPr>
                <w:rFonts w:ascii="Times New Roman" w:cs="Times New Roman" w:eastAsia="Times New Roman" w:hAnsi="Times New Roman"/>
                <w:sz w:val="18"/>
                <w:szCs w:val="18"/>
                <w:b w:val="1"/>
                <w:bCs w:val="1"/>
                <w:color w:val="auto"/>
              </w:rPr>
              <w:t>10012</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660" w:type="dxa"/>
            <w:vAlign w:val="bottom"/>
          </w:tcPr>
          <w:p>
            <w:pPr>
              <w:jc w:val="center"/>
              <w:ind w:left="4172"/>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o</w:t>
      </w:r>
    </w:p>
    <w:p>
      <w:pPr>
        <w:spacing w:after="0" w:line="213"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86" w:lineRule="exact"/>
        <w:rPr>
          <w:sz w:val="24"/>
          <w:szCs w:val="24"/>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960" w:right="199" w:bottom="1440" w:gutter="0" w:footer="0" w:header="0"/>
        </w:sectPr>
      </w:pP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 x</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222" w:lineRule="exact"/>
        <w:rPr>
          <w:sz w:val="24"/>
          <w:szCs w:val="24"/>
          <w:color w:val="auto"/>
        </w:rPr>
      </w:pPr>
    </w:p>
    <w:p>
      <w:pPr>
        <w:sectPr>
          <w:pgSz w:w="11900" w:h="16838" w:orient="portrait"/>
          <w:cols w:equalWidth="0" w:num="2">
            <w:col w:w="5000" w:space="720"/>
            <w:col w:w="5740"/>
          </w:cols>
          <w:pgMar w:left="240" w:top="960" w:right="19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o No x</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2180" w:type="dxa"/>
            <w:vAlign w:val="bottom"/>
          </w:tcPr>
          <w:p>
            <w:pPr>
              <w:spacing w:after="0"/>
              <w:rPr>
                <w:sz w:val="18"/>
                <w:szCs w:val="18"/>
                <w:color w:val="auto"/>
              </w:rPr>
            </w:pPr>
          </w:p>
        </w:tc>
        <w:tc>
          <w:tcPr>
            <w:tcW w:w="34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Number of shares outstanding</w:t>
            </w:r>
          </w:p>
        </w:tc>
        <w:tc>
          <w:tcPr>
            <w:tcW w:w="12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each class</w:t>
            </w:r>
          </w:p>
        </w:tc>
        <w:tc>
          <w:tcPr>
            <w:tcW w:w="2180" w:type="dxa"/>
            <w:vAlign w:val="bottom"/>
          </w:tcPr>
          <w:p>
            <w:pPr>
              <w:spacing w:after="0"/>
              <w:rPr>
                <w:sz w:val="19"/>
                <w:szCs w:val="19"/>
                <w:color w:val="auto"/>
              </w:rPr>
            </w:pPr>
          </w:p>
        </w:tc>
        <w:tc>
          <w:tcPr>
            <w:tcW w:w="34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as of February 28, 2013</w:t>
            </w:r>
          </w:p>
        </w:tc>
        <w:tc>
          <w:tcPr>
            <w:tcW w:w="1200" w:type="dxa"/>
            <w:vAlign w:val="bottom"/>
          </w:tcPr>
          <w:p>
            <w:pPr>
              <w:spacing w:after="0"/>
              <w:rPr>
                <w:sz w:val="19"/>
                <w:szCs w:val="19"/>
                <w:color w:val="auto"/>
              </w:rPr>
            </w:pPr>
          </w:p>
        </w:tc>
      </w:tr>
      <w:tr>
        <w:trPr>
          <w:trHeight w:val="110"/>
        </w:trPr>
        <w:tc>
          <w:tcPr>
            <w:tcW w:w="116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r>
      <w:tr>
        <w:trPr>
          <w:trHeight w:val="303"/>
        </w:trPr>
        <w:tc>
          <w:tcPr>
            <w:tcW w:w="11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5640" w:type="dxa"/>
            <w:vAlign w:val="bottom"/>
            <w:gridSpan w:val="2"/>
          </w:tcPr>
          <w:p>
            <w:pPr>
              <w:jc w:val="right"/>
              <w:ind w:right="1192"/>
              <w:spacing w:after="0"/>
              <w:rPr>
                <w:sz w:val="20"/>
                <w:szCs w:val="20"/>
                <w:color w:val="auto"/>
              </w:rPr>
            </w:pPr>
            <w:r>
              <w:rPr>
                <w:rFonts w:ascii="Times New Roman" w:cs="Times New Roman" w:eastAsia="Times New Roman" w:hAnsi="Times New Roman"/>
                <w:sz w:val="18"/>
                <w:szCs w:val="18"/>
                <w:color w:val="auto"/>
              </w:rPr>
              <w:t>30,239,455</w:t>
            </w:r>
          </w:p>
        </w:tc>
        <w:tc>
          <w:tcPr>
            <w:tcW w:w="120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A Stock, $.01 par value</w:t>
            </w:r>
          </w:p>
        </w:tc>
        <w:tc>
          <w:tcPr>
            <w:tcW w:w="5640" w:type="dxa"/>
            <w:vAlign w:val="bottom"/>
            <w:gridSpan w:val="2"/>
          </w:tcPr>
          <w:p>
            <w:pPr>
              <w:jc w:val="right"/>
              <w:ind w:right="1232"/>
              <w:spacing w:after="0"/>
              <w:rPr>
                <w:sz w:val="20"/>
                <w:szCs w:val="20"/>
                <w:color w:val="auto"/>
              </w:rPr>
            </w:pPr>
            <w:r>
              <w:rPr>
                <w:rFonts w:ascii="Times New Roman" w:cs="Times New Roman" w:eastAsia="Times New Roman" w:hAnsi="Times New Roman"/>
                <w:sz w:val="18"/>
                <w:szCs w:val="18"/>
                <w:color w:val="auto"/>
              </w:rPr>
              <w:t>1,656,200</w:t>
            </w:r>
          </w:p>
        </w:tc>
        <w:tc>
          <w:tcPr>
            <w:tcW w:w="120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8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1"/>
        </w:trPr>
        <w:tc>
          <w:tcPr>
            <w:tcW w:w="116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960" w:right="1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FEBRUARY 28,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1040" w:type="dxa"/>
            <w:vAlign w:val="bottom"/>
            <w:gridSpan w:val="19"/>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040" w:type="dxa"/>
            <w:vAlign w:val="bottom"/>
            <w:gridSpan w:val="19"/>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500" w:type="dxa"/>
            <w:vAlign w:val="bottom"/>
            <w:gridSpan w:val="2"/>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400" w:type="dxa"/>
            <w:vAlign w:val="bottom"/>
            <w:gridSpan w:val="2"/>
          </w:tcPr>
          <w:p>
            <w:pPr>
              <w:spacing w:after="0"/>
              <w:rPr>
                <w:sz w:val="24"/>
                <w:szCs w:val="24"/>
                <w:color w:val="auto"/>
              </w:rPr>
            </w:pPr>
          </w:p>
        </w:tc>
        <w:tc>
          <w:tcPr>
            <w:tcW w:w="968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8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(Unaudited)</w:t>
              </w:r>
            </w:hyperlink>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Comprehensive Income (Loss) (Unaudited)</w:t>
              </w:r>
            </w:hyperlink>
          </w:p>
        </w:tc>
        <w:tc>
          <w:tcPr>
            <w:tcW w:w="3820" w:type="dxa"/>
            <w:vAlign w:val="bottom"/>
            <w:gridSpan w:val="2"/>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Balance Sheets (Unaudited)</w:t>
              </w:r>
            </w:hyperlink>
          </w:p>
        </w:tc>
        <w:tc>
          <w:tcPr>
            <w:tcW w:w="5920" w:type="dxa"/>
            <w:vAlign w:val="bottom"/>
            <w:gridSpan w:val="7"/>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Consolidated Statements of Cash Flows (Unaudited)</w:t>
              </w:r>
            </w:hyperlink>
          </w:p>
        </w:tc>
        <w:tc>
          <w:tcPr>
            <w:tcW w:w="5980" w:type="dxa"/>
            <w:vAlign w:val="bottom"/>
            <w:gridSpan w:val="8"/>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80" w:type="dxa"/>
            <w:vAlign w:val="bottom"/>
            <w:gridSpan w:val="1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2.</w:t>
              </w:r>
            </w:hyperlink>
          </w:p>
        </w:tc>
        <w:tc>
          <w:tcPr>
            <w:tcW w:w="63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380" w:type="dxa"/>
            <w:vAlign w:val="bottom"/>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520" w:type="dxa"/>
            <w:vAlign w:val="bottom"/>
            <w:gridSpan w:val="3"/>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3.</w:t>
              </w:r>
            </w:hyperlink>
          </w:p>
        </w:tc>
        <w:tc>
          <w:tcPr>
            <w:tcW w:w="380" w:type="dxa"/>
            <w:vAlign w:val="bottom"/>
          </w:tcPr>
          <w:p>
            <w:pPr>
              <w:spacing w:after="0"/>
              <w:rPr>
                <w:sz w:val="24"/>
                <w:szCs w:val="24"/>
                <w:color w:val="auto"/>
              </w:rPr>
            </w:pPr>
          </w:p>
        </w:tc>
        <w:tc>
          <w:tcPr>
            <w:tcW w:w="9680" w:type="dxa"/>
            <w:vAlign w:val="bottom"/>
            <w:gridSpan w:val="1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Quantitative and Qualitative Disclosures about Market Risk</w:t>
              </w:r>
            </w:hyperlink>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4.</w:t>
              </w:r>
            </w:hyperlink>
          </w:p>
        </w:tc>
        <w:tc>
          <w:tcPr>
            <w:tcW w:w="380" w:type="dxa"/>
            <w:vAlign w:val="bottom"/>
          </w:tcPr>
          <w:p>
            <w:pPr>
              <w:spacing w:after="0"/>
              <w:rPr>
                <w:sz w:val="24"/>
                <w:szCs w:val="24"/>
                <w:color w:val="auto"/>
              </w:rPr>
            </w:pPr>
          </w:p>
        </w:tc>
        <w:tc>
          <w:tcPr>
            <w:tcW w:w="42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5480" w:type="dxa"/>
            <w:vAlign w:val="bottom"/>
            <w:gridSpan w:val="6"/>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19"/>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Part II – Other Information</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520" w:type="dxa"/>
            <w:vAlign w:val="bottom"/>
            <w:gridSpan w:val="3"/>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2.</w:t>
              </w:r>
            </w:hyperlink>
          </w:p>
        </w:tc>
        <w:tc>
          <w:tcPr>
            <w:tcW w:w="380" w:type="dxa"/>
            <w:vAlign w:val="bottom"/>
          </w:tcPr>
          <w:p>
            <w:pPr>
              <w:spacing w:after="0"/>
              <w:rPr>
                <w:sz w:val="24"/>
                <w:szCs w:val="24"/>
                <w:color w:val="auto"/>
              </w:rPr>
            </w:pPr>
          </w:p>
        </w:tc>
        <w:tc>
          <w:tcPr>
            <w:tcW w:w="9680" w:type="dxa"/>
            <w:vAlign w:val="bottom"/>
            <w:gridSpan w:val="1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Unregistered Sales of Equity Securities and Use of Proceeds</w:t>
              </w:r>
            </w:hyperlink>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4"/>
              </w:rPr>
            </w:pPr>
            <w:hyperlink w:anchor="page42">
              <w:r>
                <w:rPr>
                  <w:rFonts w:ascii="Times New Roman" w:cs="Times New Roman" w:eastAsia="Times New Roman" w:hAnsi="Times New Roman"/>
                  <w:sz w:val="18"/>
                  <w:szCs w:val="18"/>
                  <w:color w:val="0000EE"/>
                  <w:w w:val="94"/>
                </w:rPr>
                <w:t>Item 6.</w:t>
              </w:r>
            </w:hyperlink>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Exhibits</w:t>
              </w:r>
            </w:hyperlink>
          </w:p>
        </w:tc>
        <w:tc>
          <w:tcPr>
            <w:tcW w:w="5440" w:type="dxa"/>
            <w:vAlign w:val="bottom"/>
            <w:gridSpan w:val="5"/>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gridSpan w:val="5"/>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Signatures</w:t>
              </w:r>
            </w:hyperlink>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gridSpan w:val="10"/>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0" w:right="1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3" w:lineRule="exact"/>
        <w:rPr>
          <w:sz w:val="20"/>
          <w:szCs w:val="20"/>
          <w:color w:val="auto"/>
        </w:rPr>
      </w:pPr>
    </w:p>
    <w:p>
      <w:pPr>
        <w:ind w:right="49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60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350"/>
        </w:trPr>
        <w:tc>
          <w:tcPr>
            <w:tcW w:w="5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February 28,</w:t>
            </w:r>
          </w:p>
        </w:tc>
        <w:tc>
          <w:tcPr>
            <w:tcW w:w="16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c>
          <w:tcPr>
            <w:tcW w:w="180" w:type="dxa"/>
            <w:vAlign w:val="bottom"/>
          </w:tcPr>
          <w:p>
            <w:pPr>
              <w:spacing w:after="0"/>
              <w:rPr>
                <w:sz w:val="24"/>
                <w:szCs w:val="24"/>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February 28,</w:t>
            </w:r>
          </w:p>
        </w:tc>
        <w:tc>
          <w:tcPr>
            <w:tcW w:w="1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r>
      <w:tr>
        <w:trPr>
          <w:trHeight w:val="230"/>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18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380.5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467.0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1,290.3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1,470.3</w:t>
            </w:r>
          </w:p>
        </w:tc>
      </w:tr>
      <w:tr>
        <w:trPr>
          <w:trHeight w:val="35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goods sold (exclusive of depreciation and amortization)</w:t>
            </w: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191.1</w:t>
            </w:r>
          </w:p>
        </w:tc>
        <w:tc>
          <w:tcPr>
            <w:tcW w:w="1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605.6</w:t>
            </w: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665.7</w:t>
            </w: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242.5</w:t>
            </w:r>
          </w:p>
        </w:tc>
        <w:tc>
          <w:tcPr>
            <w:tcW w:w="1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609.7</w:t>
            </w: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656.1</w:t>
            </w: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46.6</w:t>
            </w:r>
          </w:p>
        </w:tc>
      </w:tr>
      <w:tr>
        <w:trPr>
          <w:trHeight w:val="228"/>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leases and asset impairments</w:t>
            </w:r>
          </w:p>
        </w:tc>
        <w:tc>
          <w:tcPr>
            <w:tcW w:w="3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1,264.6</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1,375.4</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25.7</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94.9</w:t>
            </w:r>
          </w:p>
        </w:tc>
      </w:tr>
      <w:tr>
        <w:trPr>
          <w:trHeight w:val="228"/>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r>
      <w:tr>
        <w:trPr>
          <w:trHeight w:val="36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from continuing operations before income taxes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14.2</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83.2</w:t>
            </w:r>
          </w:p>
        </w:tc>
      </w:tr>
      <w:tr>
        <w:trPr>
          <w:trHeight w:val="36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34.9</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464"/>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from continuing operations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8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9.8</w:t>
            </w:r>
          </w:p>
        </w:tc>
        <w:tc>
          <w:tcPr>
            <w:tcW w:w="1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48.3</w:t>
            </w:r>
          </w:p>
        </w:tc>
      </w:tr>
      <w:tr>
        <w:trPr>
          <w:trHeight w:val="36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from discontinued operations, net of tax</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464"/>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464"/>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 of Class A and Common Stock</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w:t>
            </w:r>
          </w:p>
        </w:tc>
      </w:tr>
      <w:tr>
        <w:trPr>
          <w:trHeight w:val="352"/>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w:t>
            </w:r>
          </w:p>
        </w:tc>
      </w:tr>
      <w:tr>
        <w:trPr>
          <w:trHeight w:val="352"/>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8"/>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w:t>
            </w:r>
          </w:p>
        </w:tc>
      </w:tr>
      <w:tr>
        <w:trPr>
          <w:trHeight w:val="36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Class A and Common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0.325</w:t>
            </w:r>
          </w:p>
        </w:tc>
      </w:tr>
      <w:tr>
        <w:trPr>
          <w:trHeight w:val="110"/>
        </w:trPr>
        <w:tc>
          <w:tcPr>
            <w:tcW w:w="5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31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(LOSS) - UNAUDITED </w:t>
      </w:r>
      <w:r>
        <w:rPr>
          <w:rFonts w:ascii="Times New Roman" w:cs="Times New Roman" w:eastAsia="Times New Roman" w:hAnsi="Times New Roman"/>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3"/>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920" w:type="dxa"/>
            <w:vAlign w:val="bottom"/>
            <w:gridSpan w:val="3"/>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8"/>
                <w:szCs w:val="18"/>
                <w:color w:val="auto"/>
              </w:rPr>
            </w:pPr>
          </w:p>
        </w:tc>
      </w:tr>
      <w:tr>
        <w:trPr>
          <w:trHeight w:val="230"/>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5"/>
              </w:rPr>
              <w:t>February 28,</w:t>
            </w:r>
          </w:p>
        </w:tc>
        <w:tc>
          <w:tcPr>
            <w:tcW w:w="260" w:type="dxa"/>
            <w:vAlign w:val="bottom"/>
          </w:tcPr>
          <w:p>
            <w:pPr>
              <w:spacing w:after="0"/>
              <w:rPr>
                <w:sz w:val="20"/>
                <w:szCs w:val="20"/>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c>
          <w:tcPr>
            <w:tcW w:w="260" w:type="dxa"/>
            <w:vAlign w:val="bottom"/>
          </w:tcPr>
          <w:p>
            <w:pPr>
              <w:spacing w:after="0"/>
              <w:rPr>
                <w:sz w:val="20"/>
                <w:szCs w:val="20"/>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260" w:type="dxa"/>
            <w:vAlign w:val="bottom"/>
          </w:tcPr>
          <w:p>
            <w:pPr>
              <w:spacing w:after="0"/>
              <w:rPr>
                <w:sz w:val="20"/>
                <w:szCs w:val="20"/>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c>
          <w:tcPr>
            <w:tcW w:w="20" w:type="dxa"/>
            <w:vAlign w:val="bottom"/>
          </w:tcPr>
          <w:p>
            <w:pPr>
              <w:spacing w:after="0"/>
              <w:rPr>
                <w:sz w:val="20"/>
                <w:szCs w:val="20"/>
                <w:color w:val="auto"/>
              </w:rPr>
            </w:pPr>
          </w:p>
        </w:tc>
      </w:tr>
      <w:tr>
        <w:trPr>
          <w:trHeight w:val="432"/>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4"/>
                <w:szCs w:val="24"/>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60" w:type="dxa"/>
            <w:vAlign w:val="bottom"/>
          </w:tcPr>
          <w:p>
            <w:pPr>
              <w:spacing w:after="0"/>
              <w:rPr>
                <w:sz w:val="24"/>
                <w:szCs w:val="24"/>
                <w:color w:val="auto"/>
              </w:rPr>
            </w:pPr>
          </w:p>
        </w:tc>
        <w:tc>
          <w:tcPr>
            <w:tcW w:w="136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4"/>
                <w:szCs w:val="24"/>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24"/>
                <w:szCs w:val="24"/>
                <w:color w:val="auto"/>
              </w:rPr>
            </w:pPr>
          </w:p>
        </w:tc>
      </w:tr>
      <w:tr>
        <w:trPr>
          <w:trHeight w:val="110"/>
        </w:trPr>
        <w:tc>
          <w:tcPr>
            <w:tcW w:w="5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24"/>
                <w:szCs w:val="24"/>
                <w:color w:val="auto"/>
              </w:rPr>
            </w:pPr>
          </w:p>
        </w:tc>
      </w:tr>
      <w:tr>
        <w:trPr>
          <w:trHeight w:val="352"/>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352"/>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Pension and post-retirement adjustments: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8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r>
      <w:tr>
        <w:trPr>
          <w:trHeight w:val="216"/>
        </w:trPr>
        <w:tc>
          <w:tcPr>
            <w:tcW w:w="5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unrecognized gains and losses included in net</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periodic cost</w:t>
            </w:r>
          </w:p>
        </w:tc>
        <w:tc>
          <w:tcPr>
            <w:tcW w:w="2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110"/>
        </w:trPr>
        <w:tc>
          <w:tcPr>
            <w:tcW w:w="5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r>
      <w:tr>
        <w:trPr>
          <w:trHeight w:val="110"/>
        </w:trPr>
        <w:tc>
          <w:tcPr>
            <w:tcW w:w="5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5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4"/>
                <w:szCs w:val="24"/>
                <w:color w:val="auto"/>
              </w:rPr>
            </w:pPr>
          </w:p>
        </w:tc>
      </w:tr>
      <w:tr>
        <w:trPr>
          <w:trHeight w:val="110"/>
        </w:trPr>
        <w:tc>
          <w:tcPr>
            <w:tcW w:w="5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0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58" w:right="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20"/>
                <w:szCs w:val="20"/>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9"/>
              </w:rPr>
              <w:t>February 28, 2013</w:t>
            </w:r>
          </w:p>
        </w:tc>
        <w:tc>
          <w:tcPr>
            <w:tcW w:w="400" w:type="dxa"/>
            <w:vAlign w:val="bottom"/>
          </w:tcPr>
          <w:p>
            <w:pPr>
              <w:spacing w:after="0"/>
              <w:rPr>
                <w:sz w:val="20"/>
                <w:szCs w:val="20"/>
                <w:color w:val="auto"/>
              </w:rPr>
            </w:pPr>
          </w:p>
        </w:tc>
        <w:tc>
          <w:tcPr>
            <w:tcW w:w="16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300" w:type="dxa"/>
            <w:vAlign w:val="bottom"/>
          </w:tcPr>
          <w:p>
            <w:pPr>
              <w:spacing w:after="0"/>
              <w:rPr>
                <w:sz w:val="20"/>
                <w:szCs w:val="20"/>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8"/>
              </w:rPr>
              <w:t>February 29, 2012</w:t>
            </w:r>
          </w:p>
        </w:tc>
        <w:tc>
          <w:tcPr>
            <w:tcW w:w="0" w:type="dxa"/>
            <w:vAlign w:val="bottom"/>
          </w:tcPr>
          <w:p>
            <w:pPr>
              <w:spacing w:after="0"/>
              <w:rPr>
                <w:sz w:val="1"/>
                <w:szCs w:val="1"/>
                <w:color w:val="auto"/>
              </w:rPr>
            </w:pPr>
          </w:p>
        </w:tc>
      </w:tr>
      <w:tr>
        <w:trPr>
          <w:trHeight w:val="200"/>
        </w:trPr>
        <w:tc>
          <w:tcPr>
            <w:tcW w:w="43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4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194.9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80" w:type="dxa"/>
            <w:vAlign w:val="bottom"/>
          </w:tcPr>
          <w:p>
            <w:pPr>
              <w:spacing w:after="0"/>
              <w:rPr>
                <w:sz w:val="18"/>
                <w:szCs w:val="18"/>
                <w:color w:val="auto"/>
              </w:rPr>
            </w:pP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196.4</w:t>
            </w:r>
          </w:p>
        </w:tc>
        <w:tc>
          <w:tcPr>
            <w:tcW w:w="400" w:type="dxa"/>
            <w:vAlign w:val="bottom"/>
          </w:tcPr>
          <w:p>
            <w:pPr>
              <w:spacing w:after="0"/>
              <w:rPr>
                <w:sz w:val="18"/>
                <w:szCs w:val="18"/>
                <w:color w:val="auto"/>
              </w:rPr>
            </w:pP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314.1</w:t>
            </w:r>
          </w:p>
        </w:tc>
        <w:tc>
          <w:tcPr>
            <w:tcW w:w="30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 net</w:t>
            </w:r>
          </w:p>
        </w:tc>
        <w:tc>
          <w:tcPr>
            <w:tcW w:w="1280" w:type="dxa"/>
            <w:vAlign w:val="bottom"/>
          </w:tcPr>
          <w:p>
            <w:pPr>
              <w:spacing w:after="0"/>
              <w:rPr>
                <w:sz w:val="18"/>
                <w:szCs w:val="18"/>
                <w:color w:val="auto"/>
              </w:rPr>
            </w:pP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352.5</w:t>
            </w:r>
          </w:p>
        </w:tc>
        <w:tc>
          <w:tcPr>
            <w:tcW w:w="400" w:type="dxa"/>
            <w:vAlign w:val="bottom"/>
          </w:tcPr>
          <w:p>
            <w:pPr>
              <w:spacing w:after="0"/>
              <w:rPr>
                <w:sz w:val="18"/>
                <w:szCs w:val="18"/>
                <w:color w:val="auto"/>
              </w:rPr>
            </w:pP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295.3</w:t>
            </w:r>
          </w:p>
        </w:tc>
        <w:tc>
          <w:tcPr>
            <w:tcW w:w="30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280" w:type="dxa"/>
            <w:vAlign w:val="bottom"/>
          </w:tcPr>
          <w:p>
            <w:pPr>
              <w:spacing w:after="0"/>
              <w:rPr>
                <w:sz w:val="18"/>
                <w:szCs w:val="18"/>
                <w:color w:val="auto"/>
              </w:rPr>
            </w:pP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71.4</w:t>
            </w:r>
          </w:p>
        </w:tc>
        <w:tc>
          <w:tcPr>
            <w:tcW w:w="400" w:type="dxa"/>
            <w:vAlign w:val="bottom"/>
          </w:tcPr>
          <w:p>
            <w:pPr>
              <w:spacing w:after="0"/>
              <w:rPr>
                <w:sz w:val="18"/>
                <w:szCs w:val="18"/>
                <w:color w:val="auto"/>
              </w:rPr>
            </w:pP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71.4</w:t>
            </w:r>
          </w:p>
        </w:tc>
        <w:tc>
          <w:tcPr>
            <w:tcW w:w="30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tcPr>
          <w:p>
            <w:pPr>
              <w:spacing w:after="0"/>
              <w:rPr>
                <w:sz w:val="18"/>
                <w:szCs w:val="18"/>
                <w:color w:val="auto"/>
              </w:rPr>
            </w:pP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76.6</w:t>
            </w:r>
          </w:p>
        </w:tc>
        <w:tc>
          <w:tcPr>
            <w:tcW w:w="400" w:type="dxa"/>
            <w:vAlign w:val="bottom"/>
          </w:tcPr>
          <w:p>
            <w:pPr>
              <w:spacing w:after="0"/>
              <w:rPr>
                <w:sz w:val="18"/>
                <w:szCs w:val="18"/>
                <w:color w:val="auto"/>
              </w:rPr>
            </w:pP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8"/>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280" w:type="dxa"/>
            <w:vAlign w:val="bottom"/>
          </w:tcPr>
          <w:p>
            <w:pPr>
              <w:spacing w:after="0"/>
              <w:rPr>
                <w:sz w:val="19"/>
                <w:szCs w:val="19"/>
                <w:color w:val="auto"/>
              </w:rPr>
            </w:pPr>
          </w:p>
        </w:tc>
        <w:tc>
          <w:tcPr>
            <w:tcW w:w="1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Pr>
          <w:p>
            <w:pPr>
              <w:spacing w:after="0"/>
              <w:rPr>
                <w:sz w:val="19"/>
                <w:szCs w:val="19"/>
                <w:color w:val="auto"/>
              </w:rPr>
            </w:pP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9"/>
                <w:szCs w:val="19"/>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10"/>
        </w:trPr>
        <w:tc>
          <w:tcPr>
            <w:tcW w:w="4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current assets</w:t>
            </w:r>
          </w:p>
        </w:tc>
        <w:tc>
          <w:tcPr>
            <w:tcW w:w="144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900.6</w:t>
            </w:r>
          </w:p>
        </w:tc>
        <w:tc>
          <w:tcPr>
            <w:tcW w:w="760" w:type="dxa"/>
            <w:vAlign w:val="bottom"/>
          </w:tcPr>
          <w:p>
            <w:pPr>
              <w:spacing w:after="0"/>
              <w:rPr>
                <w:sz w:val="20"/>
                <w:szCs w:val="20"/>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929.9</w:t>
            </w:r>
          </w:p>
        </w:tc>
        <w:tc>
          <w:tcPr>
            <w:tcW w:w="7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921.7</w:t>
            </w:r>
          </w:p>
        </w:tc>
      </w:tr>
      <w:tr>
        <w:trPr>
          <w:trHeight w:val="352"/>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4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323.6</w:t>
            </w:r>
          </w:p>
        </w:tc>
        <w:tc>
          <w:tcPr>
            <w:tcW w:w="7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327.2</w:t>
            </w:r>
          </w:p>
        </w:tc>
        <w:tc>
          <w:tcPr>
            <w:tcW w:w="76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326.2</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Prepublication costs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139.7</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125.8</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Royalty advances, net</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36.8</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34.8</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Production costs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158.0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157.7</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intangibles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16.7</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42.5</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42.3</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r>
      <w:tr>
        <w:trPr>
          <w:trHeight w:val="228"/>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44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35.3</w:t>
            </w:r>
          </w:p>
        </w:tc>
        <w:tc>
          <w:tcPr>
            <w:tcW w:w="76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1,653.5</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1,670.3</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1,646.2</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4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0"/>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Lines of credit, short-term debt and current portion</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long-term debt</w:t>
            </w: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157.9</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119.6</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160.1</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royalties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66.3</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92.7</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81.4</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47.1</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175.4</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233.5</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w:t>
            </w:r>
          </w:p>
        </w:tc>
      </w:tr>
      <w:tr>
        <w:trPr>
          <w:trHeight w:val="228"/>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44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current liabilities</w:t>
            </w:r>
          </w:p>
        </w:tc>
        <w:tc>
          <w:tcPr>
            <w:tcW w:w="144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484.8</w:t>
            </w:r>
          </w:p>
        </w:tc>
        <w:tc>
          <w:tcPr>
            <w:tcW w:w="7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502.5</w:t>
            </w:r>
          </w:p>
        </w:tc>
        <w:tc>
          <w:tcPr>
            <w:tcW w:w="76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547.0</w:t>
            </w:r>
          </w:p>
        </w:tc>
      </w:tr>
      <w:tr>
        <w:trPr>
          <w:trHeight w:val="352"/>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152.8</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57.2</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56.4</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r>
      <w:tr>
        <w:trPr>
          <w:trHeight w:val="228"/>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112.7</w:t>
            </w:r>
          </w:p>
        </w:tc>
        <w:tc>
          <w:tcPr>
            <w:tcW w:w="76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128.3</w:t>
            </w:r>
          </w:p>
        </w:tc>
        <w:tc>
          <w:tcPr>
            <w:tcW w:w="7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noncurrent liabilities</w:t>
            </w:r>
          </w:p>
        </w:tc>
        <w:tc>
          <w:tcPr>
            <w:tcW w:w="144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322.9</w:t>
            </w:r>
          </w:p>
        </w:tc>
        <w:tc>
          <w:tcPr>
            <w:tcW w:w="7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337.5</w:t>
            </w:r>
          </w:p>
        </w:tc>
        <w:tc>
          <w:tcPr>
            <w:tcW w:w="76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313.9</w:t>
            </w:r>
          </w:p>
        </w:tc>
      </w:tr>
      <w:tr>
        <w:trPr>
          <w:trHeight w:val="365"/>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tc>
        <w:tc>
          <w:tcPr>
            <w:tcW w:w="144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352"/>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Stock, $1.00 par value</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Stock, $.01 par value</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582.0</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583.0</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585.0</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4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(68.7)</w:t>
            </w:r>
          </w:p>
        </w:tc>
        <w:tc>
          <w:tcPr>
            <w:tcW w:w="76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(74.2)</w:t>
            </w: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44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721.4</w:t>
            </w:r>
          </w:p>
        </w:tc>
        <w:tc>
          <w:tcPr>
            <w:tcW w:w="76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723.9</w:t>
            </w:r>
          </w:p>
        </w:tc>
        <w:tc>
          <w:tcPr>
            <w:tcW w:w="76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670.9</w:t>
            </w:r>
          </w:p>
        </w:tc>
      </w:tr>
      <w:tr>
        <w:trPr>
          <w:trHeight w:val="228"/>
        </w:trPr>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Treasury stock at cost</w:t>
            </w:r>
          </w:p>
        </w:tc>
        <w:tc>
          <w:tcPr>
            <w:tcW w:w="144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(389.3)</w:t>
            </w:r>
          </w:p>
        </w:tc>
        <w:tc>
          <w:tcPr>
            <w:tcW w:w="76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(402.8)</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6"/>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Total stockholders’ equity</w:t>
            </w:r>
          </w:p>
        </w:tc>
        <w:tc>
          <w:tcPr>
            <w:tcW w:w="144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845.8</w:t>
            </w:r>
          </w:p>
        </w:tc>
        <w:tc>
          <w:tcPr>
            <w:tcW w:w="7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830.3</w:t>
            </w:r>
          </w:p>
        </w:tc>
        <w:tc>
          <w:tcPr>
            <w:tcW w:w="76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785.3</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1,653.5</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1,670.3</w:t>
            </w:r>
          </w:p>
        </w:tc>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1,646.2</w:t>
            </w:r>
          </w:p>
        </w:tc>
      </w:tr>
      <w:tr>
        <w:trPr>
          <w:trHeight w:val="110"/>
        </w:trPr>
        <w:tc>
          <w:tcPr>
            <w:tcW w:w="47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329"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8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3"/>
              </w:rPr>
              <w:t>February 28,</w:t>
            </w:r>
          </w:p>
        </w:tc>
        <w:tc>
          <w:tcPr>
            <w:tcW w:w="22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r>
      <w:tr>
        <w:trPr>
          <w:trHeight w:val="230"/>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0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45.4</w:t>
            </w:r>
          </w:p>
        </w:tc>
      </w:tr>
      <w:tr>
        <w:trPr>
          <w:trHeight w:val="228"/>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48.3</w:t>
            </w:r>
          </w:p>
        </w:tc>
      </w:tr>
      <w:tr>
        <w:trPr>
          <w:trHeight w:val="35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w w:val="99"/>
              </w:rPr>
              <w:t>Adjustments to reconcile earnings from continuing operations to net cash provided by (used in) operating activities of</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losses on inventory</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losses on royalty advances</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prepublication and production costs</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leases</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writeoff related to impairment</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investment income</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promotion costs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Royalty advances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royalties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Pension and post-retirement liability</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85.8</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52"/>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operating activities of continuing operations</w:t>
            </w:r>
          </w:p>
        </w:tc>
        <w:tc>
          <w:tcPr>
            <w:tcW w:w="2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134.1</w:t>
            </w:r>
          </w:p>
        </w:tc>
      </w:tr>
      <w:tr>
        <w:trPr>
          <w:trHeight w:val="228"/>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operating activities of discontinued operations</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132.8</w:t>
            </w:r>
          </w:p>
        </w:tc>
      </w:tr>
      <w:tr>
        <w:trPr>
          <w:trHeight w:val="352"/>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Prepublication and production expenditures</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8"/>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payments (net of cash received of $0.0 and $2.5, respectively)</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investing activities of continuing operations</w:t>
            </w:r>
          </w:p>
        </w:tc>
        <w:tc>
          <w:tcPr>
            <w:tcW w:w="28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110"/>
        </w:trPr>
        <w:tc>
          <w:tcPr>
            <w:tcW w:w="8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8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7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3"/>
              </w:rPr>
              <w:t>February 28,</w:t>
            </w:r>
          </w:p>
        </w:tc>
        <w:tc>
          <w:tcPr>
            <w:tcW w:w="22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r>
      <w:tr>
        <w:trPr>
          <w:trHeight w:val="230"/>
        </w:trPr>
        <w:tc>
          <w:tcPr>
            <w:tcW w:w="7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70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0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term loan</w:t>
            </w:r>
          </w:p>
        </w:tc>
        <w:tc>
          <w:tcPr>
            <w:tcW w:w="170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70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lines of credit</w:t>
            </w:r>
          </w:p>
        </w:tc>
        <w:tc>
          <w:tcPr>
            <w:tcW w:w="17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7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Reacquisition of common stock</w:t>
            </w:r>
          </w:p>
        </w:tc>
        <w:tc>
          <w:tcPr>
            <w:tcW w:w="17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pursuant to stock-based compensation plans</w:t>
            </w:r>
          </w:p>
        </w:tc>
        <w:tc>
          <w:tcPr>
            <w:tcW w:w="170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dividends</w:t>
            </w:r>
          </w:p>
        </w:tc>
        <w:tc>
          <w:tcPr>
            <w:tcW w:w="17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8"/>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r>
      <w:tr>
        <w:trPr>
          <w:trHeight w:val="110"/>
        </w:trPr>
        <w:tc>
          <w:tcPr>
            <w:tcW w:w="70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financing activities of continuing operations</w:t>
            </w:r>
          </w:p>
        </w:tc>
        <w:tc>
          <w:tcPr>
            <w:tcW w:w="17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110"/>
        </w:trPr>
        <w:tc>
          <w:tcPr>
            <w:tcW w:w="70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600"/>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8"/>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70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10"/>
        </w:trPr>
        <w:tc>
          <w:tcPr>
            <w:tcW w:w="70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7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w:t>
            </w:r>
          </w:p>
        </w:tc>
      </w:tr>
      <w:tr>
        <w:trPr>
          <w:trHeight w:val="36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0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105.3</w:t>
            </w:r>
          </w:p>
        </w:tc>
      </w:tr>
      <w:tr>
        <w:trPr>
          <w:trHeight w:val="365"/>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111.8</w:t>
            </w:r>
          </w:p>
        </w:tc>
      </w:tr>
      <w:tr>
        <w:trPr>
          <w:trHeight w:val="110"/>
        </w:trPr>
        <w:tc>
          <w:tcPr>
            <w:tcW w:w="70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0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ind w:right="9420" w:firstLine="8"/>
        <w:spacing w:after="0" w:line="565" w:lineRule="auto"/>
        <w:tabs>
          <w:tab w:leader="none" w:pos="176"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Principles of consolidation</w:t>
      </w: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comprehensive income, results of operations and cash flows. These financial statements should be read in conjunction with the consolidated financial statements and related notes in the Annual Report on Form 10-K for the fiscal year ended May 31, 2012 (the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fiscal year is not a calendar year. Accordingly, references in this document to fiscal 2012 relate to the twelve-month period ended May 31, 2012.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225" w:lineRule="exact"/>
        <w:rPr>
          <w:sz w:val="20"/>
          <w:szCs w:val="20"/>
          <w:color w:val="auto"/>
        </w:rPr>
      </w:pPr>
    </w:p>
    <w:p>
      <w:pPr>
        <w:ind w:right="380"/>
        <w:spacing w:after="0" w:line="342" w:lineRule="auto"/>
        <w:rPr>
          <w:sz w:val="20"/>
          <w:szCs w:val="20"/>
          <w:color w:val="auto"/>
        </w:rPr>
      </w:pPr>
      <w:r>
        <w:rPr>
          <w:rFonts w:ascii="Times New Roman" w:cs="Times New Roman" w:eastAsia="Times New Roman" w:hAnsi="Times New Roman"/>
          <w:sz w:val="16"/>
          <w:szCs w:val="16"/>
          <w:color w:val="auto"/>
        </w:rPr>
        <w:t xml:space="preserve">The Company determined that a software business previously reported in the </w:t>
      </w:r>
      <w:r>
        <w:rPr>
          <w:rFonts w:ascii="Times New Roman" w:cs="Times New Roman" w:eastAsia="Times New Roman" w:hAnsi="Times New Roman"/>
          <w:sz w:val="16"/>
          <w:szCs w:val="16"/>
          <w:i w:val="1"/>
          <w:iCs w:val="1"/>
          <w:color w:val="auto"/>
        </w:rPr>
        <w:t>Media, Licensing and Advertising</w:t>
      </w:r>
      <w:r>
        <w:rPr>
          <w:rFonts w:ascii="Times New Roman" w:cs="Times New Roman" w:eastAsia="Times New Roman" w:hAnsi="Times New Roman"/>
          <w:sz w:val="16"/>
          <w:szCs w:val="16"/>
          <w:color w:val="auto"/>
        </w:rPr>
        <w:t xml:space="preserve"> segment should be reported in the </w:t>
      </w:r>
      <w:r>
        <w:rPr>
          <w:rFonts w:ascii="Times New Roman" w:cs="Times New Roman" w:eastAsia="Times New Roman" w:hAnsi="Times New Roman"/>
          <w:sz w:val="16"/>
          <w:szCs w:val="16"/>
          <w:i w:val="1"/>
          <w:iCs w:val="1"/>
          <w:color w:val="auto"/>
        </w:rPr>
        <w:t>Children’s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Book Publishing and Distribution </w:t>
      </w:r>
      <w:r>
        <w:rPr>
          <w:rFonts w:ascii="Times New Roman" w:cs="Times New Roman" w:eastAsia="Times New Roman" w:hAnsi="Times New Roman"/>
          <w:sz w:val="16"/>
          <w:szCs w:val="16"/>
          <w:color w:val="auto"/>
        </w:rPr>
        <w:t>segment consistent with changes in the Company’s internal reporting structure. All prior periods reflect this change.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conform to the current year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27"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The Company reported net amortization expense of prior service and gains and losses for pension and post-retirement benefit plans in Selling, general and administrative expenses of $0.7 and $3.6 for the three and nine months ended February 28, 2013, respectively, and $0.9 and $3.7 for the three and nine months ended February 29, 2012, respectively. These amounts had previously been recognized as a component of accumulated other comprehensive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Company closed or sold several operations during fiscal 2009, fiscal 2010 and fiscal 2012, and presently holds for sale one facility. All of these businesses are classified as discontinued operations in the Company’s financial statements. See Note 2, “Discontinued Operations,” for additional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8"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3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but not limited to:</w:t>
      </w:r>
    </w:p>
    <w:p>
      <w:pPr>
        <w:spacing w:after="0" w:line="239" w:lineRule="exact"/>
        <w:rPr>
          <w:sz w:val="20"/>
          <w:szCs w:val="20"/>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returns and allowances</w:t>
      </w:r>
    </w:p>
    <w:p>
      <w:pPr>
        <w:spacing w:after="0" w:line="2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other post-retirement obligations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reserves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for book fair operations during interim periods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taxes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advance reserves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reward programs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for goodwill, intangibles and other long-lived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7"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The condensed consolidated balance sheets include restricted cash of $1.6, $1.0 and $1.6 at February 28, 2013, May 31, 2012 and February 29, 2012, respectively, which is reported in “Other 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February 2013, the Financial Accounting Standards Board (the “FASB”) issued an update to the authoritative guidance related to the reporting of amounts reclassified out of accumulated other comprehensive income. This new requirement about presenting information about amounts reclassified out of accumulated other comprehensive income and their corresponding effect on net income will present, in one place, information about significant amounts reclassified and, in some cases, cross-references to related footnote disclosures. The disclosure amendments in this update are effective prospectively for reporting periods beginning after December 15, 2012 and early adoption is permitted. The Company is evaluating the impact of this update on its consolidated financial position, results of operations and related disclosures, and will adopt this guidance in the fourth quarter of fiscal 2013.</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July 2012, the FASB issued an update to the authoritative guidance related to the impairment testing of indefinite-lived intangible assets. Similar to the guidance for goodwill impairment testing, companies will have the option to first perform a qualitative assessment to determine whether it is more likely than not that the fair value of the indefinite-lived intangible asset is less than its carrying value. The guidance provides companies with a revised list of examples of events and circumstances to consider, in their totality, to determine whether it is more likely than not that the fair value of the asset is less than its carrying amount. If a company concludes that this is the case, the company is required to perform the quantitative impairment test by comparing the fair value with the carrying value. Otherwise, a company can skip the quantitative test. Companies are not required to perform the qualitative assessment and are permitted to skip the qualitative assessment for any indefinite-lived asset in any period and proceed directly to the quantitative impairment test. The company may resume performing the qualitative assessment in any subsequent period. The amendments are effective for annual and interim impairment tests performed for fiscal years beginning after September 15, 2012. Early adoption is permitted. The Company is evaluating the impact of this update on its consolidated financial position and results of operations.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58"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Company continuously evaluates its portfolio of businesses for both impairment and economic viability. The Company monitors the expected cash proceeds to be realized from the disposition of discontinued operations’ assets, and adjusts asset values accordingly.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discontinued operations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2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13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February 29,</w:t>
            </w:r>
          </w:p>
        </w:tc>
      </w:tr>
      <w:tr>
        <w:trPr>
          <w:trHeight w:val="230"/>
        </w:trPr>
        <w:tc>
          <w:tcPr>
            <w:tcW w:w="5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60" w:type="dxa"/>
            <w:vAlign w:val="bottom"/>
          </w:tcPr>
          <w:p>
            <w:pPr>
              <w:spacing w:after="0"/>
              <w:rPr>
                <w:sz w:val="20"/>
                <w:szCs w:val="20"/>
                <w:color w:val="auto"/>
              </w:rPr>
            </w:pPr>
          </w:p>
        </w:tc>
      </w:tr>
      <w:tr>
        <w:trPr>
          <w:trHeight w:val="110"/>
        </w:trPr>
        <w:tc>
          <w:tcPr>
            <w:tcW w:w="5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45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Non-cash impairment</w:t>
            </w:r>
          </w:p>
        </w:tc>
        <w:tc>
          <w:tcPr>
            <w:tcW w:w="122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22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spacing w:after="0"/>
              <w:rPr>
                <w:sz w:val="18"/>
                <w:szCs w:val="18"/>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(0.6)</w:t>
            </w:r>
          </w:p>
        </w:tc>
        <w:tc>
          <w:tcPr>
            <w:tcW w:w="3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2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spacing w:after="0"/>
              <w:rPr>
                <w:sz w:val="19"/>
                <w:szCs w:val="19"/>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r>
      <w:tr>
        <w:trPr>
          <w:trHeight w:val="110"/>
        </w:trPr>
        <w:tc>
          <w:tcPr>
            <w:tcW w:w="5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from discontinued operations, net of tax</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0.0</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(0.4)</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(0.2)</w:t>
            </w:r>
          </w:p>
        </w:tc>
        <w:tc>
          <w:tcPr>
            <w:tcW w:w="8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110"/>
        </w:trPr>
        <w:tc>
          <w:tcPr>
            <w:tcW w:w="5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assets and liabilities of the discontinued operations included in the condensed consolidated balance sheets of the Company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6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1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18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29, 2012</w:t>
            </w:r>
          </w:p>
        </w:tc>
        <w:tc>
          <w:tcPr>
            <w:tcW w:w="20" w:type="dxa"/>
            <w:vAlign w:val="bottom"/>
          </w:tcPr>
          <w:p>
            <w:pPr>
              <w:spacing w:after="0"/>
              <w:rPr>
                <w:sz w:val="20"/>
                <w:szCs w:val="20"/>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plant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 of discontinued operations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9.3</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0" w:type="dxa"/>
            <w:vAlign w:val="bottom"/>
          </w:tcPr>
          <w:p>
            <w:pPr>
              <w:spacing w:after="0"/>
              <w:rPr>
                <w:sz w:val="24"/>
                <w:szCs w:val="24"/>
                <w:color w:val="auto"/>
              </w:rPr>
            </w:pPr>
          </w:p>
        </w:tc>
        <w:tc>
          <w:tcPr>
            <w:tcW w:w="10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4"/>
                <w:szCs w:val="24"/>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spacing w:after="0"/>
              <w:rPr>
                <w:sz w:val="24"/>
                <w:szCs w:val="24"/>
                <w:color w:val="auto"/>
              </w:rPr>
            </w:pP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 of discontinued operations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80" w:type="dxa"/>
            <w:vAlign w:val="bottom"/>
          </w:tcPr>
          <w:p>
            <w:pPr>
              <w:spacing w:after="0"/>
              <w:rPr>
                <w:sz w:val="24"/>
                <w:szCs w:val="24"/>
                <w:color w:val="auto"/>
              </w:rPr>
            </w:pPr>
          </w:p>
        </w:tc>
        <w:tc>
          <w:tcPr>
            <w:tcW w:w="26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8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58" w:right="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3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6"/>
          <w:szCs w:val="16"/>
          <w:color w:val="auto"/>
        </w:rPr>
        <w:t xml:space="preserve">The Company categorizes its businesses into five reportable segments: </w:t>
      </w:r>
      <w:r>
        <w:rPr>
          <w:rFonts w:ascii="Times New Roman" w:cs="Times New Roman" w:eastAsia="Times New Roman" w:hAnsi="Times New Roman"/>
          <w:sz w:val="16"/>
          <w:szCs w:val="16"/>
          <w:i w:val="1"/>
          <w:iCs w:val="1"/>
          <w:color w:val="auto"/>
        </w:rPr>
        <w:t>Children’s Book Publishing and Distribution; Educational Technology and Services;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Classroom and Supplemental Materials Publishing; Media, Licensing and Advertising;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International</w:t>
      </w:r>
      <w:r>
        <w:rPr>
          <w:rFonts w:ascii="Times New Roman" w:cs="Times New Roman" w:eastAsia="Times New Roman" w:hAnsi="Times New Roman"/>
          <w:sz w:val="16"/>
          <w:szCs w:val="16"/>
          <w:color w:val="auto"/>
        </w:rPr>
        <w:t>. This classification reflects the nature of products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consistent with the method by which the Company’s chief operating decision-maker assesses operating performance and allocates resources.</w:t>
      </w:r>
    </w:p>
    <w:p>
      <w:pPr>
        <w:spacing w:after="0" w:line="160" w:lineRule="exact"/>
        <w:rPr>
          <w:sz w:val="20"/>
          <w:szCs w:val="20"/>
          <w:color w:val="auto"/>
        </w:rPr>
      </w:pPr>
    </w:p>
    <w:p>
      <w:pPr>
        <w:ind w:left="460" w:right="80" w:hanging="452"/>
        <w:spacing w:after="0" w:line="26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Children’s Book Publishing and Distribution </w:t>
      </w:r>
      <w:r>
        <w:rPr>
          <w:rFonts w:ascii="Times New Roman" w:cs="Times New Roman" w:eastAsia="Times New Roman" w:hAnsi="Times New Roman"/>
          <w:sz w:val="18"/>
          <w:szCs w:val="18"/>
          <w:color w:val="auto"/>
        </w:rPr>
        <w:t>operates as an integrated business which includes the publication and distribution of children’s books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products in the United States through school-based book clubs and book fairs, ecommerce and the trade channel. This segment is comprised of three operating segments.</w:t>
      </w:r>
    </w:p>
    <w:p>
      <w:pPr>
        <w:spacing w:after="0" w:line="113" w:lineRule="exact"/>
        <w:rPr>
          <w:rFonts w:ascii="Times New Roman" w:cs="Times New Roman" w:eastAsia="Times New Roman" w:hAnsi="Times New Roman"/>
          <w:sz w:val="18"/>
          <w:szCs w:val="18"/>
          <w:color w:val="auto"/>
        </w:rPr>
      </w:pPr>
    </w:p>
    <w:p>
      <w:pPr>
        <w:ind w:left="460" w:right="40" w:hanging="452"/>
        <w:spacing w:after="0" w:line="26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Educational Technology and Services </w:t>
      </w:r>
      <w:r>
        <w:rPr>
          <w:rFonts w:ascii="Times New Roman" w:cs="Times New Roman" w:eastAsia="Times New Roman" w:hAnsi="Times New Roman"/>
          <w:sz w:val="18"/>
          <w:szCs w:val="18"/>
          <w:color w:val="auto"/>
        </w:rPr>
        <w:t>includes the production and distribution to schools of curriculum-based learning technology and materials for grades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pre-kindergarten to 12 in the United States, together with related implementation and assessment services and school consulting services. This segment is comprised of one operating segment.</w:t>
      </w:r>
    </w:p>
    <w:p>
      <w:pPr>
        <w:spacing w:after="0" w:line="113" w:lineRule="exact"/>
        <w:rPr>
          <w:rFonts w:ascii="Times New Roman" w:cs="Times New Roman" w:eastAsia="Times New Roman" w:hAnsi="Times New Roman"/>
          <w:sz w:val="18"/>
          <w:szCs w:val="18"/>
          <w:color w:val="auto"/>
        </w:rPr>
      </w:pPr>
    </w:p>
    <w:p>
      <w:pPr>
        <w:ind w:left="460" w:right="400" w:hanging="452"/>
        <w:spacing w:after="0" w:line="26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Classroom and Supplemental Materials Publishing </w:t>
      </w:r>
      <w:r>
        <w:rPr>
          <w:rFonts w:ascii="Times New Roman" w:cs="Times New Roman" w:eastAsia="Times New Roman" w:hAnsi="Times New Roman"/>
          <w:sz w:val="18"/>
          <w:szCs w:val="18"/>
          <w:color w:val="auto"/>
        </w:rPr>
        <w:t>includes the publication and distribution to schools and libraries of children’s books, classroom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magazines, supplemental classroom materials and print and on-line reference and non-fiction products for grades pre-kindergarten to 12 in the United States. This segment is comprised of two operating segments.</w:t>
      </w:r>
    </w:p>
    <w:p>
      <w:pPr>
        <w:spacing w:after="0" w:line="113" w:lineRule="exact"/>
        <w:rPr>
          <w:rFonts w:ascii="Times New Roman" w:cs="Times New Roman" w:eastAsia="Times New Roman" w:hAnsi="Times New Roman"/>
          <w:sz w:val="18"/>
          <w:szCs w:val="18"/>
          <w:color w:val="auto"/>
        </w:rPr>
      </w:pPr>
    </w:p>
    <w:p>
      <w:pPr>
        <w:ind w:left="460" w:right="220" w:hanging="452"/>
        <w:spacing w:after="0" w:line="27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Licensing and Advertising </w:t>
      </w:r>
      <w:r>
        <w:rPr>
          <w:rFonts w:ascii="Times New Roman" w:cs="Times New Roman" w:eastAsia="Times New Roman" w:hAnsi="Times New Roman"/>
          <w:sz w:val="18"/>
          <w:szCs w:val="18"/>
          <w:color w:val="auto"/>
        </w:rPr>
        <w:t>includes the production and/or distribution of digital media, consumer promotions and merchandising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including sponsorship programs. This segment is comprised of two operating segments.</w:t>
      </w:r>
    </w:p>
    <w:p>
      <w:pPr>
        <w:spacing w:after="0" w:line="102" w:lineRule="exact"/>
        <w:rPr>
          <w:rFonts w:ascii="Times New Roman" w:cs="Times New Roman" w:eastAsia="Times New Roman" w:hAnsi="Times New Roman"/>
          <w:sz w:val="18"/>
          <w:szCs w:val="18"/>
          <w:color w:val="auto"/>
        </w:rPr>
      </w:pPr>
    </w:p>
    <w:p>
      <w:pPr>
        <w:ind w:left="460" w:hanging="452"/>
        <w:spacing w:after="0" w:line="27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includes the publication and distribution of products and services outside the United States by the Company’s international operations,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export and foreign rights businesses. This segment is comprised of two operating segments.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58"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3"/>
              </w:rPr>
              <w:t>Children’s</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Book</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Classroom and</w:t>
            </w:r>
          </w:p>
        </w:tc>
        <w:tc>
          <w:tcPr>
            <w:tcW w:w="24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Media,</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Publishing</w:t>
            </w:r>
          </w:p>
        </w:tc>
        <w:tc>
          <w:tcPr>
            <w:tcW w:w="180" w:type="dxa"/>
            <w:vAlign w:val="bottom"/>
          </w:tcPr>
          <w:p>
            <w:pPr>
              <w:spacing w:after="0"/>
              <w:rPr>
                <w:sz w:val="12"/>
                <w:szCs w:val="12"/>
                <w:color w:val="auto"/>
              </w:rPr>
            </w:pPr>
          </w:p>
        </w:tc>
        <w:tc>
          <w:tcPr>
            <w:tcW w:w="110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Educational</w:t>
            </w:r>
          </w:p>
        </w:tc>
        <w:tc>
          <w:tcPr>
            <w:tcW w:w="160" w:type="dxa"/>
            <w:vAlign w:val="bottom"/>
          </w:tcPr>
          <w:p>
            <w:pPr>
              <w:spacing w:after="0"/>
              <w:rPr>
                <w:sz w:val="12"/>
                <w:szCs w:val="12"/>
                <w:color w:val="auto"/>
              </w:rPr>
            </w:pPr>
          </w:p>
        </w:tc>
        <w:tc>
          <w:tcPr>
            <w:tcW w:w="110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Supplemental</w:t>
            </w:r>
          </w:p>
        </w:tc>
        <w:tc>
          <w:tcPr>
            <w:tcW w:w="24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Licensing</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80" w:type="dxa"/>
            <w:vAlign w:val="bottom"/>
          </w:tcPr>
          <w:p>
            <w:pPr>
              <w:spacing w:after="0"/>
              <w:rPr>
                <w:sz w:val="14"/>
                <w:szCs w:val="14"/>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5"/>
              </w:rPr>
              <w:t>Technology</w:t>
            </w:r>
          </w:p>
        </w:tc>
        <w:tc>
          <w:tcPr>
            <w:tcW w:w="160" w:type="dxa"/>
            <w:vAlign w:val="bottom"/>
          </w:tcPr>
          <w:p>
            <w:pPr>
              <w:spacing w:after="0"/>
              <w:rPr>
                <w:sz w:val="14"/>
                <w:szCs w:val="14"/>
                <w:color w:val="auto"/>
              </w:rPr>
            </w:pPr>
          </w:p>
        </w:tc>
        <w:tc>
          <w:tcPr>
            <w:tcW w:w="11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Materials</w:t>
            </w:r>
          </w:p>
        </w:tc>
        <w:tc>
          <w:tcPr>
            <w:tcW w:w="240" w:type="dxa"/>
            <w:vAlign w:val="bottom"/>
          </w:tcPr>
          <w:p>
            <w:pPr>
              <w:spacing w:after="0"/>
              <w:rPr>
                <w:sz w:val="14"/>
                <w:szCs w:val="14"/>
                <w:color w:val="auto"/>
              </w:rPr>
            </w:pPr>
          </w:p>
        </w:tc>
        <w:tc>
          <w:tcPr>
            <w:tcW w:w="102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16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Overhead</w:t>
            </w:r>
            <w:r>
              <w:rPr>
                <w:rFonts w:ascii="Times New Roman" w:cs="Times New Roman" w:eastAsia="Times New Roman" w:hAnsi="Times New Roman"/>
                <w:sz w:val="22"/>
                <w:szCs w:val="22"/>
                <w:b w:val="1"/>
                <w:bCs w:val="1"/>
                <w:color w:val="auto"/>
                <w:vertAlign w:val="superscript"/>
              </w:rPr>
              <w:t>(1) (3)</w:t>
            </w:r>
          </w:p>
        </w:tc>
        <w:tc>
          <w:tcPr>
            <w:tcW w:w="14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11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3"/>
              </w:rPr>
              <w:t>International</w:t>
            </w:r>
            <w:r>
              <w:rPr>
                <w:rFonts w:ascii="Times New Roman" w:cs="Times New Roman" w:eastAsia="Times New Roman" w:hAnsi="Times New Roman"/>
                <w:sz w:val="22"/>
                <w:szCs w:val="22"/>
                <w:b w:val="1"/>
                <w:bCs w:val="1"/>
                <w:color w:val="auto"/>
                <w:w w:val="93"/>
                <w:vertAlign w:val="superscript"/>
              </w:rPr>
              <w:t>(1)</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1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Distribution</w:t>
            </w:r>
            <w:r>
              <w:rPr>
                <w:rFonts w:ascii="Times New Roman" w:cs="Times New Roman" w:eastAsia="Times New Roman" w:hAnsi="Times New Roman"/>
                <w:sz w:val="22"/>
                <w:szCs w:val="22"/>
                <w:b w:val="1"/>
                <w:bCs w:val="1"/>
                <w:color w:val="auto"/>
                <w:w w:val="90"/>
                <w:vertAlign w:val="superscript"/>
              </w:rPr>
              <w:t>(1) (2)</w:t>
            </w: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3"/>
              </w:rPr>
              <w:t>and Services</w:t>
            </w:r>
            <w:r>
              <w:rPr>
                <w:rFonts w:ascii="Times New Roman" w:cs="Times New Roman" w:eastAsia="Times New Roman" w:hAnsi="Times New Roman"/>
                <w:sz w:val="22"/>
                <w:szCs w:val="22"/>
                <w:b w:val="1"/>
                <w:bCs w:val="1"/>
                <w:color w:val="auto"/>
                <w:w w:val="93"/>
                <w:vertAlign w:val="superscript"/>
              </w:rPr>
              <w:t>(1)</w:t>
            </w: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3"/>
              </w:rPr>
              <w:t>Publishing</w:t>
            </w:r>
            <w:r>
              <w:rPr>
                <w:rFonts w:ascii="Times New Roman" w:cs="Times New Roman" w:eastAsia="Times New Roman" w:hAnsi="Times New Roman"/>
                <w:sz w:val="22"/>
                <w:szCs w:val="22"/>
                <w:b w:val="1"/>
                <w:bCs w:val="1"/>
                <w:color w:val="auto"/>
                <w:w w:val="93"/>
                <w:vertAlign w:val="superscript"/>
              </w:rPr>
              <w:t>(1)</w:t>
            </w:r>
          </w:p>
        </w:tc>
        <w:tc>
          <w:tcPr>
            <w:tcW w:w="1260" w:type="dxa"/>
            <w:vAlign w:val="bottom"/>
            <w:tcBorders>
              <w:bottom w:val="single" w:sz="8" w:color="80808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Advertising</w:t>
            </w:r>
            <w:r>
              <w:rPr>
                <w:rFonts w:ascii="Times New Roman" w:cs="Times New Roman" w:eastAsia="Times New Roman" w:hAnsi="Times New Roman"/>
                <w:sz w:val="22"/>
                <w:szCs w:val="22"/>
                <w:b w:val="1"/>
                <w:bCs w:val="1"/>
                <w:color w:val="auto"/>
                <w:w w:val="90"/>
                <w:vertAlign w:val="superscript"/>
              </w:rPr>
              <w:t>(1) (2)</w:t>
            </w:r>
          </w:p>
        </w:tc>
        <w:tc>
          <w:tcPr>
            <w:tcW w:w="1160" w:type="dxa"/>
            <w:vAlign w:val="bottom"/>
            <w:tcBorders>
              <w:bottom w:val="single" w:sz="8" w:color="808080"/>
            </w:tcBorders>
            <w:gridSpan w:val="2"/>
            <w:vMerge w:val="continue"/>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4"/>
              </w:rPr>
              <w:t>Domestic</w:t>
            </w:r>
          </w:p>
        </w:tc>
        <w:tc>
          <w:tcPr>
            <w:tcW w:w="1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28, 2013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189.4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41.8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286.1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2"/>
                <w:szCs w:val="12"/>
                <w:color w:val="auto"/>
              </w:rPr>
            </w:pPr>
          </w:p>
        </w:tc>
        <w:tc>
          <w:tcPr>
            <w:tcW w:w="104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11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2"/>
                <w:szCs w:val="12"/>
                <w:color w:val="auto"/>
              </w:rPr>
            </w:pPr>
          </w:p>
        </w:tc>
        <w:tc>
          <w:tcPr>
            <w:tcW w:w="580" w:type="dxa"/>
            <w:vAlign w:val="bottom"/>
          </w:tcPr>
          <w:p>
            <w:pPr>
              <w:jc w:val="right"/>
              <w:ind w:right="12"/>
              <w:spacing w:after="0" w:line="144"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15.0</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3"/>
                <w:szCs w:val="13"/>
                <w:color w:val="auto"/>
              </w:rPr>
              <w:t>Amortization</w:t>
            </w:r>
            <w:r>
              <w:rPr>
                <w:rFonts w:ascii="Times New Roman" w:cs="Times New Roman" w:eastAsia="Times New Roman" w:hAnsi="Times New Roman"/>
                <w:sz w:val="20"/>
                <w:szCs w:val="20"/>
                <w:color w:val="auto"/>
                <w:vertAlign w:val="superscript"/>
              </w:rPr>
              <w:t>(5)</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on leases and asset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impairments</w:t>
            </w:r>
          </w:p>
        </w:tc>
        <w:tc>
          <w:tcPr>
            <w:tcW w:w="28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operating income (loss)</w:t>
            </w:r>
          </w:p>
        </w:tc>
        <w:tc>
          <w:tcPr>
            <w:tcW w:w="2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2"/>
                <w:szCs w:val="12"/>
                <w:color w:val="auto"/>
              </w:rPr>
            </w:pPr>
          </w:p>
        </w:tc>
        <w:tc>
          <w:tcPr>
            <w:tcW w:w="11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2"/>
                <w:szCs w:val="12"/>
                <w:color w:val="auto"/>
              </w:rPr>
            </w:pPr>
          </w:p>
        </w:tc>
        <w:tc>
          <w:tcPr>
            <w:tcW w:w="11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4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Expenditures for long-lived assets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including royalty advances</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11.9</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34.5</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44"/>
        </w:trPr>
        <w:tc>
          <w:tcPr>
            <w:tcW w:w="216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1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29, 2012</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268.8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38.2</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14.4</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361.4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105.6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144"/>
        </w:trPr>
        <w:tc>
          <w:tcPr>
            <w:tcW w:w="21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2"/>
                <w:szCs w:val="12"/>
                <w:color w:val="auto"/>
              </w:rPr>
            </w:pPr>
          </w:p>
        </w:tc>
        <w:tc>
          <w:tcPr>
            <w:tcW w:w="104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2"/>
                <w:szCs w:val="12"/>
                <w:color w:val="auto"/>
              </w:rPr>
            </w:pPr>
          </w:p>
        </w:tc>
        <w:tc>
          <w:tcPr>
            <w:tcW w:w="11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2"/>
                <w:szCs w:val="12"/>
                <w:color w:val="auto"/>
              </w:rPr>
            </w:pPr>
          </w:p>
        </w:tc>
        <w:tc>
          <w:tcPr>
            <w:tcW w:w="11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6"/>
        </w:trPr>
        <w:tc>
          <w:tcPr>
            <w:tcW w:w="2160" w:type="dxa"/>
            <w:vAlign w:val="bottom"/>
          </w:tcPr>
          <w:p>
            <w:pPr>
              <w:ind w:left="160"/>
              <w:spacing w:after="0" w:line="176"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14.0</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0"/>
        </w:trPr>
        <w:tc>
          <w:tcPr>
            <w:tcW w:w="2160" w:type="dxa"/>
            <w:vAlign w:val="bottom"/>
          </w:tcPr>
          <w:p>
            <w:pPr>
              <w:ind w:left="160"/>
              <w:spacing w:after="0" w:line="181" w:lineRule="exact"/>
              <w:rPr>
                <w:sz w:val="20"/>
                <w:szCs w:val="20"/>
                <w:color w:val="auto"/>
              </w:rPr>
            </w:pPr>
            <w:r>
              <w:rPr>
                <w:rFonts w:ascii="Times New Roman" w:cs="Times New Roman" w:eastAsia="Times New Roman" w:hAnsi="Times New Roman"/>
                <w:sz w:val="13"/>
                <w:szCs w:val="13"/>
                <w:color w:val="auto"/>
              </w:rPr>
              <w:t>Amortization</w:t>
            </w:r>
            <w:r>
              <w:rPr>
                <w:rFonts w:ascii="Times New Roman" w:cs="Times New Roman" w:eastAsia="Times New Roman" w:hAnsi="Times New Roman"/>
                <w:sz w:val="20"/>
                <w:szCs w:val="20"/>
                <w:color w:val="auto"/>
                <w:vertAlign w:val="superscript"/>
              </w:rPr>
              <w:t>(5)</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on leases and asset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impairments</w:t>
            </w:r>
          </w:p>
        </w:tc>
        <w:tc>
          <w:tcPr>
            <w:tcW w:w="28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operating income (loss)</w:t>
            </w:r>
          </w:p>
        </w:tc>
        <w:tc>
          <w:tcPr>
            <w:tcW w:w="28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12"/>
                <w:szCs w:val="12"/>
                <w:color w:val="auto"/>
              </w:rPr>
            </w:pPr>
          </w:p>
        </w:tc>
        <w:tc>
          <w:tcPr>
            <w:tcW w:w="11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2"/>
                <w:szCs w:val="12"/>
                <w:color w:val="auto"/>
              </w:rPr>
            </w:pPr>
          </w:p>
        </w:tc>
        <w:tc>
          <w:tcPr>
            <w:tcW w:w="11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9"/>
        </w:trPr>
        <w:tc>
          <w:tcPr>
            <w:tcW w:w="21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Expenditures for long-lived assets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including royalty advances</w:t>
            </w:r>
          </w:p>
        </w:tc>
        <w:tc>
          <w:tcPr>
            <w:tcW w:w="28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34.0</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3"/>
              </w:rPr>
              <w:t>Children’s</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Book</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Classroom and</w:t>
            </w:r>
          </w:p>
        </w:tc>
        <w:tc>
          <w:tcPr>
            <w:tcW w:w="200" w:type="dxa"/>
            <w:vAlign w:val="bottom"/>
          </w:tcPr>
          <w:p>
            <w:pPr>
              <w:spacing w:after="0"/>
              <w:rPr>
                <w:sz w:val="12"/>
                <w:szCs w:val="12"/>
                <w:color w:val="auto"/>
              </w:rPr>
            </w:pPr>
          </w:p>
        </w:tc>
        <w:tc>
          <w:tcPr>
            <w:tcW w:w="120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Media,</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Publishing</w:t>
            </w:r>
          </w:p>
        </w:tc>
        <w:tc>
          <w:tcPr>
            <w:tcW w:w="200" w:type="dxa"/>
            <w:vAlign w:val="bottom"/>
          </w:tcPr>
          <w:p>
            <w:pPr>
              <w:spacing w:after="0"/>
              <w:rPr>
                <w:sz w:val="12"/>
                <w:szCs w:val="12"/>
                <w:color w:val="auto"/>
              </w:rPr>
            </w:pPr>
          </w:p>
        </w:tc>
        <w:tc>
          <w:tcPr>
            <w:tcW w:w="106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Educational</w:t>
            </w:r>
          </w:p>
        </w:tc>
        <w:tc>
          <w:tcPr>
            <w:tcW w:w="20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Supplemental</w:t>
            </w:r>
          </w:p>
        </w:tc>
        <w:tc>
          <w:tcPr>
            <w:tcW w:w="200" w:type="dxa"/>
            <w:vAlign w:val="bottom"/>
          </w:tcPr>
          <w:p>
            <w:pPr>
              <w:spacing w:after="0"/>
              <w:rPr>
                <w:sz w:val="12"/>
                <w:szCs w:val="12"/>
                <w:color w:val="auto"/>
              </w:rPr>
            </w:pPr>
          </w:p>
        </w:tc>
        <w:tc>
          <w:tcPr>
            <w:tcW w:w="120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3"/>
              </w:rPr>
              <w:t>Licensing</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4"/>
                <w:szCs w:val="14"/>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5"/>
              </w:rPr>
              <w:t>Technology</w:t>
            </w:r>
          </w:p>
        </w:tc>
        <w:tc>
          <w:tcPr>
            <w:tcW w:w="200" w:type="dxa"/>
            <w:vAlign w:val="bottom"/>
          </w:tcPr>
          <w:p>
            <w:pPr>
              <w:spacing w:after="0"/>
              <w:rPr>
                <w:sz w:val="14"/>
                <w:szCs w:val="14"/>
                <w:color w:val="auto"/>
              </w:rPr>
            </w:pPr>
          </w:p>
        </w:tc>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Materials</w:t>
            </w:r>
          </w:p>
        </w:tc>
        <w:tc>
          <w:tcPr>
            <w:tcW w:w="200" w:type="dxa"/>
            <w:vAlign w:val="bottom"/>
          </w:tcPr>
          <w:p>
            <w:pPr>
              <w:spacing w:after="0"/>
              <w:rPr>
                <w:sz w:val="14"/>
                <w:szCs w:val="14"/>
                <w:color w:val="auto"/>
              </w:rPr>
            </w:pPr>
          </w:p>
        </w:tc>
        <w:tc>
          <w:tcPr>
            <w:tcW w:w="12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16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Overhead</w:t>
            </w:r>
            <w:r>
              <w:rPr>
                <w:rFonts w:ascii="Times New Roman" w:cs="Times New Roman" w:eastAsia="Times New Roman" w:hAnsi="Times New Roman"/>
                <w:sz w:val="22"/>
                <w:szCs w:val="22"/>
                <w:b w:val="1"/>
                <w:bCs w:val="1"/>
                <w:color w:val="auto"/>
                <w:vertAlign w:val="superscript"/>
              </w:rPr>
              <w:t>(1) (3)</w:t>
            </w:r>
          </w:p>
        </w:tc>
        <w:tc>
          <w:tcPr>
            <w:tcW w:w="14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11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3"/>
              </w:rPr>
              <w:t>International</w:t>
            </w:r>
            <w:r>
              <w:rPr>
                <w:rFonts w:ascii="Times New Roman" w:cs="Times New Roman" w:eastAsia="Times New Roman" w:hAnsi="Times New Roman"/>
                <w:sz w:val="22"/>
                <w:szCs w:val="22"/>
                <w:b w:val="1"/>
                <w:bCs w:val="1"/>
                <w:color w:val="auto"/>
                <w:w w:val="93"/>
                <w:vertAlign w:val="superscript"/>
              </w:rPr>
              <w:t>(1)</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Distribution</w:t>
            </w:r>
            <w:r>
              <w:rPr>
                <w:rFonts w:ascii="Times New Roman" w:cs="Times New Roman" w:eastAsia="Times New Roman" w:hAnsi="Times New Roman"/>
                <w:sz w:val="22"/>
                <w:szCs w:val="22"/>
                <w:b w:val="1"/>
                <w:bCs w:val="1"/>
                <w:color w:val="auto"/>
                <w:w w:val="90"/>
                <w:vertAlign w:val="superscript"/>
              </w:rPr>
              <w:t>(1) (2)</w:t>
            </w: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3"/>
              </w:rPr>
              <w:t>and Services</w:t>
            </w:r>
            <w:r>
              <w:rPr>
                <w:rFonts w:ascii="Times New Roman" w:cs="Times New Roman" w:eastAsia="Times New Roman" w:hAnsi="Times New Roman"/>
                <w:sz w:val="22"/>
                <w:szCs w:val="22"/>
                <w:b w:val="1"/>
                <w:bCs w:val="1"/>
                <w:color w:val="auto"/>
                <w:w w:val="93"/>
                <w:vertAlign w:val="superscript"/>
              </w:rPr>
              <w:t>(1)</w:t>
            </w:r>
          </w:p>
        </w:tc>
        <w:tc>
          <w:tcPr>
            <w:tcW w:w="2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3"/>
              </w:rPr>
              <w:t>Publishing</w:t>
            </w:r>
            <w:r>
              <w:rPr>
                <w:rFonts w:ascii="Times New Roman" w:cs="Times New Roman" w:eastAsia="Times New Roman" w:hAnsi="Times New Roman"/>
                <w:sz w:val="22"/>
                <w:szCs w:val="22"/>
                <w:b w:val="1"/>
                <w:bCs w:val="1"/>
                <w:color w:val="auto"/>
                <w:w w:val="93"/>
                <w:vertAlign w:val="superscript"/>
              </w:rPr>
              <w:t>(1)</w:t>
            </w:r>
          </w:p>
        </w:tc>
        <w:tc>
          <w:tcPr>
            <w:tcW w:w="2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0"/>
              </w:rPr>
              <w:t>Advertising</w:t>
            </w:r>
            <w:r>
              <w:rPr>
                <w:rFonts w:ascii="Times New Roman" w:cs="Times New Roman" w:eastAsia="Times New Roman" w:hAnsi="Times New Roman"/>
                <w:sz w:val="22"/>
                <w:szCs w:val="22"/>
                <w:b w:val="1"/>
                <w:bCs w:val="1"/>
                <w:color w:val="auto"/>
                <w:w w:val="90"/>
                <w:vertAlign w:val="superscript"/>
              </w:rPr>
              <w:t>(1) (2)</w:t>
            </w:r>
          </w:p>
        </w:tc>
        <w:tc>
          <w:tcPr>
            <w:tcW w:w="1160" w:type="dxa"/>
            <w:vAlign w:val="bottom"/>
            <w:tcBorders>
              <w:bottom w:val="single" w:sz="8" w:color="808080"/>
            </w:tcBorders>
            <w:gridSpan w:val="2"/>
            <w:vMerge w:val="continue"/>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4"/>
              </w:rPr>
              <w:t>Domestic</w:t>
            </w:r>
          </w:p>
        </w:tc>
        <w:tc>
          <w:tcPr>
            <w:tcW w:w="1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28, 2013</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610.6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174.0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134.3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43.1</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962.0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328.3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1,290.3</w:t>
            </w: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12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2"/>
                <w:szCs w:val="12"/>
                <w:color w:val="auto"/>
              </w:rPr>
            </w:pPr>
          </w:p>
        </w:tc>
        <w:tc>
          <w:tcPr>
            <w:tcW w:w="11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6"/>
        </w:trPr>
        <w:tc>
          <w:tcPr>
            <w:tcW w:w="2060" w:type="dxa"/>
            <w:vAlign w:val="bottom"/>
          </w:tcPr>
          <w:p>
            <w:pPr>
              <w:ind w:left="160"/>
              <w:spacing w:after="0" w:line="176"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(4)</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0.3</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45.3</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0"/>
        </w:trPr>
        <w:tc>
          <w:tcPr>
            <w:tcW w:w="2060" w:type="dxa"/>
            <w:vAlign w:val="bottom"/>
          </w:tcPr>
          <w:p>
            <w:pPr>
              <w:ind w:left="160"/>
              <w:spacing w:after="0" w:line="181" w:lineRule="exact"/>
              <w:rPr>
                <w:sz w:val="20"/>
                <w:szCs w:val="20"/>
                <w:color w:val="auto"/>
              </w:rPr>
            </w:pPr>
            <w:r>
              <w:rPr>
                <w:rFonts w:ascii="Times New Roman" w:cs="Times New Roman" w:eastAsia="Times New Roman" w:hAnsi="Times New Roman"/>
                <w:sz w:val="13"/>
                <w:szCs w:val="13"/>
                <w:color w:val="auto"/>
              </w:rPr>
              <w:t>Amortization</w:t>
            </w:r>
            <w:r>
              <w:rPr>
                <w:rFonts w:ascii="Times New Roman" w:cs="Times New Roman" w:eastAsia="Times New Roman" w:hAnsi="Times New Roman"/>
                <w:sz w:val="20"/>
                <w:szCs w:val="20"/>
                <w:color w:val="auto"/>
                <w:vertAlign w:val="superscript"/>
              </w:rPr>
              <w:t>(5)</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35.2</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on leases and asset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impairments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operating income (loss)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2"/>
                <w:szCs w:val="12"/>
                <w:color w:val="auto"/>
              </w:rPr>
            </w:pPr>
          </w:p>
        </w:tc>
        <w:tc>
          <w:tcPr>
            <w:tcW w:w="12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14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assets at 2/28/2013</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549.0</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177.1</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159.9</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1,347.6</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1,646.5</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Goodwill at 2/28/2013</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147.8</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Expenditures for long-lived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assets including royalty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advances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74"/>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Long-lived assets at 2/28/2013</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170.2</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111.8</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90.2</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13.6</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241.5</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627.3</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68.4</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695.7</w:t>
            </w:r>
          </w:p>
        </w:tc>
        <w:tc>
          <w:tcPr>
            <w:tcW w:w="0" w:type="dxa"/>
            <w:vAlign w:val="bottom"/>
          </w:tcPr>
          <w:p>
            <w:pPr>
              <w:spacing w:after="0"/>
              <w:rPr>
                <w:sz w:val="1"/>
                <w:szCs w:val="1"/>
                <w:color w:val="auto"/>
              </w:rPr>
            </w:pPr>
          </w:p>
        </w:tc>
      </w:tr>
      <w:tr>
        <w:trPr>
          <w:trHeight w:val="244"/>
        </w:trPr>
        <w:tc>
          <w:tcPr>
            <w:tcW w:w="20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1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29, 2012</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739.3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142.6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49.0</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1,132.9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337.4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1,470.3</w:t>
            </w: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tcPr>
          <w:p>
            <w:pPr>
              <w:spacing w:after="0"/>
              <w:rPr>
                <w:sz w:val="12"/>
                <w:szCs w:val="12"/>
                <w:color w:val="auto"/>
              </w:rPr>
            </w:pPr>
          </w:p>
        </w:tc>
        <w:tc>
          <w:tcPr>
            <w:tcW w:w="102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10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10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2"/>
                <w:szCs w:val="12"/>
                <w:color w:val="auto"/>
              </w:rPr>
            </w:pPr>
          </w:p>
        </w:tc>
        <w:tc>
          <w:tcPr>
            <w:tcW w:w="120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2"/>
                <w:szCs w:val="12"/>
                <w:color w:val="auto"/>
              </w:rPr>
            </w:pPr>
          </w:p>
        </w:tc>
        <w:tc>
          <w:tcPr>
            <w:tcW w:w="11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2"/>
                <w:szCs w:val="12"/>
                <w:color w:val="auto"/>
              </w:rPr>
            </w:pPr>
          </w:p>
        </w:tc>
        <w:tc>
          <w:tcPr>
            <w:tcW w:w="58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6"/>
        </w:trPr>
        <w:tc>
          <w:tcPr>
            <w:tcW w:w="2060" w:type="dxa"/>
            <w:vAlign w:val="bottom"/>
          </w:tcPr>
          <w:p>
            <w:pPr>
              <w:ind w:left="160"/>
              <w:spacing w:after="0" w:line="176"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(4)</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80"/>
        </w:trPr>
        <w:tc>
          <w:tcPr>
            <w:tcW w:w="2060" w:type="dxa"/>
            <w:vAlign w:val="bottom"/>
          </w:tcPr>
          <w:p>
            <w:pPr>
              <w:ind w:left="160"/>
              <w:spacing w:after="0" w:line="181" w:lineRule="exact"/>
              <w:rPr>
                <w:sz w:val="20"/>
                <w:szCs w:val="20"/>
                <w:color w:val="auto"/>
              </w:rPr>
            </w:pPr>
            <w:r>
              <w:rPr>
                <w:rFonts w:ascii="Times New Roman" w:cs="Times New Roman" w:eastAsia="Times New Roman" w:hAnsi="Times New Roman"/>
                <w:sz w:val="13"/>
                <w:szCs w:val="13"/>
                <w:color w:val="auto"/>
              </w:rPr>
              <w:t>Amortization</w:t>
            </w:r>
            <w:r>
              <w:rPr>
                <w:rFonts w:ascii="Times New Roman" w:cs="Times New Roman" w:eastAsia="Times New Roman" w:hAnsi="Times New Roman"/>
                <w:sz w:val="20"/>
                <w:szCs w:val="20"/>
                <w:color w:val="auto"/>
                <w:vertAlign w:val="superscript"/>
              </w:rPr>
              <w:t>(5)</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15.6</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34.6</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on leases and asset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impairments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operating income (loss)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2"/>
                <w:szCs w:val="12"/>
                <w:color w:val="auto"/>
              </w:rPr>
            </w:pPr>
          </w:p>
        </w:tc>
        <w:tc>
          <w:tcPr>
            <w:tcW w:w="12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Segment assets at 2/29/2012</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597.1</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153.3</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397.4</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1,342.6</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294.3</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1,636.9</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Goodwill at 2/29/2012</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49"/>
        </w:trPr>
        <w:tc>
          <w:tcPr>
            <w:tcW w:w="2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Expenditures for long-lived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assets including royalty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advances</w:t>
            </w:r>
          </w:p>
        </w:tc>
        <w:tc>
          <w:tcPr>
            <w:tcW w:w="26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20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0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180" w:type="dxa"/>
            <w:vAlign w:val="bottom"/>
          </w:tcPr>
          <w:p>
            <w:pPr>
              <w:spacing w:after="0"/>
              <w:rPr>
                <w:sz w:val="12"/>
                <w:szCs w:val="12"/>
                <w:color w:val="auto"/>
              </w:rPr>
            </w:pPr>
          </w:p>
        </w:tc>
        <w:tc>
          <w:tcPr>
            <w:tcW w:w="11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74"/>
        </w:trPr>
        <w:tc>
          <w:tcPr>
            <w:tcW w:w="2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Long-lived assets at 2/29/2012</w:t>
            </w:r>
          </w:p>
        </w:tc>
        <w:tc>
          <w:tcPr>
            <w:tcW w:w="2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173.7</w:t>
            </w:r>
          </w:p>
        </w:tc>
        <w:tc>
          <w:tcPr>
            <w:tcW w:w="20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98.5</w:t>
            </w:r>
          </w:p>
        </w:tc>
        <w:tc>
          <w:tcPr>
            <w:tcW w:w="200" w:type="dxa"/>
            <w:vAlign w:val="bottom"/>
          </w:tcPr>
          <w:p>
            <w:pPr>
              <w:spacing w:after="0"/>
              <w:rPr>
                <w:sz w:val="15"/>
                <w:szCs w:val="15"/>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88.3</w:t>
            </w:r>
          </w:p>
        </w:tc>
        <w:tc>
          <w:tcPr>
            <w:tcW w:w="200" w:type="dxa"/>
            <w:vAlign w:val="bottom"/>
          </w:tcPr>
          <w:p>
            <w:pPr>
              <w:spacing w:after="0"/>
              <w:rPr>
                <w:sz w:val="15"/>
                <w:szCs w:val="15"/>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19.7</w:t>
            </w:r>
          </w:p>
        </w:tc>
        <w:tc>
          <w:tcPr>
            <w:tcW w:w="4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242.8</w:t>
            </w:r>
          </w:p>
        </w:tc>
        <w:tc>
          <w:tcPr>
            <w:tcW w:w="14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623.0</w:t>
            </w:r>
          </w:p>
        </w:tc>
        <w:tc>
          <w:tcPr>
            <w:tcW w:w="18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67.6</w:t>
            </w:r>
          </w:p>
        </w:tc>
        <w:tc>
          <w:tcPr>
            <w:tcW w:w="2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690.6</w:t>
            </w:r>
          </w:p>
        </w:tc>
        <w:tc>
          <w:tcPr>
            <w:tcW w:w="0" w:type="dxa"/>
            <w:vAlign w:val="bottom"/>
          </w:tcPr>
          <w:p>
            <w:pPr>
              <w:spacing w:after="0"/>
              <w:rPr>
                <w:sz w:val="1"/>
                <w:szCs w:val="1"/>
                <w:color w:val="auto"/>
              </w:rPr>
            </w:pPr>
          </w:p>
        </w:tc>
      </w:tr>
      <w:tr>
        <w:trPr>
          <w:trHeight w:val="95"/>
        </w:trPr>
        <w:tc>
          <w:tcPr>
            <w:tcW w:w="2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460" w:right="400" w:hanging="452"/>
        <w:spacing w:after="0" w:line="212" w:lineRule="auto"/>
        <w:tabs>
          <w:tab w:leader="none" w:pos="4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As discussed under “Discontinued Operations” in Note 1, “Basis of Presentation,” the Company closed or sold several operations during fiscal 2009, fiscal 2010 and fiscal 2012, and presently holds for sale one facility. All of these businesses are classified as discontinued operations in the Company’s financial statements and, as such, are not reflected in this table.</w:t>
      </w:r>
    </w:p>
    <w:p>
      <w:pPr>
        <w:spacing w:after="0" w:line="163" w:lineRule="exact"/>
        <w:rPr>
          <w:rFonts w:ascii="Times New Roman" w:cs="Times New Roman" w:eastAsia="Times New Roman" w:hAnsi="Times New Roman"/>
          <w:sz w:val="29"/>
          <w:szCs w:val="29"/>
          <w:color w:val="auto"/>
          <w:vertAlign w:val="superscript"/>
        </w:rPr>
      </w:pPr>
    </w:p>
    <w:p>
      <w:pPr>
        <w:ind w:left="460" w:right="60" w:hanging="452"/>
        <w:spacing w:after="0" w:line="198" w:lineRule="auto"/>
        <w:tabs>
          <w:tab w:leader="none" w:pos="4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As discussed under “Segment” in Note 1, a business previously reported in the Media, Licensing and Advertising segment is now included in the Children’s Book Publishing and Distribution segment.</w:t>
      </w:r>
    </w:p>
    <w:p>
      <w:pPr>
        <w:spacing w:after="0" w:line="161" w:lineRule="exact"/>
        <w:rPr>
          <w:rFonts w:ascii="Times New Roman" w:cs="Times New Roman" w:eastAsia="Times New Roman" w:hAnsi="Times New Roman"/>
          <w:sz w:val="29"/>
          <w:szCs w:val="29"/>
          <w:color w:val="auto"/>
          <w:vertAlign w:val="superscript"/>
        </w:rPr>
      </w:pPr>
    </w:p>
    <w:p>
      <w:pPr>
        <w:ind w:left="460" w:right="100" w:hanging="452"/>
        <w:spacing w:after="0" w:line="212" w:lineRule="auto"/>
        <w:tabs>
          <w:tab w:leader="none" w:pos="4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w:t>
      </w:r>
    </w:p>
    <w:p>
      <w:pPr>
        <w:spacing w:after="0" w:line="60" w:lineRule="exact"/>
        <w:rPr>
          <w:rFonts w:ascii="Times New Roman" w:cs="Times New Roman" w:eastAsia="Times New Roman" w:hAnsi="Times New Roman"/>
          <w:sz w:val="29"/>
          <w:szCs w:val="29"/>
          <w:color w:val="auto"/>
          <w:vertAlign w:val="superscript"/>
        </w:rPr>
      </w:pPr>
    </w:p>
    <w:p>
      <w:pPr>
        <w:ind w:left="460" w:hanging="452"/>
        <w:spacing w:after="0"/>
        <w:tabs>
          <w:tab w:leader="none" w:pos="4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Includes depreciation of property, plant and equipment and amortization of intangible assets.</w:t>
      </w:r>
    </w:p>
    <w:p>
      <w:pPr>
        <w:spacing w:after="0" w:line="106" w:lineRule="exact"/>
        <w:rPr>
          <w:rFonts w:ascii="Times New Roman" w:cs="Times New Roman" w:eastAsia="Times New Roman" w:hAnsi="Times New Roman"/>
          <w:sz w:val="29"/>
          <w:szCs w:val="29"/>
          <w:color w:val="auto"/>
          <w:vertAlign w:val="superscript"/>
        </w:rPr>
      </w:pPr>
    </w:p>
    <w:p>
      <w:pPr>
        <w:ind w:left="460" w:hanging="452"/>
        <w:spacing w:after="0" w:line="205" w:lineRule="auto"/>
        <w:tabs>
          <w:tab w:leader="none" w:pos="4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Includes amortization of prepublication and production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2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0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0" w:type="dxa"/>
            <w:vAlign w:val="bottom"/>
          </w:tcPr>
          <w:p>
            <w:pPr>
              <w:spacing w:after="0"/>
              <w:rPr>
                <w:sz w:val="20"/>
                <w:szCs w:val="20"/>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220" w:type="dxa"/>
            <w:vAlign w:val="bottom"/>
          </w:tcPr>
          <w:p>
            <w:pPr>
              <w:spacing w:after="0"/>
              <w:rPr>
                <w:sz w:val="24"/>
                <w:szCs w:val="24"/>
                <w:color w:val="auto"/>
              </w:rPr>
            </w:pPr>
          </w:p>
        </w:tc>
        <w:tc>
          <w:tcPr>
            <w:tcW w:w="230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200" w:type="dxa"/>
            <w:vAlign w:val="bottom"/>
          </w:tcPr>
          <w:p>
            <w:pPr>
              <w:spacing w:after="0"/>
              <w:rPr>
                <w:sz w:val="24"/>
                <w:szCs w:val="24"/>
                <w:color w:val="auto"/>
              </w:rPr>
            </w:pPr>
          </w:p>
        </w:tc>
        <w:tc>
          <w:tcPr>
            <w:tcW w:w="230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February 29, 2012</w:t>
            </w:r>
          </w:p>
        </w:tc>
        <w:tc>
          <w:tcPr>
            <w:tcW w:w="2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Loan Agreement:</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Loan</w:t>
            </w:r>
          </w:p>
        </w:tc>
        <w:tc>
          <w:tcPr>
            <w:tcW w:w="4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4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5% Notes due 2013, net of discount</w:t>
            </w:r>
          </w:p>
        </w:tc>
        <w:tc>
          <w:tcPr>
            <w:tcW w:w="4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158.5</w:t>
            </w:r>
          </w:p>
        </w:tc>
        <w:tc>
          <w:tcPr>
            <w:tcW w:w="20" w:type="dxa"/>
            <w:vAlign w:val="bottom"/>
          </w:tcPr>
          <w:p>
            <w:pPr>
              <w:spacing w:after="0"/>
              <w:rPr>
                <w:sz w:val="19"/>
                <w:szCs w:val="19"/>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161.9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171.1</w:t>
            </w:r>
          </w:p>
        </w:tc>
        <w:tc>
          <w:tcPr>
            <w:tcW w:w="2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lines of credit, short-term debt and current</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 of long-term debt</w:t>
            </w:r>
          </w:p>
        </w:tc>
        <w:tc>
          <w:tcPr>
            <w:tcW w:w="4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158.5</w:t>
            </w:r>
          </w:p>
        </w:tc>
        <w:tc>
          <w:tcPr>
            <w:tcW w:w="2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Lines of Credit weighted average interest rate</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7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42" w:right="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carrying value of the Company’s short-term debt approximates its fair value. Fair values of the Notes were estimated based on market quotes, where available, or dealer quotes.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maturities of the Company’s debt obligations as of February 28, 2013, for the twelve-month period ending February 28,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153.0</w:t>
            </w:r>
          </w:p>
        </w:tc>
      </w:tr>
      <w:tr>
        <w:trPr>
          <w:trHeight w:val="110"/>
        </w:trPr>
        <w:tc>
          <w:tcPr>
            <w:tcW w:w="19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154.8</w:t>
            </w:r>
          </w:p>
        </w:tc>
      </w:tr>
      <w:tr>
        <w:trPr>
          <w:trHeight w:val="110"/>
        </w:trPr>
        <w:tc>
          <w:tcPr>
            <w:tcW w:w="19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with the ability to increase the aggregate Revolving Loan commitments of the lenders by up to an additional $150.0. The Loan Agreement was amended on August 16, 2010, on October 25, 2011 and most recently on December 5, 2012. The amendment on December 5, 2012 served to, among other things,</w:t>
      </w:r>
    </w:p>
    <w:p>
      <w:pPr>
        <w:spacing w:after="0" w:line="3" w:lineRule="exact"/>
        <w:rPr>
          <w:sz w:val="20"/>
          <w:szCs w:val="20"/>
          <w:color w:val="auto"/>
        </w:rPr>
      </w:pPr>
    </w:p>
    <w:p>
      <w:pPr>
        <w:ind w:right="80" w:firstLine="8"/>
        <w:spacing w:after="0" w:line="252" w:lineRule="auto"/>
        <w:tabs>
          <w:tab w:leader="none" w:pos="2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Revolving Loan from $325.0 to $425.0 (with the continued ability to increase the aggregate Revolving Loan commitments of the lenders by up to an additional $150.0), (ii) extend the maturity of the $425.0 Revolving Loan to December 5, 2017 from June 1, 2014, (iii) amend a covenant in the Loan Agreement to permit certain sales, transfers and dispositions of assets by either Borrower or any subsidiary to any other Borrower or subsidiary and (iv) amend a covenant in the Loan Agreement to permit transactions between or among the Company and its wholly-owned subsidiaries not involving any other affiliates. Additionally, this amendment added certain lenders to the Loan Agreement and other lenders exited the Loan Agreement with no further obligation. The Loan Agreement also provides for the payment of a facility fee as described below.</w:t>
      </w:r>
    </w:p>
    <w:p>
      <w:pPr>
        <w:spacing w:after="0" w:line="19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Revolving Loan allows the Company to borrow, repay or prepay and reborrow at any time prior to the stated maturity date, and the proceeds may be used for general corporate purposes, including financing for acquisitions and share repurchases.</w:t>
      </w:r>
    </w:p>
    <w:p>
      <w:pPr>
        <w:spacing w:after="0" w:line="17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0" w:lineRule="exact"/>
        <w:rPr>
          <w:sz w:val="20"/>
          <w:szCs w:val="20"/>
          <w:color w:val="auto"/>
        </w:rPr>
      </w:pPr>
    </w:p>
    <w:p>
      <w:pPr>
        <w:ind w:left="920" w:right="180" w:hanging="453"/>
        <w:spacing w:after="0" w:line="26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18" w:lineRule="exact"/>
        <w:rPr>
          <w:rFonts w:ascii="Times New Roman" w:cs="Times New Roman" w:eastAsia="Times New Roman" w:hAnsi="Times New Roman"/>
          <w:sz w:val="18"/>
          <w:szCs w:val="18"/>
          <w:color w:val="auto"/>
        </w:rPr>
      </w:pPr>
    </w:p>
    <w:p>
      <w:pPr>
        <w:ind w:left="2120" w:hanging="96"/>
        <w:spacing w:after="0"/>
        <w:tabs>
          <w:tab w:leader="none" w:pos="21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t>
      </w:r>
    </w:p>
    <w:p>
      <w:pPr>
        <w:spacing w:after="0" w:line="157" w:lineRule="exact"/>
        <w:rPr>
          <w:rFonts w:ascii="Times New Roman" w:cs="Times New Roman" w:eastAsia="Times New Roman" w:hAnsi="Times New Roman"/>
          <w:sz w:val="18"/>
          <w:szCs w:val="18"/>
          <w:color w:val="auto"/>
        </w:rPr>
      </w:pPr>
    </w:p>
    <w:p>
      <w:pPr>
        <w:ind w:left="920" w:hanging="453"/>
        <w:spacing w:after="0" w:line="275"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7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At February 28, 2013, the indicated spread on Base Rate Advances was 0.18% and the indicated spread on Eurodollar Rate Advances was 1.18%, both based on the Company’s prevailing consolidated debt to total capital ratio. The Loan Agreement also provides for the payment of a facility fee ranging from 0.20% to</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0.40% per annum based upon the Company’s prevailing consolidated debt to total capital ratio. At February 28, 2013, the facility fee rate was 0.20%. There were no outstanding borrowings under the Revolving Loan as of February 28, 2013.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2013, the Company had open standby letters of credit totaling $6.6, including $1.4 under the Loan Agreement.</w:t>
      </w:r>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Loan Agreement contains certain covenants, including interest coverage and leverage ratio tests and certain limitations on the amount of dividends and other distributions, and at February 28, 2013, the Company was in compliance with these covenants.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of Credit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February 28, 2013, the Company’s domestic credit lines available under unsecured money market bid rate credit lines totaled $20.0. There were no outstanding borrowings under these credit lines at February 28, 2013, May 31, 2012 and February 29, 2012. All loans made under these credit lines are at the sole discretion of the lender and at an interest rate and term agreed to at the time each loan is made, but not to exceed 364 days. These credit lines may be renewed, if requested by the Company, at the option of the lender.</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February 28, 2013, the Company had various local currency credit lines, with maximum available borrowings in amounts equivalent to $27.1, underwritten by banks primarily in the United States, Canada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 The increased weighted average interest rate of 8.9% as of February 28, 2013 was higher due to local borrowing interest rates in Asia.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Notes due 2013</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noted above under “Loan Agreement,” the Company amended the terms of the Revolving Loan to extend the maturity date to December 5, 2017. The Company has the ability to use a portion of this credit facility to fully redeem the 5% Notes due April 15, 2013 and intends to draw on this credit facility for this purpose. Accordingly, the balance of the 5% Notes is excluded from current liabilities and classified as long-term debt on the Company’s condensed consolidated balance sheets at February 28, 2013 and May 31, 2012.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9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Grolier Limited is an indirect subsidiary of Scholastic Corporation, located in the United Kingdom, which ceased operations in fiscal 2008 and the operations of which are included in discontinued operations. The Company is currently in the process of settling a Grolier Limited pension plan in effect at the time it ceased operations and is evaluating the potential pension liabilities under the plan relating to the status of the plan as a defined contribution or a defined benefit plan in the context of the conversion of the plan from a defined benefit to a defined contribution plan in 1986. Based on the information currently available to it, the Company does not expect to incur any additional material liability in resolving this issue and settling the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(Loss) Per Share</w:t>
      </w:r>
    </w:p>
    <w:p>
      <w:pPr>
        <w:spacing w:after="0" w:line="227"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reconciliation of the numerators and denominators for the basic and diluted earnings (loss) per share computation for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72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3"/>
              </w:rPr>
              <w:t>February 28,</w:t>
            </w:r>
          </w:p>
        </w:tc>
        <w:tc>
          <w:tcPr>
            <w:tcW w:w="22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c>
          <w:tcPr>
            <w:tcW w:w="220" w:type="dxa"/>
            <w:vAlign w:val="bottom"/>
          </w:tcPr>
          <w:p>
            <w:pPr>
              <w:spacing w:after="0"/>
              <w:rPr>
                <w:sz w:val="18"/>
                <w:szCs w:val="18"/>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5"/>
              </w:rPr>
              <w:t>February 28,</w:t>
            </w:r>
          </w:p>
        </w:tc>
        <w:tc>
          <w:tcPr>
            <w:tcW w:w="24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r>
      <w:tr>
        <w:trPr>
          <w:trHeight w:val="230"/>
        </w:trPr>
        <w:tc>
          <w:tcPr>
            <w:tcW w:w="5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0"/>
                <w:szCs w:val="20"/>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5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46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Class A and Common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 attributable to Class A and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Shares</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48.3</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 attributable to Class A and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Shares, net of tax</w:t>
            </w:r>
          </w:p>
        </w:tc>
        <w:tc>
          <w:tcPr>
            <w:tcW w:w="28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attributable to participating securities</w:t>
            </w:r>
          </w:p>
        </w:tc>
        <w:tc>
          <w:tcPr>
            <w:tcW w:w="2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Class A Stock and Common Stock outstanding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basic earnings (loss) per share (in millions)</w:t>
            </w:r>
          </w:p>
        </w:tc>
        <w:tc>
          <w:tcPr>
            <w:tcW w:w="28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31.1</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Class A Stock and Common Stock potentially issuable</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pursuant to stock-based compensation plans (in millions)</w:t>
            </w:r>
          </w:p>
        </w:tc>
        <w:tc>
          <w:tcPr>
            <w:tcW w:w="28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Adjusted weighted average Shares of Class A Stock and Common Stock</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for diluted earnings (loss) per share (in millions)</w:t>
            </w:r>
          </w:p>
        </w:tc>
        <w:tc>
          <w:tcPr>
            <w:tcW w:w="28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31.6</w:t>
            </w:r>
          </w:p>
        </w:tc>
      </w:tr>
      <w:tr>
        <w:trPr>
          <w:trHeight w:val="35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shares outstanding pursuant to stock-based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8"/>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plans (in millions)</w:t>
            </w:r>
          </w:p>
        </w:tc>
        <w:tc>
          <w:tcPr>
            <w:tcW w:w="28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r>
      <w:tr>
        <w:trPr>
          <w:trHeight w:val="110"/>
        </w:trPr>
        <w:tc>
          <w:tcPr>
            <w:tcW w:w="5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45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of Class A Stock and Common Stock:</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1.54</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1.52</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110"/>
        </w:trPr>
        <w:tc>
          <w:tcPr>
            <w:tcW w:w="5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350" w:lineRule="exact"/>
        <w:rPr>
          <w:sz w:val="20"/>
          <w:szCs w:val="20"/>
          <w:color w:val="auto"/>
        </w:rPr>
      </w:pPr>
    </w:p>
    <w:p>
      <w:pPr>
        <w:ind w:left="460" w:right="36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February 28, 2013 and February 29, 2012, the Company experienced a loss from continuing operations and therefore did not report any dilutive share impact.</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Options outstanding pursuant to stock-based compensation plans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29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2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February 29, 2012</w:t>
            </w:r>
          </w:p>
        </w:tc>
      </w:tr>
      <w:tr>
        <w:trPr>
          <w:trHeight w:val="110"/>
        </w:trPr>
        <w:tc>
          <w:tcPr>
            <w:tcW w:w="636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r>
        <w:trPr>
          <w:trHeight w:val="3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pursuant to stock-based compensation plans (in millions)</w:t>
            </w:r>
          </w:p>
        </w:tc>
        <w:tc>
          <w:tcPr>
            <w:tcW w:w="29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4.2</w:t>
            </w:r>
          </w:p>
        </w:tc>
        <w:tc>
          <w:tcPr>
            <w:tcW w:w="2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r>
      <w:tr>
        <w:trPr>
          <w:trHeight w:val="110"/>
        </w:trPr>
        <w:tc>
          <w:tcPr>
            <w:tcW w:w="636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portion of the Company’s restricted stock units (“RSUs”) which are granted to employees participate in earnings through cumulative non-forfeitable dividends payable to the employees upon vesting of the RSUs. Accordingly, the Company measures earnings per share based upon the lower of the Two-class method or the Treasury Stock method. Since, under the Two-class method, losses are not allocated to the participating securities, in periods of loss the Two-class method is 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2013, $25.6 remains available for future purchases of common shares under the current repurchase authorization of 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“Treasury Stock,” for a more complete description of the Company’s share buy-back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Goodwill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240" w:type="dxa"/>
            <w:vAlign w:val="bottom"/>
          </w:tcPr>
          <w:p>
            <w:pPr>
              <w:spacing w:after="0"/>
              <w:rPr>
                <w:sz w:val="20"/>
                <w:szCs w:val="20"/>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220" w:type="dxa"/>
            <w:vAlign w:val="bottom"/>
          </w:tcPr>
          <w:p>
            <w:pPr>
              <w:spacing w:after="0"/>
              <w:rPr>
                <w:sz w:val="20"/>
                <w:szCs w:val="20"/>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8"/>
              </w:rPr>
              <w:t>February 29, 2012</w:t>
            </w:r>
          </w:p>
        </w:tc>
      </w:tr>
      <w:tr>
        <w:trPr>
          <w:trHeight w:val="110"/>
        </w:trPr>
        <w:tc>
          <w:tcPr>
            <w:tcW w:w="39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0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beginning balance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175.0</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2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110"/>
        </w:trPr>
        <w:tc>
          <w:tcPr>
            <w:tcW w:w="39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45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Additions due to acquisition</w:t>
            </w:r>
          </w:p>
        </w:tc>
        <w:tc>
          <w:tcPr>
            <w:tcW w:w="210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10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w:t>
            </w:r>
          </w:p>
        </w:tc>
      </w:tr>
      <w:tr>
        <w:trPr>
          <w:trHeight w:val="110"/>
        </w:trPr>
        <w:tc>
          <w:tcPr>
            <w:tcW w:w="39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0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ending balance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183.7</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2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110"/>
        </w:trPr>
        <w:tc>
          <w:tcPr>
            <w:tcW w:w="39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162.9</w:t>
            </w:r>
          </w:p>
        </w:tc>
      </w:tr>
      <w:tr>
        <w:trPr>
          <w:trHeight w:val="110"/>
        </w:trPr>
        <w:tc>
          <w:tcPr>
            <w:tcW w:w="39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353"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 xml:space="preserve">On February 8, 2012, the Company acquired the business and certain assets of Weekly Reader®, a publisher of weekly educational classroom magazines designed for children in grades Pre-K–12, for $2.0 in cash and $4.8 in assumed liabilities, which have been fulfilled by the Company. The Company utilized Level 3 fair value measurement inputs including internally-developed discounted cash flow forecasts and market comparisons of royalty rates to determine the fair value of the assets acquired and the amount to be allocated to goodwill. As a result, the Company recognized $1.4 of goodwill and $5.4 of intangible assets. The results of operations of this business subsequent to the acquisition date are included in the </w:t>
      </w:r>
      <w:r>
        <w:rPr>
          <w:rFonts w:ascii="Times New Roman" w:cs="Times New Roman" w:eastAsia="Times New Roman" w:hAnsi="Times New Roman"/>
          <w:sz w:val="16"/>
          <w:szCs w:val="16"/>
          <w:i w:val="1"/>
          <w:iCs w:val="1"/>
          <w:color w:val="auto"/>
        </w:rPr>
        <w:t>Classroom and Supplemental Materials Publishing</w:t>
      </w:r>
      <w:r>
        <w:rPr>
          <w:rFonts w:ascii="Times New Roman" w:cs="Times New Roman" w:eastAsia="Times New Roman" w:hAnsi="Times New Roman"/>
          <w:sz w:val="16"/>
          <w:szCs w:val="16"/>
          <w:color w:val="auto"/>
        </w:rPr>
        <w:t xml:space="preserve"> segment.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January 3, 2012, the Company acquired Learners Publishing, a Singapore-based publisher of supplemental learning materials for English-Language Learners, for $3.0, net of cash acquired. The Company utilized Level 3 fair value measurement inputs, using its own assumptions, including internally-developed discounted cash flow forecasts, to determine the fair value of the assets acquired and the amount of goodwill to be allocated to the Learners Publishing business. As a result of this transaction, the Company recorded $1.5 of goodwill. The results of operations of this business subsequent to the acquisition date are included in the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xml:space="preserve"> segment.</w:t>
      </w:r>
    </w:p>
    <w:p>
      <w:pPr>
        <w:spacing w:after="0" w:line="19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4"/>
          <w:szCs w:val="14"/>
          <w:color w:val="auto"/>
        </w:rPr>
        <w:t xml:space="preserve">The Company assesses goodwill annually or more frequently if impairment indicators are such that the goodwill is more likely than not impaired. The Company continues to monitor impairment indicators in light of reduced earnings, changes in market conditions, near and long-term demand for the Company’s products and other relevant factors. Goodwill of $64.0 is attributed to a reporting unit (Classroom and Community Group) within the </w:t>
      </w:r>
      <w:r>
        <w:rPr>
          <w:rFonts w:ascii="Times New Roman" w:cs="Times New Roman" w:eastAsia="Times New Roman" w:hAnsi="Times New Roman"/>
          <w:sz w:val="14"/>
          <w:szCs w:val="14"/>
          <w:i w:val="1"/>
          <w:iCs w:val="1"/>
          <w:color w:val="auto"/>
        </w:rPr>
        <w:t>Classroom and Supplemental Materials Publishing</w:t>
      </w:r>
      <w:r>
        <w:rPr>
          <w:rFonts w:ascii="Times New Roman" w:cs="Times New Roman" w:eastAsia="Times New Roman" w:hAnsi="Times New Roman"/>
          <w:sz w:val="14"/>
          <w:szCs w:val="14"/>
          <w:color w:val="auto"/>
        </w:rPr>
        <w:t xml:space="preserve"> segment. During the third quarter of fiscal 2013, the Company determined that this reporting unit had impairment indicators. The Company performed a valuation of this reporting unit and determined that the fair value exceeds the carrying value by greater than 20% as of January 31, 2013. The Company employed Level 3 valuation measures, including expected discounted cash flow analysis and market comparisons. Cash flow forecasts and other assumptions were developed consistent with the internal planning and budgeting processes of the reporting unit. A discount rate of 16% was employed for the discounted cash flow analysis and a factor of 4.5 times EBITDA was used to compare to similar public companies. The discount rate and EBITDA multiples utilized reflect risks specific to the reporting unit, including forecast risk and product diversity risk. Using a discount rate of 18% combined with a multiple of 3.8 times EBITDA would not result in an impairment based upon the valuation methodology employed.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Total other intangibles subject to amortization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200" w:type="dxa"/>
            <w:vAlign w:val="bottom"/>
          </w:tcPr>
          <w:p>
            <w:pPr>
              <w:spacing w:after="0"/>
              <w:rPr>
                <w:sz w:val="20"/>
                <w:szCs w:val="20"/>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May 31, 2012</w:t>
            </w:r>
          </w:p>
        </w:tc>
        <w:tc>
          <w:tcPr>
            <w:tcW w:w="260" w:type="dxa"/>
            <w:vAlign w:val="bottom"/>
          </w:tcPr>
          <w:p>
            <w:pPr>
              <w:spacing w:after="0"/>
              <w:rPr>
                <w:sz w:val="20"/>
                <w:szCs w:val="20"/>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February 29, 2012</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customer lists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due to acquisition</w:t>
            </w:r>
          </w:p>
        </w:tc>
        <w:tc>
          <w:tcPr>
            <w:tcW w:w="132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20" w:type="dxa"/>
            <w:vAlign w:val="bottom"/>
          </w:tcPr>
          <w:p>
            <w:pPr>
              <w:spacing w:after="0"/>
              <w:rPr>
                <w:sz w:val="18"/>
                <w:szCs w:val="18"/>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20" w:type="dxa"/>
            <w:vAlign w:val="bottom"/>
          </w:tcPr>
          <w:p>
            <w:pPr>
              <w:spacing w:after="0"/>
              <w:rPr>
                <w:sz w:val="19"/>
                <w:szCs w:val="19"/>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 net of accumulated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46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 - customer lists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45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other intangibles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132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320" w:type="dxa"/>
            <w:vAlign w:val="bottom"/>
          </w:tcPr>
          <w:p>
            <w:pPr>
              <w:spacing w:after="0"/>
              <w:rPr>
                <w:sz w:val="18"/>
                <w:szCs w:val="18"/>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 of accumulated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46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 - other intangibles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r>
      <w:tr>
        <w:trPr>
          <w:trHeight w:val="110"/>
        </w:trPr>
        <w:tc>
          <w:tcPr>
            <w:tcW w:w="47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intangibles subject to amortization</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13.0</w:t>
            </w:r>
          </w:p>
        </w:tc>
        <w:tc>
          <w:tcPr>
            <w:tcW w:w="6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w:t>
            </w:r>
          </w:p>
        </w:tc>
        <w:tc>
          <w:tcPr>
            <w:tcW w:w="9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16.2</w:t>
            </w:r>
          </w:p>
        </w:tc>
        <w:tc>
          <w:tcPr>
            <w:tcW w:w="20" w:type="dxa"/>
            <w:vAlign w:val="bottom"/>
          </w:tcPr>
          <w:p>
            <w:pPr>
              <w:spacing w:after="0"/>
              <w:rPr>
                <w:sz w:val="20"/>
                <w:szCs w:val="20"/>
                <w:color w:val="auto"/>
              </w:rPr>
            </w:pPr>
          </w:p>
        </w:tc>
      </w:tr>
      <w:tr>
        <w:trPr>
          <w:trHeight w:val="110"/>
        </w:trPr>
        <w:tc>
          <w:tcPr>
            <w:tcW w:w="45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60" w:type="dxa"/>
            <w:vAlign w:val="bottom"/>
          </w:tcPr>
          <w:p>
            <w:pPr>
              <w:spacing w:after="0"/>
              <w:rPr>
                <w:sz w:val="24"/>
                <w:szCs w:val="24"/>
                <w:color w:val="auto"/>
              </w:rPr>
            </w:pPr>
          </w:p>
        </w:tc>
        <w:tc>
          <w:tcPr>
            <w:tcW w:w="214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6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58" w:right="1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Intangible assets with definite lives consist principally of customer lists, covenants not to compete and publishing and trademark rights. Intangible assets with definite lives are amortized over their estimated useful lives. The weighted-average remaining useful lives of all amortizable intangible assets is seven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other intangibles amortization expense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80" w:type="dxa"/>
            <w:vAlign w:val="bottom"/>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4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80" w:type="dxa"/>
            <w:vAlign w:val="bottom"/>
          </w:tcPr>
          <w:p>
            <w:pPr>
              <w:spacing w:after="0"/>
              <w:rPr>
                <w:sz w:val="18"/>
                <w:szCs w:val="18"/>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r>
      <w:tr>
        <w:trPr>
          <w:trHeight w:val="230"/>
        </w:trPr>
        <w:tc>
          <w:tcPr>
            <w:tcW w:w="4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4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3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intangibles amortization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r>
      <w:tr>
        <w:trPr>
          <w:trHeight w:val="110"/>
        </w:trPr>
        <w:tc>
          <w:tcPr>
            <w:tcW w:w="4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auto"/>
        </w:rPr>
        <w:t xml:space="preserve">In fiscal 2012, due to declining revenues associated with certain publishing and trademark rights in the </w:t>
      </w:r>
      <w:r>
        <w:rPr>
          <w:rFonts w:ascii="Times New Roman" w:cs="Times New Roman" w:eastAsia="Times New Roman" w:hAnsi="Times New Roman"/>
          <w:sz w:val="16"/>
          <w:szCs w:val="16"/>
          <w:i w:val="1"/>
          <w:iCs w:val="1"/>
          <w:color w:val="auto"/>
        </w:rPr>
        <w:t>Children’s Book Publishing and Distribution</w:t>
      </w:r>
      <w:r>
        <w:rPr>
          <w:rFonts w:ascii="Times New Roman" w:cs="Times New Roman" w:eastAsia="Times New Roman" w:hAnsi="Times New Roman"/>
          <w:sz w:val="16"/>
          <w:szCs w:val="16"/>
          <w:color w:val="auto"/>
        </w:rPr>
        <w:t xml:space="preserve"> segment, the Company determined that the intangible assets associated with these rights were not fully recoverable and recognized an impairment in amortization expense of $4.9 based upon the difference between the carrying value and the fair value of the assets, and reduced the expected useful life of these assets. The Company employed Level 3 fair value measurement techniques to determine the fair value of these assets, including the relief from royalty method.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intangibles not subject to amortization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260" w:type="dxa"/>
            <w:vAlign w:val="bottom"/>
          </w:tcPr>
          <w:p>
            <w:pPr>
              <w:spacing w:after="0"/>
              <w:rPr>
                <w:sz w:val="20"/>
                <w:szCs w:val="20"/>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February 29, 2012</w:t>
            </w:r>
          </w:p>
        </w:tc>
      </w:tr>
      <w:tr>
        <w:trPr>
          <w:trHeight w:val="110"/>
        </w:trPr>
        <w:tc>
          <w:tcPr>
            <w:tcW w:w="40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0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value by major class:</w:t>
            </w: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other</w:t>
            </w:r>
          </w:p>
        </w:tc>
        <w:tc>
          <w:tcPr>
            <w:tcW w:w="3300" w:type="dxa"/>
            <w:vAlign w:val="bottom"/>
          </w:tcPr>
          <w:p>
            <w:pPr>
              <w:jc w:val="right"/>
              <w:ind w:right="14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r>
      <w:tr>
        <w:trPr>
          <w:trHeight w:val="110"/>
        </w:trPr>
        <w:tc>
          <w:tcPr>
            <w:tcW w:w="40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3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tcPr>
          <w:p>
            <w:pPr>
              <w:jc w:val="right"/>
              <w:ind w:right="149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0.4</w:t>
            </w:r>
          </w:p>
        </w:tc>
      </w:tr>
      <w:tr>
        <w:trPr>
          <w:trHeight w:val="110"/>
        </w:trPr>
        <w:tc>
          <w:tcPr>
            <w:tcW w:w="40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investments included in “Other assets and deferred charges” on the Company’s condensed consolidated balance sheets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6"/>
              </w:rPr>
              <w:t>February 28, 2013</w:t>
            </w:r>
          </w:p>
        </w:tc>
        <w:tc>
          <w:tcPr>
            <w:tcW w:w="300" w:type="dxa"/>
            <w:vAlign w:val="bottom"/>
          </w:tcPr>
          <w:p>
            <w:pPr>
              <w:spacing w:after="0"/>
              <w:rPr>
                <w:sz w:val="20"/>
                <w:szCs w:val="20"/>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280" w:type="dxa"/>
            <w:vAlign w:val="bottom"/>
          </w:tcPr>
          <w:p>
            <w:pPr>
              <w:spacing w:after="0"/>
              <w:rPr>
                <w:sz w:val="20"/>
                <w:szCs w:val="20"/>
                <w:color w:val="auto"/>
              </w:rPr>
            </w:pP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6"/>
              </w:rPr>
              <w:t>February 29, 2012</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r>
        <w:trPr>
          <w:trHeight w:val="303"/>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method investments:</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8"/>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UK - based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r>
        <w:trPr>
          <w:trHeight w:val="316"/>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method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r>
        <w:trPr>
          <w:trHeight w:val="452"/>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UK - based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14.0</w:t>
            </w:r>
          </w:p>
        </w:tc>
      </w:tr>
      <w:tr>
        <w:trPr>
          <w:trHeight w:val="228"/>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 based</w:t>
            </w:r>
          </w:p>
        </w:tc>
        <w:tc>
          <w:tcPr>
            <w:tcW w:w="1040" w:type="dxa"/>
            <w:vAlign w:val="bottom"/>
          </w:tcPr>
          <w:p>
            <w:pPr>
              <w:spacing w:after="0"/>
              <w:rPr>
                <w:sz w:val="19"/>
                <w:szCs w:val="19"/>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r>
        <w:trPr>
          <w:trHeight w:val="316"/>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r>
        <w:trPr>
          <w:trHeight w:val="358"/>
        </w:trPr>
        <w:tc>
          <w:tcPr>
            <w:tcW w:w="3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r>
      <w:tr>
        <w:trPr>
          <w:trHeight w:val="3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21.0</w:t>
            </w:r>
          </w:p>
        </w:tc>
      </w:tr>
      <w:tr>
        <w:trPr>
          <w:trHeight w:val="110"/>
        </w:trPr>
        <w:tc>
          <w:tcPr>
            <w:tcW w:w="3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owns a non-controlling interest of 15.0% in a book distribution business located in the UK, which is accounted for as a cost-basis investment. The Company’s 26.2% non-controlling interest in a children’s book publishing business located in the UK is accounted for using the equity method of accounting. In the fourth quarter of fiscal 2012, the Company determined that its equity investment in a children’s television programming entity was other-than-temporarily impaired and it recognized an impairment loss of $1.3 in Selling, general and administrative expenses.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from equity method investments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3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340" w:type="dxa"/>
            <w:vAlign w:val="bottom"/>
          </w:tcPr>
          <w:p>
            <w:pPr>
              <w:spacing w:after="0"/>
              <w:rPr>
                <w:sz w:val="18"/>
                <w:szCs w:val="18"/>
                <w:color w:val="auto"/>
              </w:rPr>
            </w:pPr>
          </w:p>
        </w:tc>
        <w:tc>
          <w:tcPr>
            <w:tcW w:w="142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5"/>
              </w:rPr>
              <w:t>February 29,</w:t>
            </w:r>
          </w:p>
        </w:tc>
      </w:tr>
      <w:tr>
        <w:trPr>
          <w:trHeight w:val="230"/>
        </w:trPr>
        <w:tc>
          <w:tcPr>
            <w:tcW w:w="3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tcPr>
          <w:p>
            <w:pPr>
              <w:spacing w:after="0"/>
              <w:rPr>
                <w:sz w:val="20"/>
                <w:szCs w:val="20"/>
                <w:color w:val="auto"/>
              </w:rPr>
            </w:pPr>
          </w:p>
        </w:tc>
        <w:tc>
          <w:tcPr>
            <w:tcW w:w="14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35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46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investment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w:t>
            </w:r>
          </w:p>
        </w:tc>
      </w:tr>
      <w:tr>
        <w:trPr>
          <w:trHeight w:val="110"/>
        </w:trPr>
        <w:tc>
          <w:tcPr>
            <w:tcW w:w="35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set forth components of the net periodic benefit costs for the periods indicated under the Company’s cash balance retirement plan for its United States employees meeting certain eligibility requirements (the “U.S. Pension Plan”) and the defined benefit pension plan of Scholastic Ltd., an indirect subsidiary of Scholastic Corporation located in the United Kingdom (the “UK Pension Plan” and, together with the U.S.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3"/>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Pension Plans</w:t>
            </w:r>
          </w:p>
        </w:tc>
        <w:tc>
          <w:tcPr>
            <w:tcW w:w="200" w:type="dxa"/>
            <w:vAlign w:val="bottom"/>
          </w:tcPr>
          <w:p>
            <w:pPr>
              <w:spacing w:after="0"/>
              <w:rPr>
                <w:sz w:val="18"/>
                <w:szCs w:val="18"/>
                <w:color w:val="auto"/>
              </w:rPr>
            </w:pPr>
          </w:p>
        </w:tc>
        <w:tc>
          <w:tcPr>
            <w:tcW w:w="27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6"/>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3"/>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00" w:type="dxa"/>
            <w:vAlign w:val="bottom"/>
          </w:tcPr>
          <w:p>
            <w:pPr>
              <w:spacing w:after="0"/>
              <w:rPr>
                <w:sz w:val="18"/>
                <w:szCs w:val="18"/>
                <w:color w:val="auto"/>
              </w:rPr>
            </w:pPr>
          </w:p>
        </w:tc>
        <w:tc>
          <w:tcPr>
            <w:tcW w:w="276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00" w:type="dxa"/>
            <w:vAlign w:val="bottom"/>
          </w:tcPr>
          <w:p>
            <w:pPr>
              <w:spacing w:after="0"/>
              <w:rPr>
                <w:sz w:val="18"/>
                <w:szCs w:val="18"/>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c>
          <w:tcPr>
            <w:tcW w:w="20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00" w:type="dxa"/>
            <w:vAlign w:val="bottom"/>
          </w:tcPr>
          <w:p>
            <w:pPr>
              <w:spacing w:after="0"/>
              <w:rPr>
                <w:sz w:val="18"/>
                <w:szCs w:val="18"/>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r>
      <w:tr>
        <w:trPr>
          <w:trHeight w:val="230"/>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20"/>
                <w:szCs w:val="20"/>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200" w:type="dxa"/>
            <w:vAlign w:val="bottom"/>
          </w:tcPr>
          <w:p>
            <w:pPr>
              <w:spacing w:after="0"/>
              <w:rPr>
                <w:sz w:val="20"/>
                <w:szCs w:val="20"/>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2012</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0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(credit) cost:</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prior service credit</w:t>
            </w:r>
          </w:p>
        </w:tc>
        <w:tc>
          <w:tcPr>
            <w:tcW w:w="1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(gain) loss</w:t>
            </w:r>
          </w:p>
        </w:tc>
        <w:tc>
          <w:tcPr>
            <w:tcW w:w="124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(credit)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gridSpan w:val="3"/>
          </w:tcPr>
          <w:p>
            <w:pPr>
              <w:spacing w:after="0"/>
              <w:rPr>
                <w:sz w:val="9"/>
                <w:szCs w:val="9"/>
                <w:color w:val="auto"/>
              </w:rPr>
            </w:pPr>
          </w:p>
        </w:tc>
      </w:tr>
      <w:tr>
        <w:trPr>
          <w:trHeight w:val="450"/>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gridSpan w:val="3"/>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Pension Plans</w:t>
            </w:r>
          </w:p>
        </w:tc>
        <w:tc>
          <w:tcPr>
            <w:tcW w:w="200" w:type="dxa"/>
            <w:vAlign w:val="bottom"/>
          </w:tcPr>
          <w:p>
            <w:pPr>
              <w:spacing w:after="0"/>
              <w:rPr>
                <w:sz w:val="24"/>
                <w:szCs w:val="24"/>
                <w:color w:val="auto"/>
              </w:rPr>
            </w:pPr>
          </w:p>
        </w:tc>
        <w:tc>
          <w:tcPr>
            <w:tcW w:w="27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6"/>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3"/>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200" w:type="dxa"/>
            <w:vAlign w:val="bottom"/>
          </w:tcPr>
          <w:p>
            <w:pPr>
              <w:spacing w:after="0"/>
              <w:rPr>
                <w:sz w:val="18"/>
                <w:szCs w:val="18"/>
                <w:color w:val="auto"/>
              </w:rPr>
            </w:pPr>
          </w:p>
        </w:tc>
        <w:tc>
          <w:tcPr>
            <w:tcW w:w="276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00" w:type="dxa"/>
            <w:vAlign w:val="bottom"/>
          </w:tcPr>
          <w:p>
            <w:pPr>
              <w:spacing w:after="0"/>
              <w:rPr>
                <w:sz w:val="18"/>
                <w:szCs w:val="18"/>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c>
          <w:tcPr>
            <w:tcW w:w="20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00" w:type="dxa"/>
            <w:vAlign w:val="bottom"/>
          </w:tcPr>
          <w:p>
            <w:pPr>
              <w:spacing w:after="0"/>
              <w:rPr>
                <w:sz w:val="18"/>
                <w:szCs w:val="18"/>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r>
      <w:tr>
        <w:trPr>
          <w:trHeight w:val="230"/>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20"/>
                <w:szCs w:val="20"/>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200" w:type="dxa"/>
            <w:vAlign w:val="bottom"/>
          </w:tcPr>
          <w:p>
            <w:pPr>
              <w:spacing w:after="0"/>
              <w:rPr>
                <w:sz w:val="20"/>
                <w:szCs w:val="20"/>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2012</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0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(credit) cost:</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prior service credit</w:t>
            </w:r>
          </w:p>
        </w:tc>
        <w:tc>
          <w:tcPr>
            <w:tcW w:w="1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(gain) loss</w:t>
            </w:r>
          </w:p>
        </w:tc>
        <w:tc>
          <w:tcPr>
            <w:tcW w:w="124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(credit)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funding practice with respect to the Pension Plans is to contribute on an annual basis at least the minimum amounts required by applicable laws.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February 28, 2013, the Company contributed $6.6 to the U.S. Pension Plan and $0.7 to the UK Pension Plan.</w:t>
      </w:r>
    </w:p>
    <w:p>
      <w:pPr>
        <w:spacing w:after="0" w:line="2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The Company expects, based on actuarial calculations, to contribute cash of approximately $8.8 to the Pension Plans for the fiscal year ending May 31, 2013.</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Selling, general and administrative expenses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20" w:type="dxa"/>
            <w:vAlign w:val="bottom"/>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920" w:type="dxa"/>
            <w:vAlign w:val="bottom"/>
            <w:gridSpan w:val="3"/>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280" w:type="dxa"/>
            <w:vAlign w:val="bottom"/>
          </w:tcPr>
          <w:p>
            <w:pPr>
              <w:spacing w:after="0"/>
              <w:rPr>
                <w:sz w:val="18"/>
                <w:szCs w:val="18"/>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c>
          <w:tcPr>
            <w:tcW w:w="28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300" w:type="dxa"/>
            <w:vAlign w:val="bottom"/>
          </w:tcPr>
          <w:p>
            <w:pPr>
              <w:spacing w:after="0"/>
              <w:rPr>
                <w:sz w:val="18"/>
                <w:szCs w:val="18"/>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7"/>
              </w:rPr>
              <w:t>February 29,</w:t>
            </w:r>
          </w:p>
        </w:tc>
      </w:tr>
      <w:tr>
        <w:trPr>
          <w:trHeight w:val="230"/>
        </w:trPr>
        <w:tc>
          <w:tcPr>
            <w:tcW w:w="4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110"/>
        </w:trPr>
        <w:tc>
          <w:tcPr>
            <w:tcW w:w="4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0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20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120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r>
      <w:tr>
        <w:trPr>
          <w:trHeight w:val="110"/>
        </w:trPr>
        <w:tc>
          <w:tcPr>
            <w:tcW w:w="4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46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110"/>
        </w:trPr>
        <w:tc>
          <w:tcPr>
            <w:tcW w:w="4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During each of the three and nine-month periods ended February 28, 2013 and February 29, 2012, shares of Common Stock issued by the Corporation pursuant to its stock-based compensation plans were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Severance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for Accrued severance included in Other accrued expenses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6"/>
              </w:rPr>
              <w:t>February 28, 2013</w:t>
            </w:r>
          </w:p>
        </w:tc>
        <w:tc>
          <w:tcPr>
            <w:tcW w:w="280" w:type="dxa"/>
            <w:vAlign w:val="bottom"/>
          </w:tcPr>
          <w:p>
            <w:pPr>
              <w:spacing w:after="0"/>
              <w:rPr>
                <w:sz w:val="20"/>
                <w:szCs w:val="20"/>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May 31, 2012</w:t>
            </w:r>
          </w:p>
        </w:tc>
        <w:tc>
          <w:tcPr>
            <w:tcW w:w="26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6"/>
              </w:rPr>
              <w:t>February 29, 2012</w:t>
            </w:r>
          </w:p>
        </w:tc>
      </w:tr>
      <w:tr>
        <w:trPr>
          <w:trHeight w:val="110"/>
        </w:trPr>
        <w:tc>
          <w:tcPr>
            <w:tcW w:w="25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45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134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34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110"/>
        </w:trPr>
        <w:tc>
          <w:tcPr>
            <w:tcW w:w="25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110"/>
        </w:trPr>
        <w:tc>
          <w:tcPr>
            <w:tcW w:w="25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The Company implemented cost saving initiatives in the current fiscal quarter, recognizing expense of $3.0. The Company expects to incur additional expenses related to these initiatives in the fourth quarter of the current fiscal year. The Company implemented certain cost reduction initiatives during fiscal 2012, and incurred severance expense of $9.3 related to these initiatives. Severance expenses are reported in “Selling, general and administrative expenses.”</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Treasury Stock</w:t>
      </w:r>
    </w:p>
    <w:p>
      <w:pPr>
        <w:spacing w:after="0" w:line="22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Board of Directors has authorized the Company to repurchase Common Stock, from time to time as conditions allow, on the open market or through negotiated private transactions. During the nine months ended February 28, 2013, the Company repurchased approximately 0.2 million shares on the open market for approximately $5.8 at an average cost of $28.75 per share. The table below represents the remaining Board authorization: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Authorization</w:t>
            </w:r>
          </w:p>
        </w:tc>
        <w:tc>
          <w:tcPr>
            <w:tcW w:w="1000" w:type="dxa"/>
            <w:vAlign w:val="bottom"/>
          </w:tcPr>
          <w:p>
            <w:pPr>
              <w:spacing w:after="0"/>
              <w:rPr>
                <w:sz w:val="20"/>
                <w:szCs w:val="20"/>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300" w:type="dxa"/>
            <w:vAlign w:val="bottom"/>
          </w:tcPr>
          <w:p>
            <w:pPr>
              <w:spacing w:after="0"/>
              <w:rPr>
                <w:sz w:val="20"/>
                <w:szCs w:val="20"/>
                <w:color w:val="auto"/>
              </w:rPr>
            </w:pPr>
          </w:p>
        </w:tc>
      </w:tr>
      <w:tr>
        <w:trPr>
          <w:trHeight w:val="110"/>
        </w:trPr>
        <w:tc>
          <w:tcPr>
            <w:tcW w:w="6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2010</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44.0</w:t>
            </w:r>
          </w:p>
        </w:tc>
        <w:tc>
          <w:tcPr>
            <w:tcW w:w="2300" w:type="dxa"/>
            <w:vAlign w:val="bottom"/>
          </w:tcPr>
          <w:p>
            <w:pPr>
              <w:spacing w:after="0"/>
              <w:rPr>
                <w:sz w:val="24"/>
                <w:szCs w:val="24"/>
                <w:color w:val="auto"/>
              </w:rPr>
            </w:pPr>
          </w:p>
        </w:tc>
      </w:tr>
      <w:tr>
        <w:trPr>
          <w:trHeight w:val="36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made from November 2011 through February 2013</w:t>
            </w: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300" w:type="dxa"/>
            <w:vAlign w:val="bottom"/>
          </w:tcPr>
          <w:p>
            <w:pPr>
              <w:spacing w:after="0"/>
              <w:rPr>
                <w:sz w:val="24"/>
                <w:szCs w:val="24"/>
                <w:color w:val="auto"/>
              </w:rPr>
            </w:pPr>
          </w:p>
        </w:tc>
      </w:tr>
      <w:tr>
        <w:trPr>
          <w:trHeight w:val="110"/>
        </w:trPr>
        <w:tc>
          <w:tcPr>
            <w:tcW w:w="6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Remaining Board authorization as of February 28, 2013</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w:t>
            </w:r>
          </w:p>
        </w:tc>
        <w:tc>
          <w:tcPr>
            <w:tcW w:w="2300" w:type="dxa"/>
            <w:vAlign w:val="bottom"/>
          </w:tcPr>
          <w:p>
            <w:pPr>
              <w:spacing w:after="0"/>
              <w:rPr>
                <w:sz w:val="24"/>
                <w:szCs w:val="24"/>
                <w:color w:val="auto"/>
              </w:rPr>
            </w:pPr>
          </w:p>
        </w:tc>
      </w:tr>
      <w:tr>
        <w:trPr>
          <w:trHeight w:val="110"/>
        </w:trPr>
        <w:tc>
          <w:tcPr>
            <w:tcW w:w="6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5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repurchase program may be suspended at any time without prior notice.</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2"/>
        </w:trPr>
        <w:tc>
          <w:tcPr>
            <w:tcW w:w="69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5"/>
        </w:trPr>
        <w:tc>
          <w:tcPr>
            <w:tcW w:w="6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1"/>
        </w:trPr>
        <w:tc>
          <w:tcPr>
            <w:tcW w:w="69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58" w:right="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left="60" w:right="4380" w:hanging="43"/>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98" w:lineRule="exact"/>
        <w:rPr>
          <w:sz w:val="20"/>
          <w:szCs w:val="20"/>
          <w:color w:val="auto"/>
        </w:rPr>
      </w:pPr>
    </w:p>
    <w:p>
      <w:pPr>
        <w:ind w:left="920" w:hanging="45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 at the measurement date.</w:t>
      </w:r>
    </w:p>
    <w:p>
      <w:pPr>
        <w:spacing w:after="0" w:line="15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unadjusted quoted prices in active markets for identical assets or liabilities such as</w:t>
      </w:r>
    </w:p>
    <w:p>
      <w:pPr>
        <w:spacing w:after="0" w:line="160" w:lineRule="exact"/>
        <w:rPr>
          <w:sz w:val="20"/>
          <w:szCs w:val="20"/>
          <w:color w:val="auto"/>
        </w:rPr>
      </w:pPr>
    </w:p>
    <w:p>
      <w:pPr>
        <w:ind w:left="1840" w:hanging="454"/>
        <w:spacing w:after="0"/>
        <w:tabs>
          <w:tab w:leader="none" w:pos="1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1" w:lineRule="exact"/>
        <w:rPr>
          <w:rFonts w:ascii="Times New Roman" w:cs="Times New Roman" w:eastAsia="Times New Roman" w:hAnsi="Times New Roman"/>
          <w:sz w:val="18"/>
          <w:szCs w:val="18"/>
          <w:color w:val="auto"/>
        </w:rPr>
      </w:pPr>
    </w:p>
    <w:p>
      <w:pPr>
        <w:ind w:left="1840" w:hanging="454"/>
        <w:spacing w:after="0"/>
        <w:tabs>
          <w:tab w:leader="none" w:pos="1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1840" w:hanging="454"/>
        <w:spacing w:after="0"/>
        <w:tabs>
          <w:tab w:leader="none" w:pos="1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840" w:hanging="454"/>
        <w:spacing w:after="0"/>
        <w:tabs>
          <w:tab w:leader="none" w:pos="1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43" w:lineRule="exact"/>
        <w:rPr>
          <w:rFonts w:ascii="Times New Roman" w:cs="Times New Roman" w:eastAsia="Times New Roman" w:hAnsi="Times New Roman"/>
          <w:sz w:val="18"/>
          <w:szCs w:val="18"/>
          <w:color w:val="auto"/>
        </w:rPr>
      </w:pPr>
    </w:p>
    <w:p>
      <w:pPr>
        <w:ind w:left="920" w:right="100" w:hanging="453"/>
        <w:spacing w:after="0" w:line="277"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in which there is little or no market data available, which are significant to the fair value measurement and require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develop its own assumptions.</w:t>
      </w:r>
    </w:p>
    <w:p>
      <w:pPr>
        <w:spacing w:after="0" w:line="17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w:t>
      </w:r>
    </w:p>
    <w:p>
      <w:pPr>
        <w:spacing w:after="0" w:line="15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15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acquired in a business combination</w:t>
      </w:r>
    </w:p>
    <w:p>
      <w:pPr>
        <w:spacing w:after="0" w:line="15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indefinite-lived intangible assets</w:t>
      </w:r>
    </w:p>
    <w:p>
      <w:pPr>
        <w:spacing w:after="0" w:line="15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held for sale</w:t>
      </w:r>
    </w:p>
    <w:p>
      <w:pPr>
        <w:spacing w:after="0" w:line="2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and Other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calculating the provision for income taxes on an interim basis, the Company uses an estimate of the annual effective tax rate based upon the facts and circumstances known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58"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ind w:right="44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UNAUDITED </w:t>
      </w:r>
      <w:r>
        <w:rPr>
          <w:rFonts w:ascii="Times New Roman" w:cs="Times New Roman" w:eastAsia="Times New Roman" w:hAnsi="Times New Roman"/>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fiscal years ended May 31, 2007, 2008 and 2009. The Company is currently under audit by New York State for fiscal years ended May 31, 2006, 2007 and 2008 and by New York City for fiscal years ended May 31, 2005, 2006 and 2007. If any of these tax examinations are concluded within the next twelve months, the Company will make any necessary adjustments to its unrecognized tax benefits.</w:t>
      </w:r>
    </w:p>
    <w:p>
      <w:pPr>
        <w:spacing w:after="0" w:line="1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Company’s annual effective tax rate for the fiscal year ending May 31, 2013 is currently expected to be approximately 38%, which reflects a partial reversal of valuation allowances for jurisdictions where the Company will be able to utilize net operating loss carryforwards generated in prior fiscal periods to offset current fiscal year taxable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tax examinations for sales-based taxes. A number of these examinations are ongoing and, in certain cases, have resulted in assessments from taxing authorities. Where a liability associated with these examinations and assessments is probable and can be reliably estimated, the Company has made accruals for these matters which are reflected in the Company’s condensed consolidated financial statements. The Company made payments of $15.3 for settlement of sales tax audits with two jurisdictions in the current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Derivatives and Hedging</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An unrealized loss of less than $0.1 and unrealized gains of $0.4 were recognized at February 28, 2013 and February 29, 2012,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Other Accrued Expenses</w:t>
            </w: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as of the dates indicated:</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6"/>
        </w:trPr>
        <w:tc>
          <w:tcPr>
            <w:tcW w:w="5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February 28, 2013</w:t>
            </w:r>
          </w:p>
        </w:tc>
        <w:tc>
          <w:tcPr>
            <w:tcW w:w="38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May 31, 2012</w:t>
            </w:r>
          </w:p>
        </w:tc>
        <w:tc>
          <w:tcPr>
            <w:tcW w:w="380" w:type="dxa"/>
            <w:vAlign w:val="bottom"/>
          </w:tcPr>
          <w:p>
            <w:pPr>
              <w:spacing w:after="0"/>
              <w:rPr>
                <w:sz w:val="24"/>
                <w:szCs w:val="24"/>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February 29, 2012</w:t>
            </w:r>
          </w:p>
        </w:tc>
      </w:tr>
      <w:tr>
        <w:trPr>
          <w:trHeight w:val="110"/>
        </w:trPr>
        <w:tc>
          <w:tcPr>
            <w:tcW w:w="5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58"/>
        </w:trPr>
        <w:tc>
          <w:tcPr>
            <w:tcW w:w="54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r>
        <w:trPr>
          <w:trHeight w:val="30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payroll taxes and benefits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 and commissions</w:t>
            </w:r>
          </w:p>
        </w:tc>
        <w:tc>
          <w:tcPr>
            <w:tcW w:w="56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taxes</w:t>
            </w:r>
          </w:p>
        </w:tc>
        <w:tc>
          <w:tcPr>
            <w:tcW w:w="56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and promotions</w:t>
            </w:r>
          </w:p>
        </w:tc>
        <w:tc>
          <w:tcPr>
            <w:tcW w:w="56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56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56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6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w:t>
            </w:r>
          </w:p>
        </w:tc>
      </w:tr>
      <w:tr>
        <w:trPr>
          <w:trHeight w:val="110"/>
        </w:trPr>
        <w:tc>
          <w:tcPr>
            <w:tcW w:w="5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175.4</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233.5</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209.1</w:t>
            </w:r>
          </w:p>
        </w:tc>
      </w:tr>
      <w:tr>
        <w:trPr>
          <w:trHeight w:val="110"/>
        </w:trPr>
        <w:tc>
          <w:tcPr>
            <w:tcW w:w="5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On March 20, 2013, the Company announced that the Board of Directors declared a cash dividend of $0.125 per Class A and Common share in respect of the fourth quarter of fiscal 2013. The dividend is payable on June 17, 2013 to stockholders of record on April 30, 2013.</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Revenue for the quarter ended February 28, 2013 was $380.5 million, compared to $467.0 million in the prior fiscal year quarter. The third quarter revenue decline primarily reflected significantly lower sales of The Hunger Games trilogy versus the Company’s expectations and versus the prior year, when the Company benefited from extraordinarily strong book revenues in advance of the March 2012 film release. Book club sales also declined in the quarter compared to the prior year period. The Company reported a consolidated loss per share of $0.63 versus $0.33 in the prior fiscal year quarter. The decline in net income was largely the result of lower revenues, especially from lower Hunger Games sales, as well as the Company’s planned increase in investments in digital initiatives, partially offset by cost-cutting measures implemented during the quarter. The third quarter is a seasonally lower revenue quarter for Scholastic and typically generates a net loss.</w:t>
      </w:r>
    </w:p>
    <w:p>
      <w:pPr>
        <w:spacing w:after="0" w:line="19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third quarter, the Company implemented cost savings measures to help offset the continued pressures on operating income and expects to implement additional cost savings measures in the fourth quarter of the current fiscal year. As previously announced, for fiscal 2013 the Company now expects total revenue of approximately $1.75 billion to $1.8 billion and earnings per diluted share from continuing operations in the range of $1.10 to $1.30, before the impact of one-time items associated with cost reduction programs and non-cash, non-operating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 and Discontinued Operations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Revenues for the quarter ended February 28, 2013 decreased by $86.5 million, or 18.5%, to $380.5 million, compared to $467.0 million in the prior fiscal year quarter. This was due to lower revenues in the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the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xml:space="preserve"> segment and the </w:t>
      </w:r>
      <w:r>
        <w:rPr>
          <w:rFonts w:ascii="Times New Roman" w:cs="Times New Roman" w:eastAsia="Times New Roman" w:hAnsi="Times New Roman"/>
          <w:sz w:val="18"/>
          <w:szCs w:val="18"/>
          <w:i w:val="1"/>
          <w:iCs w:val="1"/>
          <w:color w:val="auto"/>
        </w:rPr>
        <w:t>Media, Licensing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segment of $79.4 million, $11.2 million and $2.7 million, respectively, offset in part by increased revenues in the</w:t>
      </w:r>
      <w:r>
        <w:rPr>
          <w:rFonts w:ascii="Times New Roman" w:cs="Times New Roman" w:eastAsia="Times New Roman" w:hAnsi="Times New Roman"/>
          <w:sz w:val="18"/>
          <w:szCs w:val="18"/>
          <w:i w:val="1"/>
          <w:iCs w:val="1"/>
          <w:color w:val="auto"/>
        </w:rPr>
        <w:t xml:space="preserve"> Classroom and Supplemental Materials Publishing </w:t>
      </w:r>
      <w:r>
        <w:rPr>
          <w:rFonts w:ascii="Times New Roman" w:cs="Times New Roman" w:eastAsia="Times New Roman" w:hAnsi="Times New Roman"/>
          <w:sz w:val="18"/>
          <w:szCs w:val="18"/>
          <w:color w:val="auto"/>
        </w:rPr>
        <w:t>segment and the</w:t>
      </w:r>
      <w:r>
        <w:rPr>
          <w:rFonts w:ascii="Times New Roman" w:cs="Times New Roman" w:eastAsia="Times New Roman" w:hAnsi="Times New Roman"/>
          <w:sz w:val="18"/>
          <w:szCs w:val="18"/>
          <w:i w:val="1"/>
          <w:iCs w:val="1"/>
          <w:color w:val="auto"/>
        </w:rPr>
        <w:t xml:space="preserve"> Educational Technology and Services </w:t>
      </w:r>
      <w:r>
        <w:rPr>
          <w:rFonts w:ascii="Times New Roman" w:cs="Times New Roman" w:eastAsia="Times New Roman" w:hAnsi="Times New Roman"/>
          <w:sz w:val="18"/>
          <w:szCs w:val="18"/>
          <w:color w:val="auto"/>
        </w:rPr>
        <w:t>segment of $5.0 million and $1.8 million, respectively. Revenues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February 28, 2013 decreased by $180.0 million, or 12.2%, to $1,290.3 million, compared to $1,470.3 million in the prior year fiscal period, due to lower revenues in the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the </w:t>
      </w:r>
      <w:r>
        <w:rPr>
          <w:rFonts w:ascii="Times New Roman" w:cs="Times New Roman" w:eastAsia="Times New Roman" w:hAnsi="Times New Roman"/>
          <w:sz w:val="18"/>
          <w:szCs w:val="18"/>
          <w:i w:val="1"/>
          <w:iCs w:val="1"/>
          <w:color w:val="auto"/>
        </w:rPr>
        <w:t>Educational Technology and Services</w:t>
      </w:r>
      <w:r>
        <w:rPr>
          <w:rFonts w:ascii="Times New Roman" w:cs="Times New Roman" w:eastAsia="Times New Roman" w:hAnsi="Times New Roman"/>
          <w:sz w:val="18"/>
          <w:szCs w:val="18"/>
          <w:color w:val="auto"/>
        </w:rPr>
        <w:t xml:space="preserve"> segment, the </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xml:space="preserve"> segment, the </w:t>
      </w:r>
      <w:r>
        <w:rPr>
          <w:rFonts w:ascii="Times New Roman" w:cs="Times New Roman" w:eastAsia="Times New Roman" w:hAnsi="Times New Roman"/>
          <w:sz w:val="18"/>
          <w:szCs w:val="18"/>
          <w:i w:val="1"/>
          <w:iCs w:val="1"/>
          <w:color w:val="auto"/>
        </w:rPr>
        <w:t xml:space="preserve">Classroom and Supplemental Materials Publishing </w:t>
      </w:r>
      <w:r>
        <w:rPr>
          <w:rFonts w:ascii="Times New Roman" w:cs="Times New Roman" w:eastAsia="Times New Roman" w:hAnsi="Times New Roman"/>
          <w:sz w:val="18"/>
          <w:szCs w:val="18"/>
          <w:color w:val="auto"/>
        </w:rPr>
        <w:t>segment and the</w:t>
      </w:r>
      <w:r>
        <w:rPr>
          <w:rFonts w:ascii="Times New Roman" w:cs="Times New Roman" w:eastAsia="Times New Roman" w:hAnsi="Times New Roman"/>
          <w:sz w:val="18"/>
          <w:szCs w:val="18"/>
          <w:i w:val="1"/>
          <w:iCs w:val="1"/>
          <w:color w:val="auto"/>
        </w:rPr>
        <w:t xml:space="preserve"> Media, Licensing and Advertising </w:t>
      </w:r>
      <w:r>
        <w:rPr>
          <w:rFonts w:ascii="Times New Roman" w:cs="Times New Roman" w:eastAsia="Times New Roman" w:hAnsi="Times New Roman"/>
          <w:sz w:val="18"/>
          <w:szCs w:val="18"/>
          <w:color w:val="auto"/>
        </w:rPr>
        <w:t>segment of $128.7 million, $28.0 million, $9.1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$8.3 million and $5.9 million, respectively.</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Cost of goods sold (exclusive of depreciation and amortization) as a percentage of revenue for the quarter ended February 28, 2013 increased to 50.2%, compared to 47.0% in the prior fiscal year quarter. The percentage increase in the quarter was related to higher costs for free books and related fulfillment costs in the book clubs distribution channel and an unfavorable product mix, partially offset by favorable royalty costs as a percentage of revenue driven by a decline in digital revenue from the sale of ebooks, primarily sold to third-party retailers in the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which carries a higher royalty cost as a percentage of revenue. Cost of goods sold (exclusive of depreciation and amortization) as a percentage of revenue for the nine months ended February 28, 2013 increased slightly to 46.9%, compared to 45.3% in the prior fiscal year period.</w:t>
      </w:r>
    </w:p>
    <w:p>
      <w:pPr>
        <w:spacing w:after="0" w:line="19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Components of Cost of goods sold (exclusive of depreciation and amortization) for the three and nine months ended February 28, 2013 and February 29, 2012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gridSpan w:val="3"/>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332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320" w:type="dxa"/>
            <w:vAlign w:val="bottom"/>
          </w:tcPr>
          <w:p>
            <w:pPr>
              <w:spacing w:after="0"/>
              <w:rPr>
                <w:sz w:val="18"/>
                <w:szCs w:val="18"/>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360" w:type="dxa"/>
            <w:vAlign w:val="bottom"/>
          </w:tcPr>
          <w:p>
            <w:pPr>
              <w:spacing w:after="0"/>
              <w:rPr>
                <w:sz w:val="18"/>
                <w:szCs w:val="18"/>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360" w:type="dxa"/>
            <w:vAlign w:val="bottom"/>
          </w:tcPr>
          <w:p>
            <w:pPr>
              <w:spacing w:after="0"/>
              <w:rPr>
                <w:sz w:val="18"/>
                <w:szCs w:val="18"/>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20" w:type="dxa"/>
            <w:vAlign w:val="bottom"/>
          </w:tcPr>
          <w:p>
            <w:pPr>
              <w:spacing w:after="0"/>
              <w:rPr>
                <w:sz w:val="20"/>
                <w:szCs w:val="20"/>
                <w:color w:val="auto"/>
              </w:rPr>
            </w:pPr>
          </w:p>
        </w:tc>
        <w:tc>
          <w:tcPr>
            <w:tcW w:w="148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2012</w:t>
            </w:r>
          </w:p>
        </w:tc>
        <w:tc>
          <w:tcPr>
            <w:tcW w:w="360" w:type="dxa"/>
            <w:vAlign w:val="bottom"/>
          </w:tcPr>
          <w:p>
            <w:pPr>
              <w:spacing w:after="0"/>
              <w:rPr>
                <w:sz w:val="20"/>
                <w:szCs w:val="20"/>
                <w:color w:val="auto"/>
              </w:rPr>
            </w:pPr>
          </w:p>
        </w:tc>
        <w:tc>
          <w:tcPr>
            <w:tcW w:w="148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60" w:type="dxa"/>
            <w:vAlign w:val="bottom"/>
          </w:tcPr>
          <w:p>
            <w:pPr>
              <w:spacing w:after="0"/>
              <w:rPr>
                <w:sz w:val="20"/>
                <w:szCs w:val="20"/>
                <w:color w:val="auto"/>
              </w:rPr>
            </w:pPr>
          </w:p>
        </w:tc>
        <w:tc>
          <w:tcPr>
            <w:tcW w:w="14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 w:type="dxa"/>
            <w:vAlign w:val="bottom"/>
          </w:tcPr>
          <w:p>
            <w:pPr>
              <w:spacing w:after="0"/>
              <w:rPr>
                <w:sz w:val="20"/>
                <w:szCs w:val="20"/>
                <w:color w:val="auto"/>
              </w:rPr>
            </w:pPr>
          </w:p>
        </w:tc>
      </w:tr>
      <w:tr>
        <w:trPr>
          <w:trHeight w:val="110"/>
        </w:trPr>
        <w:tc>
          <w:tcPr>
            <w:tcW w:w="3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Product, service and production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99.5</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114.4</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326.8</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362.1</w:t>
            </w:r>
          </w:p>
        </w:tc>
        <w:tc>
          <w:tcPr>
            <w:tcW w:w="20" w:type="dxa"/>
            <w:vAlign w:val="bottom"/>
          </w:tcPr>
          <w:p>
            <w:pPr>
              <w:spacing w:after="0"/>
              <w:rPr>
                <w:sz w:val="24"/>
                <w:szCs w:val="24"/>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Royalty costs</w:t>
            </w:r>
          </w:p>
        </w:tc>
        <w:tc>
          <w:tcPr>
            <w:tcW w:w="52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39.0</w:t>
            </w:r>
          </w:p>
        </w:tc>
        <w:tc>
          <w:tcPr>
            <w:tcW w:w="36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73.1</w:t>
            </w:r>
          </w:p>
        </w:tc>
        <w:tc>
          <w:tcPr>
            <w:tcW w:w="36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Prepublication and production amortization</w:t>
            </w:r>
          </w:p>
        </w:tc>
        <w:tc>
          <w:tcPr>
            <w:tcW w:w="520" w:type="dxa"/>
            <w:vAlign w:val="bottom"/>
          </w:tcPr>
          <w:p>
            <w:pPr>
              <w:spacing w:after="0"/>
              <w:rPr>
                <w:sz w:val="18"/>
                <w:szCs w:val="18"/>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Postage, freight, shipping, fulfillment and all other</w:t>
            </w: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520" w:type="dxa"/>
            <w:vAlign w:val="bottom"/>
          </w:tcPr>
          <w:p>
            <w:pPr>
              <w:spacing w:after="0"/>
              <w:rPr>
                <w:sz w:val="19"/>
                <w:szCs w:val="19"/>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57.0</w:t>
            </w:r>
          </w:p>
        </w:tc>
        <w:tc>
          <w:tcPr>
            <w:tcW w:w="320" w:type="dxa"/>
            <w:vAlign w:val="bottom"/>
          </w:tcPr>
          <w:p>
            <w:pPr>
              <w:spacing w:after="0"/>
              <w:rPr>
                <w:sz w:val="19"/>
                <w:szCs w:val="19"/>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tcPr>
          <w:p>
            <w:pPr>
              <w:spacing w:after="0"/>
              <w:rPr>
                <w:sz w:val="19"/>
                <w:szCs w:val="19"/>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168.9</w:t>
            </w:r>
          </w:p>
        </w:tc>
        <w:tc>
          <w:tcPr>
            <w:tcW w:w="36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tcPr>
          <w:p>
            <w:pPr>
              <w:spacing w:after="0"/>
              <w:rPr>
                <w:sz w:val="19"/>
                <w:szCs w:val="19"/>
                <w:color w:val="auto"/>
              </w:rPr>
            </w:pPr>
          </w:p>
        </w:tc>
      </w:tr>
      <w:tr>
        <w:trPr>
          <w:trHeight w:val="110"/>
        </w:trPr>
        <w:tc>
          <w:tcPr>
            <w:tcW w:w="3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191.1</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219.6</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605.6</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665.7</w:t>
            </w:r>
          </w:p>
        </w:tc>
        <w:tc>
          <w:tcPr>
            <w:tcW w:w="20" w:type="dxa"/>
            <w:vAlign w:val="bottom"/>
          </w:tcPr>
          <w:p>
            <w:pPr>
              <w:spacing w:after="0"/>
              <w:rPr>
                <w:sz w:val="24"/>
                <w:szCs w:val="24"/>
                <w:color w:val="auto"/>
              </w:rPr>
            </w:pPr>
          </w:p>
        </w:tc>
      </w:tr>
      <w:tr>
        <w:trPr>
          <w:trHeight w:val="110"/>
        </w:trPr>
        <w:tc>
          <w:tcPr>
            <w:tcW w:w="3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3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9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58" w:right="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(exclusive of depreciation and amortization) decreased by $41.9 million to $200.6 million in the quarter, compared to $242.5 million in the prior fiscal year quarter. Selling, general and administrative expenses (exclusive of depreciation and amortization) for the nine months ended February 28, 2013 decreased by $46.4 million to $609.7 million, compared to $656.1 million in the prior fiscal year period. The decreases in both periods were primarily related to lower sales tax expenses in the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as well as overall lower employee-related expenses.</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 amortization) for the three and nine months ended February 28, 2013 includes $3.0 million of severance expenses related to the Company’s cost savings initiatives. Selling, general and administrative expenses (exclusive of depreciation and amortization) for the three and nine months ended February 29, 2012 includes severance expenses, related to the Company’s voluntary retirement program, of $2.5 million and $9.3 million, respectively.</w:t>
      </w:r>
    </w:p>
    <w:p>
      <w:pPr>
        <w:spacing w:after="0" w:line="19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the prior fiscal year period, the Company recognized a loss on leases of $6.2 million for certain leased properties in lower Manhattan. The fair value of the net rents to be received under sublease arrangements is less than the Company’s lease commitments for these properties over the remaining term of the leases and, accordingly, the Company recognized this loss in the nine months ended February 29, 2012.</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interest expense for the three months ended February 28, 2013 increased by $0.2 million, to $4.1 million, compared to $3.9 million in the prior fiscal year quarter, as loan fee amortization was accelerated by $0.2 million, related to a change in the mix of lenders in connection with the amendment of the Loan Agreement described under “Financing” below. For the nine months ended February 28, 2013, net interest expense decreased to $11.5 million, compared to $11.7 million in the prior fiscal year period.</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loss from discontinued operations, net of tax, was less than $0.1 million, or less than $0.01 per share, for the quarter ended February 28, 2013, compared to $0.4 million, or $0.01 per share, in the prior fiscal year quarter. Loss from discontinued operations for the nine months ended February 28, 2013 was $0.2 million, or $0.01 per share, compared to $2.9 million, or $0.09 per share, for the prior fiscal year period. The decrease in such loss reflects costs and asset impairments recognized in the Company’s toy catalog business which was discontinued in the quarter ended August 31, 2011.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Children’s Book Publishing and Distribution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6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amounts in millions)</w:t>
            </w:r>
          </w:p>
        </w:tc>
        <w:tc>
          <w:tcPr>
            <w:tcW w:w="30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10"/>
        </w:trPr>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-29.5% $</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610.6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739.3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35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(exclusive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depreciation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86.1</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-21.6%</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261.5</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 **</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109.4</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-23.2%</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333.4</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-9.1%</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meaningful</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4" w:lineRule="exact"/>
        <w:rPr>
          <w:sz w:val="20"/>
          <w:szCs w:val="20"/>
          <w:color w:val="auto"/>
        </w:rPr>
      </w:pPr>
    </w:p>
    <w:p>
      <w:pPr>
        <w:ind w:left="1020" w:hanging="57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 selling, general and administrative expenses, bad debt expenses and asset impairments where applicable.</w:t>
      </w: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Revenues in the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for the quarter ended February 28, 2013 decreased by $79.4 million, or 29.5%, to $189.4 million, compared to $268.8 million in the prior fiscal year quarter. Revenue in the book clubs business declined by $15.2 million, reflecting lower revenue per order. Revenue for the Company’s trade business decreased by $66.1 million in the quarter, primarily related to the prior year quarter’s strong revenues of The Hunger Games trilogy, partially offset by a net reduction in the returns reserve due to favorable returns experience of $7.3 million, primarily related to the Hunger Games titles. Revenues in the Company’s book fair business increased by $1.9 million, reflecting a higher fair count, partially offset by lower revenues per fair. Revenues for the nine months ended February 28, 2013 decreased by $128.7 million, or 17.4%, to $610.6 million,</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compared to $739.3 million in the prior fiscal year period. The decrease was related to declines in the Company’s book clubs business of $43.5 million, related to lower revenue per order, as well as school closings after Superstorm Sandy, and lower revenues in the Company’s trade business of $90.1 million, reflecting lower sales of The Hunger Games trilogy compared to the trilogy’s strong results in the comparable prior year period. These decreases were partially offset by an increase in the Company’s book fair business of $4.9 million over the prior fiscal year period.</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 of goods sold (exclusive of depreciation and amortization) in the current fiscal quarter was $86.1 million, or 45.5% of revenues, compared to $109.8 million, or 40.8% of revenues, in the prior fiscal year quarter. The increase in Cost of goods sold (exclusive of depreciation and amortization) as a percentage of revenue was driven by higher costs for free books of $2.7 million and related fulfillment costs in the book clubs distribution channel. In addition, the Company recognized costs, in the amount of $0.9 million, related to Storia® which was launched in the prior fiscal year. These increases were partially offset by favorable royalty costs as a percentage of revenue driven by the decline in digital revenue from the sale of ebooks, sold primarily to third- party retailers, which carries a higher royalty cost as a percentage of revenue. Cost of goods sold (exclusive of depreciation and amortization) for the nine months ended February 28, 2013 was $261.5 million, or 42.8% of revenues, compared to $304.1 million, or 41.1% of revenues, in the prior fiscal year period.</w:t>
      </w:r>
    </w:p>
    <w:p>
      <w:pPr>
        <w:spacing w:after="0" w:line="19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operating expenses decreased by $33.0 million, or 23.2%, to $109.4 million for the three months ended February 28, 2013, compared to $142.4 million for the prior fiscal year quarter. The decrease is primarily related to the prior year additional sales tax expense of $19.7 million relating to sales tax assessments in two jurisdictions in the Company’s book clubs business, as well as the higher prior year quarter’s employee related expenses for incentive compensation. Other operating expenses decreased by $19.2 million, or 5.4%, to $333.4 million for the nine months ended February 28, 2013, compared to $352.6 million for the prior fiscal year period, related to the prior year’s sales tax expenses, as well as incentive compensation in the prior year.</w:t>
      </w:r>
    </w:p>
    <w:p>
      <w:pPr>
        <w:spacing w:after="0" w:line="19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Segment operating loss for the quarter ended February 28, 2013 was $10.1 million, representing a decline of $22.3 million, compared to operating income of $12.2 million in the prior fiscal year quarter. Segment operating income for the nine months ended February 28, 2013 decreased by $67.1 million, or 94.9%, to $3.6 million, compared to $70.7 million in the prior fiscal year period. The decreases in both periods were principally related to the lower revenues, partially offset by the lower operating expenses.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Educational Technology and Services</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amounts in millions)</w:t>
            </w:r>
          </w:p>
        </w:tc>
        <w:tc>
          <w:tcPr>
            <w:tcW w:w="30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10"/>
        </w:trPr>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41.8</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40.0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174.0</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(exclusive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depreciation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19.3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 **</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26.1</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26.4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80.8</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23.5%</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meaningful</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4" w:lineRule="exact"/>
        <w:rPr>
          <w:sz w:val="20"/>
          <w:szCs w:val="20"/>
          <w:color w:val="auto"/>
        </w:rPr>
      </w:pPr>
    </w:p>
    <w:p>
      <w:pPr>
        <w:ind w:left="1020" w:hanging="57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 selling, general and administrative expenses, bad debt expenses and asset impairments where applicable.</w:t>
      </w:r>
    </w:p>
    <w:p>
      <w:pPr>
        <w:spacing w:after="0" w:line="22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Revenues in the </w:t>
      </w:r>
      <w:r>
        <w:rPr>
          <w:rFonts w:ascii="Times New Roman" w:cs="Times New Roman" w:eastAsia="Times New Roman" w:hAnsi="Times New Roman"/>
          <w:sz w:val="18"/>
          <w:szCs w:val="18"/>
          <w:i w:val="1"/>
          <w:iCs w:val="1"/>
          <w:color w:val="auto"/>
        </w:rPr>
        <w:t>Educational Technology and Services</w:t>
      </w:r>
      <w:r>
        <w:rPr>
          <w:rFonts w:ascii="Times New Roman" w:cs="Times New Roman" w:eastAsia="Times New Roman" w:hAnsi="Times New Roman"/>
          <w:sz w:val="18"/>
          <w:szCs w:val="18"/>
          <w:color w:val="auto"/>
        </w:rPr>
        <w:t xml:space="preserve"> segment for the quarter ended February 28, 2013 increased by $1.8 million, or 4.5%, to $41.8 million, compared to $40.0 million in the prior year fiscal quarter, which was attributable to increased revenues of $1.7 million in the Math Solutions business. Revenues for the nine months ended February 28, 2013 decreased by $28.0 million, or 13.9%, to $174.0 million, compared to $202.0 million in the prior fiscal year period, primarily related to decreased sales of curriculum educational technology products of $33.0 million, due to lower spending by school districts, as well as a significant sale of adoption product in Texas in the prior year period. In addition, the prior year periods benefited from higher revenues related to the launch of READ 180® Next Generation. The decrease for the nine month period ended February 28, 2013 was partially offset by higher revenues of $5.0 million in the other businesses in this segment, specifically services provided by the Math Solutions business and the consulting business associated with training for Common Core State Standards, as the Company meets the increased demand for such services.</w:t>
      </w:r>
    </w:p>
    <w:p>
      <w:pPr>
        <w:spacing w:after="0" w:line="19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 xml:space="preserve">Cost of Goods Sold (exclusive of depreciation and amortization) for the quarter ended February 28, 2013 decreased to $18.9 million, or 45.2% of revenues, compared to $19.3 million, or 48.3% of revenues for the prior year fiscal quarter. The prior fiscal period includes accelerated prepublication costs of $0.8 million for one of the Company’s </w:t>
      </w:r>
      <w:r>
        <w:rPr>
          <w:rFonts w:ascii="Times New Roman" w:cs="Times New Roman" w:eastAsia="Times New Roman" w:hAnsi="Times New Roman"/>
          <w:sz w:val="16"/>
          <w:szCs w:val="16"/>
          <w:i w:val="1"/>
          <w:iCs w:val="1"/>
          <w:color w:val="auto"/>
        </w:rPr>
        <w:t>Educational Technology and Services</w:t>
      </w:r>
      <w:r>
        <w:rPr>
          <w:rFonts w:ascii="Times New Roman" w:cs="Times New Roman" w:eastAsia="Times New Roman" w:hAnsi="Times New Roman"/>
          <w:sz w:val="16"/>
          <w:szCs w:val="16"/>
          <w:color w:val="auto"/>
        </w:rPr>
        <w:t xml:space="preserve"> products. Cost of Goods Sold (exclusive of depreciation and amortization) decreased to $65.7 million, or 37.8% of revenues, compared to $69.7 million, or 34.5% of revenues, for the nine months ended February 28, 2013. The increase in Cost of goods sold (exclusive of depreciation and amortization) as a percentage of revenue was primarily due to a shift in revenues from higher margin product sales to lower margin service revenues. The Company’s services revenues as a percentage of total </w:t>
      </w:r>
      <w:r>
        <w:rPr>
          <w:rFonts w:ascii="Times New Roman" w:cs="Times New Roman" w:eastAsia="Times New Roman" w:hAnsi="Times New Roman"/>
          <w:sz w:val="16"/>
          <w:szCs w:val="16"/>
          <w:i w:val="1"/>
          <w:iCs w:val="1"/>
          <w:color w:val="auto"/>
        </w:rPr>
        <w:t>Educational Technology and Services</w:t>
      </w:r>
      <w:r>
        <w:rPr>
          <w:rFonts w:ascii="Times New Roman" w:cs="Times New Roman" w:eastAsia="Times New Roman" w:hAnsi="Times New Roman"/>
          <w:sz w:val="16"/>
          <w:szCs w:val="16"/>
          <w:color w:val="auto"/>
        </w:rPr>
        <w:t xml:space="preserve"> revenues were 55.2% and 35.0% for the three and nine months ended February 28, 2013, respectively, and 51.3% and 27.2% for the three and nine months ended February 29, 2012, respectively.</w:t>
      </w:r>
    </w:p>
    <w:p>
      <w:pPr>
        <w:spacing w:after="0" w:line="167" w:lineRule="exact"/>
        <w:rPr>
          <w:sz w:val="20"/>
          <w:szCs w:val="20"/>
          <w:color w:val="auto"/>
        </w:rPr>
      </w:pPr>
    </w:p>
    <w:p>
      <w:pPr>
        <w:jc w:val="both"/>
        <w:ind w:right="260"/>
        <w:spacing w:after="0" w:line="310" w:lineRule="auto"/>
        <w:rPr>
          <w:sz w:val="20"/>
          <w:szCs w:val="20"/>
          <w:color w:val="auto"/>
        </w:rPr>
      </w:pPr>
      <w:r>
        <w:rPr>
          <w:rFonts w:ascii="Times New Roman" w:cs="Times New Roman" w:eastAsia="Times New Roman" w:hAnsi="Times New Roman"/>
          <w:sz w:val="16"/>
          <w:szCs w:val="16"/>
          <w:color w:val="auto"/>
        </w:rPr>
        <w:t>Other operating expenses for the quarter ended February 28, 2013 remained relatively flat compared to the prior fiscal period. Other operating expenses for the nine months ended February 28, 2013 decreased by $3.1 million, to $80.8 million, compared to $83.9 million for the prior fiscal year period. The decrease was related to lower commission expense of $2.7 million, resulting from the lower revenues, as well as lower promotion spending of $0.7 million.</w:t>
      </w:r>
    </w:p>
    <w:p>
      <w:pPr>
        <w:spacing w:after="0" w:line="1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Segment operating loss for the quarter ended February 28, 2013 decreased to a loss of $3.5 million, compared to a loss of $5.9 million in the prior fiscal year period. This improvement was attributable to the increased revenue. Segment operating income for the nine months ended February 28, 2013 decreased by $20.9 million, or 44.0%, to $26.6 million, compared to $47.5 million in the prior fiscal year period. The decrease was primarily related to the lower revenues discussed above.</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Classroom and Supplemental Materials Publishing</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amounts in millions)</w:t>
            </w:r>
          </w:p>
        </w:tc>
        <w:tc>
          <w:tcPr>
            <w:tcW w:w="30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10"/>
        </w:trPr>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43.2</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38.2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(exclusive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depreciation and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18.8</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16.3</w:t>
            </w:r>
          </w:p>
        </w:tc>
        <w:tc>
          <w:tcPr>
            <w:tcW w:w="2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 **</w:t>
            </w: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24.3</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25.0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meaningful</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4" w:lineRule="exact"/>
        <w:rPr>
          <w:sz w:val="20"/>
          <w:szCs w:val="20"/>
          <w:color w:val="auto"/>
        </w:rPr>
      </w:pPr>
    </w:p>
    <w:p>
      <w:pPr>
        <w:ind w:left="1020" w:hanging="57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 selling, general and administrative expenses, bad debt expenses and asset impairments where applicable.</w:t>
      </w:r>
    </w:p>
    <w:p>
      <w:pPr>
        <w:spacing w:after="0" w:line="22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Revenues in the </w:t>
      </w:r>
      <w:r>
        <w:rPr>
          <w:rFonts w:ascii="Times New Roman" w:cs="Times New Roman" w:eastAsia="Times New Roman" w:hAnsi="Times New Roman"/>
          <w:sz w:val="18"/>
          <w:szCs w:val="18"/>
          <w:i w:val="1"/>
          <w:iCs w:val="1"/>
          <w:color w:val="auto"/>
        </w:rPr>
        <w:t>Classroom and Supplemental Materials Publishing</w:t>
      </w:r>
      <w:r>
        <w:rPr>
          <w:rFonts w:ascii="Times New Roman" w:cs="Times New Roman" w:eastAsia="Times New Roman" w:hAnsi="Times New Roman"/>
          <w:sz w:val="18"/>
          <w:szCs w:val="18"/>
          <w:color w:val="auto"/>
        </w:rPr>
        <w:t xml:space="preserve"> segment for the quarter ended February 28, 2013 increased by $5.0 million, or 13.1%, to $43.2 million, compared to $38.2 million in the prior fiscal year quarter, driven by higher classroom magazines revenue, most notably in the </w:t>
      </w:r>
      <w:r>
        <w:rPr>
          <w:rFonts w:ascii="Times New Roman" w:cs="Times New Roman" w:eastAsia="Times New Roman" w:hAnsi="Times New Roman"/>
          <w:sz w:val="18"/>
          <w:szCs w:val="18"/>
          <w:i w:val="1"/>
          <w:iCs w:val="1"/>
          <w:color w:val="auto"/>
        </w:rPr>
        <w:t>Scholastic News®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Let’s Find Out®</w:t>
      </w:r>
      <w:r>
        <w:rPr>
          <w:rFonts w:ascii="Times New Roman" w:cs="Times New Roman" w:eastAsia="Times New Roman" w:hAnsi="Times New Roman"/>
          <w:sz w:val="18"/>
          <w:szCs w:val="18"/>
          <w:color w:val="auto"/>
        </w:rPr>
        <w:t xml:space="preserve"> magazines which contributed $3.3 million to the overall increase. Strong sales of classroom magazines were driven by schools’ need for non-fiction content aligned to Common Core State Standards. Revenues for the nine months ended February 28, 2013 decreased by $8.3 million, or 5.8%, to $134.3 million, compared to $142.6 million in the prior fiscal year period. This decrease was primarily related to the loss of revenue from significant non-recurring contracts with Reading is Fundamental of $13.6 million which were in place in the prior fiscal year period, partially offset by the increased revenue in the Company’s classroom magazine business.</w:t>
      </w:r>
    </w:p>
    <w:p>
      <w:pPr>
        <w:spacing w:after="0" w:line="1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 of goods sold (exclusive of depreciation and amortization) was consistent with the prior period and for the quarter ended February 28, 2013 was $18.8 million, or 43.5% of revenue, compared to $16.3 million, or 42.7% of revenue, in the prior fiscal year period. Cost of goods sold (exclusive of depreciation and amortization) for the nine months ended February 28, 2013 was $53.3 million, or 39.7% of revenue, compared to $57.5 million, or 40.3% of revenue, in the prior fiscal year period.</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Segment operating loss for the quarter ended February 28, 2013 decreased by $3.2 million to a loss of $0.2 million, compared to a loss of $3.4 million in the prior year fiscal quarter. This improvement was primarily related to the higher revenues noted above. Segment operating income for the nine months ended February 28, 2013 decreased by $4.4 million, or 48.9%, to $4.6 million, compared to $9.0 million in the prior fiscal year period. This decrease was principally related to the lower revenues noted above.</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amounts in millions)</w:t>
            </w:r>
          </w:p>
        </w:tc>
        <w:tc>
          <w:tcPr>
            <w:tcW w:w="300" w:type="dxa"/>
            <w:vAlign w:val="bottom"/>
          </w:tcPr>
          <w:p>
            <w:pPr>
              <w:spacing w:after="0"/>
              <w:rPr>
                <w:sz w:val="20"/>
                <w:szCs w:val="20"/>
                <w:color w:val="auto"/>
              </w:rPr>
            </w:pP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240" w:type="dxa"/>
            <w:vAlign w:val="bottom"/>
          </w:tcPr>
          <w:p>
            <w:pPr>
              <w:spacing w:after="0"/>
              <w:rPr>
                <w:sz w:val="20"/>
                <w:szCs w:val="20"/>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300" w:type="dxa"/>
            <w:vAlign w:val="bottom"/>
          </w:tcPr>
          <w:p>
            <w:pPr>
              <w:spacing w:after="0"/>
              <w:rPr>
                <w:sz w:val="20"/>
                <w:szCs w:val="20"/>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10"/>
        </w:trPr>
        <w:tc>
          <w:tcPr>
            <w:tcW w:w="2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2"/>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 $</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328.3</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337.4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depreciation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161.4</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w:t>
            </w:r>
          </w:p>
        </w:tc>
        <w:tc>
          <w:tcPr>
            <w:tcW w:w="3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tcPr>
          <w:p>
            <w:pPr>
              <w:spacing w:after="0"/>
              <w:rPr>
                <w:sz w:val="18"/>
                <w:szCs w:val="18"/>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110"/>
        </w:trPr>
        <w:tc>
          <w:tcPr>
            <w:tcW w:w="2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-53.5% $</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10"/>
        </w:trPr>
        <w:tc>
          <w:tcPr>
            <w:tcW w:w="2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572"/>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3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4" w:lineRule="exact"/>
        <w:rPr>
          <w:sz w:val="20"/>
          <w:szCs w:val="20"/>
          <w:color w:val="auto"/>
        </w:rPr>
      </w:pPr>
    </w:p>
    <w:p>
      <w:pPr>
        <w:ind w:left="1020" w:hanging="57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 selling, general and administrative expenses, bad debt expenses and asset impairments where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Revenues in the </w:t>
      </w:r>
      <w:r>
        <w:rPr>
          <w:rFonts w:ascii="Times New Roman" w:cs="Times New Roman" w:eastAsia="Times New Roman" w:hAnsi="Times New Roman"/>
          <w:sz w:val="16"/>
          <w:szCs w:val="16"/>
          <w:i w:val="1"/>
          <w:iCs w:val="1"/>
          <w:color w:val="auto"/>
        </w:rPr>
        <w:t>International</w:t>
      </w:r>
      <w:r>
        <w:rPr>
          <w:rFonts w:ascii="Times New Roman" w:cs="Times New Roman" w:eastAsia="Times New Roman" w:hAnsi="Times New Roman"/>
          <w:sz w:val="16"/>
          <w:szCs w:val="16"/>
          <w:color w:val="auto"/>
        </w:rPr>
        <w:t xml:space="preserve"> segment for the quarter ended February 28, 2013 decreased by $11.2 million to $94.4 million, compared to $105.6 million in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prior fiscal year quarter, principally due to lower revenues in Canada of $9.8 million, primarily in the trade and book clubs businesses, as well as lower revenues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Australia of $3.4 million, primarily in the new media and trade businesses. In both cases, the lower revenues in the trade business resulted from lower sales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Hunger Games trilogy. These decreases were partially offset by increased revenues of $3.2 million in the Company’s Asian businesses. The favorable impact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foreign exchange rates was $0.4 million. Revenues for the nine months ended February 28, 2013 decreased by $9.1 million to $328.3 million,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$337.4 million in the prior fiscal year period. This decrease was primarily related to the same factors driving the quarter decrease, as well as the negative impact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foreign currency exchange rates of $2.2 million, all of which were partially offset by higher revenues in the Company’s export business of $3.1 million.</w:t>
      </w:r>
    </w:p>
    <w:p>
      <w:pPr>
        <w:spacing w:after="0" w:line="21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Cost of goods sold (exclusive of depreciation and amortization) as a percentage of revenue for the three and nine months ended February 28, 2013 and February 29, 2012 remained relatively flat.</w:t>
      </w:r>
    </w:p>
    <w:p>
      <w:pPr>
        <w:spacing w:after="0" w:line="174"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Segment operating income for the quarter ended February 28, 2013 decreased by $2.3 million, or 53.5%, to $2.0 million, compared to $4.3 million in the prior fiscal year quarter. Excluding the $2.4 million favorable impact of foreign exchange rates, segment operating income decreased by $4.7 million for the quarter ended February 28, 2013, primarily due to the lower revenues noted above. Segment operating income for the nine months ended February 28, 2013 decreased by $1.3 million, or 4.2%, to $29.5 million, compared to $30.8 million in the prior fiscal year period. Excluding the $1.0 million favorable impact of foreign exchange rates, segment operating income decreased by $2.3 million for the nine months ended February 28, 2013, primarily due to the lower revenues noted above.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Media, Licensing and Advertising</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February 29,</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amounts in millions)</w:t>
            </w:r>
          </w:p>
        </w:tc>
        <w:tc>
          <w:tcPr>
            <w:tcW w:w="320" w:type="dxa"/>
            <w:vAlign w:val="bottom"/>
          </w:tcPr>
          <w:p>
            <w:pPr>
              <w:spacing w:after="0"/>
              <w:rPr>
                <w:sz w:val="20"/>
                <w:szCs w:val="20"/>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change</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10"/>
        </w:trPr>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-18.8% $</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43.1</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(exclusive</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depreciation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 **</w:t>
            </w:r>
          </w:p>
        </w:tc>
        <w:tc>
          <w:tcPr>
            <w:tcW w:w="32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25.2</w:t>
            </w:r>
          </w:p>
        </w:tc>
        <w:tc>
          <w:tcPr>
            <w:tcW w:w="86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110"/>
        </w:trPr>
        <w:tc>
          <w:tcPr>
            <w:tcW w:w="224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2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meaningful</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4" w:lineRule="exact"/>
        <w:rPr>
          <w:sz w:val="20"/>
          <w:szCs w:val="20"/>
          <w:color w:val="auto"/>
        </w:rPr>
      </w:pPr>
    </w:p>
    <w:p>
      <w:pPr>
        <w:ind w:left="1020" w:hanging="57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 selling, general and administrative expenses, bad debt expenses and asset impairments where applicable.</w:t>
      </w:r>
    </w:p>
    <w:p>
      <w:pPr>
        <w:spacing w:after="0" w:line="223"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6"/>
          <w:szCs w:val="16"/>
          <w:color w:val="auto"/>
        </w:rPr>
        <w:t xml:space="preserve">Revenues in the </w:t>
      </w:r>
      <w:r>
        <w:rPr>
          <w:rFonts w:ascii="Times New Roman" w:cs="Times New Roman" w:eastAsia="Times New Roman" w:hAnsi="Times New Roman"/>
          <w:sz w:val="16"/>
          <w:szCs w:val="16"/>
          <w:i w:val="1"/>
          <w:iCs w:val="1"/>
          <w:color w:val="auto"/>
        </w:rPr>
        <w:t>Media, Licensing and Advertising</w:t>
      </w:r>
      <w:r>
        <w:rPr>
          <w:rFonts w:ascii="Times New Roman" w:cs="Times New Roman" w:eastAsia="Times New Roman" w:hAnsi="Times New Roman"/>
          <w:sz w:val="16"/>
          <w:szCs w:val="16"/>
          <w:color w:val="auto"/>
        </w:rPr>
        <w:t xml:space="preserve"> segment for the quarter ended February 28, 2013 decreased by $2.7 million, or 18.8%, to $11.7 million, compared to $14.4 million in the prior fiscal year quarter. The decrease in revenues was primarily due to lower production revenues, principally </w:t>
      </w:r>
      <w:r>
        <w:rPr>
          <w:rFonts w:ascii="Times New Roman" w:cs="Times New Roman" w:eastAsia="Times New Roman" w:hAnsi="Times New Roman"/>
          <w:sz w:val="16"/>
          <w:szCs w:val="16"/>
          <w:i w:val="1"/>
          <w:iCs w:val="1"/>
          <w:color w:val="auto"/>
        </w:rPr>
        <w:t>Word Girl</w:t>
      </w:r>
      <w:r>
        <w:rPr>
          <w:rFonts w:ascii="Times New Roman" w:cs="Times New Roman" w:eastAsia="Times New Roman" w:hAnsi="Times New Roman"/>
          <w:sz w:val="16"/>
          <w:szCs w:val="16"/>
          <w:color w:val="auto"/>
        </w:rPr>
        <w:t>®. Revenues for the nine months ended February 28, 2013 decreased by $5.9 million, or 12.0%, to $43.1 million, compared to $49.0 million in the prior fiscal year period. This decrease was primarily related to lower production revenues of $3.5 million, as well as lower advertising and consumer magazine revenues of $3.3 million, partially offset by increased revenues in the Company’s interactive business, specifically from the increased sales of audio books.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goods sold (exclusive of depreciation and amortization) was $5.3 million, or 45.3% of revenue, for the quarter ended February 28, 2013, compared to $6.2 million, or 43.1% of revenue, for the prior fiscal year quarter. Cost of goods sold (exclusive of depreciation and amortization) was $18.5 million, or 42.9% of revenue, for the nine months ended February 28, 2013, compared to $23.0 million, or 46.9% of revenue, for the prior fiscal year period. The decrease for the nine months ended February 28, 2013 was primarily related to lower production costs.</w:t>
      </w:r>
    </w:p>
    <w:p>
      <w:pPr>
        <w:spacing w:after="0" w:line="19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quarter ended February 28, 2013 decreased by $0.8 million to $8.6 million, from $9.4 million in the prior fiscal year quarter, primarily driven by lower employee related expenses of $0.7 million. Other operating expenses for the nine months ended February 28, 2013 decreased by $3.7 million to $25.2 million, compared to $28.9 million in the prior fiscal year period. The decrease is related to settlement income received of $1.3 million, as well as lower promotional, employee and other operating expenses in the Company’s consumer magazine business totaling $2.1 million.</w:t>
      </w:r>
    </w:p>
    <w:p>
      <w:pPr>
        <w:spacing w:after="0" w:line="190"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Segment operating loss for the quarter ended February 28, 2013 increased by $1.1 million to a loss of $2.3 million, compared to a loss of $1.2 million in the prior fiscal year quarter. This decrease was primarily related to the lower revenues noted above. Segment operating loss for the nine months ended February 28, 2013 was $0.9 million, compared to a loss of $3.3 million in the prior fiscal year period. The improvement is related to the lower Cost of goods sold (exclusive of depreciation and amortization) as discussed above, as well as the lower operating expenses noted above, partially offset by the decline in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Overhead</w:t>
      </w:r>
    </w:p>
    <w:p>
      <w:pPr>
        <w:spacing w:after="0" w:line="2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Corporate overhead for the quarter ended February 28, 2013 decreased by $4.3 million to $13.6 million, compared to $17.9 million in the prior fiscal year quarter. Corporate overhead for the nine months ended February 28, 2013 decreased by $22.1 million to $37.7 million, compared to $59.8 million in the prior fiscal year period. The decrease in both periods was primarily related to lower employee-related expenses.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42"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 Trade sales can vary throughout the year due to varying release dates of published titles.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42"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Company’s cash and cash equivalents totaled $196.7 million at February 28, 2013, compared to $194.9 million at May 31, 2012 and $111.8 million at February 29, 2012.</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Cash provided by operating activities was $107.2 million for the nine months ended February 28, 2013, compared to $132.8 million in the prior fiscal year period, representing a decrease in cash provided by operating activities of $25.6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drivers of the decrease include:</w:t>
      </w:r>
    </w:p>
    <w:p>
      <w:pPr>
        <w:spacing w:after="0" w:line="241" w:lineRule="exact"/>
        <w:rPr>
          <w:sz w:val="20"/>
          <w:szCs w:val="20"/>
          <w:color w:val="auto"/>
        </w:rPr>
      </w:pPr>
    </w:p>
    <w:p>
      <w:pPr>
        <w:ind w:left="920" w:right="80" w:hanging="453"/>
        <w:spacing w:after="0" w:line="26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income of $35.8 million for the nine months ended February 28, 2013 compared to the nine months ended February 29, 2012. The prior year period’s net income included $6.2 million of charges for sublease losses and higher stock-based compensation expense of $4.8 million. Neither the sublease losses nor the stock-based compensation expense resulted in cash payouts for the prior fiscal period.</w:t>
      </w:r>
    </w:p>
    <w:p>
      <w:pPr>
        <w:spacing w:after="0" w:line="118" w:lineRule="exact"/>
        <w:rPr>
          <w:rFonts w:ascii="Times New Roman" w:cs="Times New Roman" w:eastAsia="Times New Roman" w:hAnsi="Times New Roman"/>
          <w:sz w:val="18"/>
          <w:szCs w:val="18"/>
          <w:color w:val="auto"/>
        </w:rPr>
      </w:pPr>
    </w:p>
    <w:p>
      <w:pPr>
        <w:ind w:left="920" w:right="60" w:hanging="453"/>
        <w:spacing w:after="0" w:line="258"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accrued royalties which generated a cash use of $76.0 million in the current nine month fiscal period. Current year payouts exceed current year accruals due to the payment of royalties associated with prior year sales of The Hunger Games trilogy for which royalty payments were made by the Company in the current year. Typically the nine month period results in accruals in excess of payouts as payments are made in the second and fourth quarters of the fiscal year.</w:t>
      </w:r>
    </w:p>
    <w:p>
      <w:pPr>
        <w:spacing w:after="0" w:line="122" w:lineRule="exact"/>
        <w:rPr>
          <w:rFonts w:ascii="Times New Roman" w:cs="Times New Roman" w:eastAsia="Times New Roman" w:hAnsi="Times New Roman"/>
          <w:sz w:val="18"/>
          <w:szCs w:val="18"/>
          <w:color w:val="auto"/>
        </w:rPr>
      </w:pPr>
    </w:p>
    <w:p>
      <w:pPr>
        <w:ind w:left="920" w:right="40" w:hanging="453"/>
        <w:spacing w:after="0" w:line="275"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accrued expenses which generated a cash use of $96.4 million was driven by first quarter employee incentive compensation payments related to the prior fiscal year’s results and higher tax accruals in the prior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Partially offset by:</w:t>
      </w:r>
    </w:p>
    <w:p>
      <w:pPr>
        <w:spacing w:after="0" w:line="241" w:lineRule="exact"/>
        <w:rPr>
          <w:sz w:val="20"/>
          <w:szCs w:val="20"/>
          <w:color w:val="auto"/>
        </w:rPr>
      </w:pPr>
    </w:p>
    <w:p>
      <w:pPr>
        <w:ind w:left="920" w:right="280" w:hanging="453"/>
        <w:spacing w:after="0" w:line="262"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in net cash collections of $185.0 million in the current fiscal period largely attributable to the prior fiscal year’s sales performance in the Company’s </w:t>
      </w:r>
      <w:r>
        <w:rPr>
          <w:rFonts w:ascii="Times New Roman" w:cs="Times New Roman" w:eastAsia="Times New Roman" w:hAnsi="Times New Roman"/>
          <w:sz w:val="18"/>
          <w:szCs w:val="18"/>
          <w:i w:val="1"/>
          <w:iCs w:val="1"/>
          <w:color w:val="auto"/>
        </w:rPr>
        <w:t>Children’s Book Publishing and Distribution</w:t>
      </w:r>
      <w:r>
        <w:rPr>
          <w:rFonts w:ascii="Times New Roman" w:cs="Times New Roman" w:eastAsia="Times New Roman" w:hAnsi="Times New Roman"/>
          <w:sz w:val="18"/>
          <w:szCs w:val="18"/>
          <w:color w:val="auto"/>
        </w:rPr>
        <w:t xml:space="preserve"> segment (primarily The Hunger Games trilogy), as well as higher cash received in the </w:t>
      </w:r>
      <w:r>
        <w:rPr>
          <w:rFonts w:ascii="Times New Roman" w:cs="Times New Roman" w:eastAsia="Times New Roman" w:hAnsi="Times New Roman"/>
          <w:sz w:val="18"/>
          <w:szCs w:val="18"/>
          <w:i w:val="1"/>
          <w:iCs w:val="1"/>
          <w:color w:val="auto"/>
        </w:rPr>
        <w:t xml:space="preserve">Classroom and Supplemental Materials Publishing </w:t>
      </w:r>
      <w:r>
        <w:rPr>
          <w:rFonts w:ascii="Times New Roman" w:cs="Times New Roman" w:eastAsia="Times New Roman" w:hAnsi="Times New Roman"/>
          <w:sz w:val="18"/>
          <w:szCs w:val="18"/>
          <w:color w:val="auto"/>
        </w:rPr>
        <w:t>segment, primarily related to classroom magazines.</w:t>
      </w:r>
    </w:p>
    <w:p>
      <w:pPr>
        <w:spacing w:after="0" w:line="118" w:lineRule="exact"/>
        <w:rPr>
          <w:rFonts w:ascii="Times New Roman" w:cs="Times New Roman" w:eastAsia="Times New Roman" w:hAnsi="Times New Roman"/>
          <w:sz w:val="18"/>
          <w:szCs w:val="18"/>
          <w:color w:val="auto"/>
        </w:rPr>
      </w:pPr>
    </w:p>
    <w:p>
      <w:pPr>
        <w:ind w:left="920" w:right="440" w:hanging="453"/>
        <w:spacing w:after="0" w:line="275"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inventory balances of $35.5 million in the current fiscal period driven by lower purchases, as the Company continues to monitor working capital levels closely.</w:t>
      </w:r>
    </w:p>
    <w:p>
      <w:pPr>
        <w:spacing w:after="0" w:line="17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 xml:space="preserve">Cash used in investing activities was $94.9 million for the nine months ended February 28, 2013, compared to $78.0 million in the prior year fiscal year period, representing an increase of $16.9 million. The Company continues to invest in its ongoing digital initiatives and upgraded its fleet of vehicles in the book fairs business as well as investing in product development in the </w:t>
      </w:r>
      <w:r>
        <w:rPr>
          <w:rFonts w:ascii="Times New Roman" w:cs="Times New Roman" w:eastAsia="Times New Roman" w:hAnsi="Times New Roman"/>
          <w:sz w:val="18"/>
          <w:szCs w:val="18"/>
          <w:i w:val="1"/>
          <w:iCs w:val="1"/>
          <w:color w:val="auto"/>
        </w:rPr>
        <w:t>Educational Technology and Services</w:t>
      </w:r>
      <w:r>
        <w:rPr>
          <w:rFonts w:ascii="Times New Roman" w:cs="Times New Roman" w:eastAsia="Times New Roman" w:hAnsi="Times New Roman"/>
          <w:sz w:val="18"/>
          <w:szCs w:val="18"/>
          <w:color w:val="auto"/>
        </w:rPr>
        <w:t xml:space="preserve"> segment.</w:t>
      </w:r>
    </w:p>
    <w:p>
      <w:pPr>
        <w:spacing w:after="0" w:line="186"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Cash used in financing activities was $11.5 million for the nine months ended February 28, 2013, compared to $47.6 million for the prior fiscal year period, primarily reflecting Term Loan payments in the prior fiscal year period under the Company’s Loan Agreement discussed below. Dividend payouts increased by $2.6 million, as the Company implemented a higher per share dividend rate. Partially offsetting these higher uses of cash were lower net borrowings under lines of credit of $18.4 million and an increase in proceeds pursuant to stock-based compensation plans of $8.5 million in the current fiscal period.</w:t>
      </w:r>
    </w:p>
    <w:p>
      <w:pPr>
        <w:spacing w:after="0" w:line="1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after the anticipated use of the credit facility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42"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its repayment obligations in respect of the 5% Notes due in fiscal 2013, will be sufficient to finance its short-and long-term capital requirements.</w:t>
      </w:r>
    </w:p>
    <w:p>
      <w:pPr>
        <w:spacing w:after="0" w:line="22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February 28, 2013, the Company’s primary sources of liquidity consisted of cash and cash equivalents of $196.7 million, cash from operations and borrowings available under the Revolving Loan (as described under “Financing” below) totaling $425.0 million, less the amount anticipated to be utilized to satisfy the outstanding 5% Notes.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6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Company’s credit rating from Standard &amp; Poor’s Rating Services is “BB-” and its credit rating from Moody’s Investors Service is “Ba1.” Both Moody’s Investors Service and Standard and Poor’s Rating Services have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5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Effective December 5, 2012, as discussed below, the Company amended its existing revolving credit facility, which was scheduled to mature on June 1, 2014, to extend the maturity date to December 5, 2017. The Company intends to draw on this credit facility to satisfy its repayment obligations in respect of the 5% Notes due April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with the ability to increase the aggregate Revolving Loan commitments of the lenders by up to an additional $150.0 million. The Loan Agreement was amended on August 16, 2010, on October 25, 2011 and most recently on December 5, 2012. The amendment on December 5, 2012 served to, among other things, (i) increase the Revolving Loan from $325.0 million to $425.0 million (with the continued ability to increase the aggregate Revolving Loan commitments of the lenders by up to an additional $150.0 million), (ii) extend the maturity of the $425.0 million Revolving Loan to December 5, 2017 from June 1, 2014, (iii) amend a covenant in the Loan Agreement to permit certain sales, transfers and dispositions of assets by either Borrower or any subsidiary to any other Borrower or subsidiary and (iv) amend a covenant in the Loan Agreement to permit transactions between or among the Company and its wholly-owned subsidiaries not involving any other affiliates. Additionally, this amendment added certain lenders to the Loan Agreement and other lenders exited the Loan Agreement with no further obligation.</w:t>
      </w:r>
    </w:p>
    <w:p>
      <w:pPr>
        <w:spacing w:after="0" w:line="19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Revolving Loan allows the Company to borrow, repay or prepay and reborrow at any time prior to the stated maturity date, and the proceeds may be used for general corporate purposes, including financing for acquisitions and share repurchases.</w:t>
      </w:r>
    </w:p>
    <w:p>
      <w:pPr>
        <w:spacing w:after="0" w:line="17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0" w:lineRule="exact"/>
        <w:rPr>
          <w:sz w:val="20"/>
          <w:szCs w:val="20"/>
          <w:color w:val="auto"/>
        </w:rPr>
      </w:pPr>
    </w:p>
    <w:p>
      <w:pPr>
        <w:ind w:left="920" w:right="180" w:hanging="453"/>
        <w:spacing w:after="0" w:line="262"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18" w:lineRule="exact"/>
        <w:rPr>
          <w:rFonts w:ascii="Times New Roman" w:cs="Times New Roman" w:eastAsia="Times New Roman" w:hAnsi="Times New Roman"/>
          <w:sz w:val="18"/>
          <w:szCs w:val="18"/>
          <w:color w:val="auto"/>
        </w:rPr>
      </w:pPr>
    </w:p>
    <w:p>
      <w:pPr>
        <w:ind w:left="2120" w:hanging="96"/>
        <w:spacing w:after="0"/>
        <w:tabs>
          <w:tab w:leader="none" w:pos="2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t>
      </w:r>
    </w:p>
    <w:p>
      <w:pPr>
        <w:spacing w:after="0" w:line="157" w:lineRule="exact"/>
        <w:rPr>
          <w:rFonts w:ascii="Times New Roman" w:cs="Times New Roman" w:eastAsia="Times New Roman" w:hAnsi="Times New Roman"/>
          <w:sz w:val="18"/>
          <w:szCs w:val="18"/>
          <w:color w:val="auto"/>
        </w:rPr>
      </w:pPr>
    </w:p>
    <w:p>
      <w:pPr>
        <w:ind w:left="920" w:hanging="453"/>
        <w:spacing w:after="0" w:line="275"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At February 28, 2013, the indicated spread on Base Rate Advances was 0.18% and the indicated spread on Eurodollar Rate Advances was 1.18%, both based on the Company’s prevailing consolidated debt to total capital ratio. The Loan Agreement also provides for the payment of a facility fee ranging from 0.20% to</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0.40% per annum based upon the Company’s prevailing consolidated debt to total capital ratio. At February 28, 2013, the facility fee rate was 0.20%. There were no outstanding borrowings under the Revolving Loan as of February 28, 2013.</w:t>
      </w:r>
    </w:p>
    <w:p>
      <w:pPr>
        <w:spacing w:after="0" w:line="18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As of February 28, 2013, standby letters of credit outstanding under the Loan Agreement totaled $1.4 million. The Loan Agreement contains certain covenants, including interest coverage and leverage ratio tests and certain limitations on the amount of dividends and other distributions, and at February 28, 2013, the Company was in compliance with these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of Credit</w:t>
      </w:r>
    </w:p>
    <w:p>
      <w:pPr>
        <w:spacing w:after="0" w:line="227"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The Company has unsecured money market bid rate credit lines totaling $20.0 million. There were no outstanding borrowings under these credit lines at February 28, 2013, May 31, 2012 and February 29, 2012. All loans made under these credit lines are at the sole discretion of the lender and at an interest rate and term agreed to at the time each loan is made, but not to exceed 364 days. These credit lines may be renewed, if requested by the Company, at the option of the lender.</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February 28, 2013, the Company also had various local currency credit lines, with maximum available borrowings in amounts equivalent to $27.1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$1.8 million at February 28, 2013 at a weighted average interest rate of 8.9%; $6.5 million at May 31, 2012 at a weighted average interest rate of 5.3%; and $12.6 million at February 29, 2012 at a weighted average interest rate of 4.7%. The increased weighted average interest rate as of February 28, 2013 was due to local borrowing interest rates in Asia.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Notes due 2013</w:t>
      </w:r>
    </w:p>
    <w:p>
      <w:pPr>
        <w:spacing w:after="0" w:line="22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40" w:firstLine="8"/>
        <w:spacing w:after="0" w:line="261"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discounted to the date of redemption. The Company did not make any repurchases of the 5% Notes during the nine-month period ended February 28, 2013.</w:t>
      </w:r>
    </w:p>
    <w:p>
      <w:pPr>
        <w:spacing w:after="0" w:line="18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As discussed above, the Company amended its existing revolving credit facility, which was scheduled to mature on June 1, 2014, to extend the maturity date to December 5, 2017. The Company has the ability to use a portion of this credit facility to fully redeem the 5% Notes due April 2013 and intends to draw on this credit facility for this purpose. Accordingly, the balance of the 5% Notes is excluded from current liabilities and classified as Long-term debt on the Company’s condensed consolidated balance sheets at February 28, 2013 and May 31, 2012.</w:t>
      </w:r>
    </w:p>
    <w:p>
      <w:pPr>
        <w:spacing w:after="0" w:line="1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At February 28, 2013, the Company had open standby letters of credit totaling $6.6 million issued under certain credit lines, including the $1.4 million under the Loan Agreement discussed above. These letters of credit are scheduled to expire within one year; however, the Company expects that substantially all of these letters of credit will be renewed, at similar terms, prior to expiration.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debt obligations were $154.8 million at February 28, 2013, $159.3 million at May 31, 2012 and $165.3 million at February 29, 2012.</w:t>
      </w:r>
    </w:p>
    <w:p>
      <w:pPr>
        <w:spacing w:after="0" w:line="22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For a more complete description of the Company’s debt obligations, see Note 4 of Notes to condensed consolidated financial statements – unaudited in Item 1,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42"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758" w:right="8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ecommerce and digital initiatives, new product introductions, strategies, goals, revenues, improved efficiencies, general costs, manufacturing costs, medical costs, pension estimates, merit pay, operating margins, working capital, liquidity, capital needs, financing intentions, interest costs, cash flows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9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Company disclaims any intention or obligation to update or revise forward-looking statements, whether as a result of new information, future events or otherwise.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42"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in various foreign countries, and as such, its cash flows and earnings are subject to fluctuations from changes in foreign currency exchange rates. Additionally,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As of February 28, 2013, the use of short-term forward exchange contracts was not significant. The Company does not enter into derivative transactions or use other financial instruments for trading or speculative purposes.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1% of the Company’s debt at February 28, 2013 bore interest at a variable rate and was sensitive to changes in interest rates, compared to approximately 4% at May 31, 2012 and approximately 8% at February 29, 2012. The Company is subject to the risk that market interest rates and its cost of borrowing will increase and thereby increase the interest charged under its variable-rate debt.</w:t>
      </w:r>
    </w:p>
    <w:p>
      <w:pPr>
        <w:spacing w:after="0" w:line="19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Additional information relating to the Company’s outstanding financial instruments is included in Item 2, “Management’s Discussion and Analysis of Financial Condition and Results of Operations.”</w:t>
      </w:r>
    </w:p>
    <w:p>
      <w:pPr>
        <w:spacing w:after="0" w:line="174"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about the Company’s debt instruments as of February 28, 2013 (see Note 4 of Notes to condensed consolidated financial statements - unaudited in Item 1,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amounts in millions</w:t>
            </w:r>
            <w:r>
              <w:rPr>
                <w:rFonts w:ascii="Times New Roman" w:cs="Times New Roman" w:eastAsia="Times New Roman" w:hAnsi="Times New Roman"/>
                <w:sz w:val="18"/>
                <w:szCs w:val="18"/>
                <w:b w:val="1"/>
                <w:bCs w:val="1"/>
                <w:color w:val="auto"/>
              </w:rPr>
              <w:t xml:space="preserve"> )</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8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 xml:space="preserve">2013 </w:t>
            </w:r>
            <w:r>
              <w:rPr>
                <w:rFonts w:ascii="Times New Roman" w:cs="Times New Roman" w:eastAsia="Times New Roman" w:hAnsi="Times New Roman"/>
                <w:sz w:val="29"/>
                <w:szCs w:val="29"/>
                <w:b w:val="1"/>
                <w:bCs w:val="1"/>
                <w:color w:val="auto"/>
                <w:w w:val="88"/>
                <w:vertAlign w:val="superscript"/>
              </w:rPr>
              <w:t>(1)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0" w:type="dxa"/>
            <w:vAlign w:val="bottom"/>
          </w:tcPr>
          <w:p>
            <w:pPr>
              <w:spacing w:after="0"/>
              <w:rPr>
                <w:sz w:val="1"/>
                <w:szCs w:val="1"/>
                <w:color w:val="auto"/>
              </w:rPr>
            </w:pPr>
          </w:p>
        </w:tc>
      </w:tr>
      <w:tr>
        <w:trPr>
          <w:trHeight w:val="340"/>
        </w:trPr>
        <w:tc>
          <w:tcPr>
            <w:tcW w:w="2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vMerge w:val="continue"/>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960" w:type="dxa"/>
            <w:vAlign w:val="bottom"/>
            <w:tcBorders>
              <w:bottom w:val="single" w:sz="8" w:color="808080"/>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2/28/13</w:t>
            </w:r>
          </w:p>
        </w:tc>
        <w:tc>
          <w:tcPr>
            <w:tcW w:w="0" w:type="dxa"/>
            <w:vAlign w:val="bottom"/>
          </w:tcPr>
          <w:p>
            <w:pPr>
              <w:spacing w:after="0"/>
              <w:rPr>
                <w:sz w:val="1"/>
                <w:szCs w:val="1"/>
                <w:color w:val="auto"/>
              </w:rPr>
            </w:pPr>
          </w:p>
        </w:tc>
      </w:tr>
      <w:tr>
        <w:trPr>
          <w:trHeight w:val="45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Fixed-rate debt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r>
              <w:rPr>
                <w:rFonts w:ascii="Times New Roman" w:cs="Times New Roman" w:eastAsia="Times New Roman" w:hAnsi="Times New Roman"/>
                <w:sz w:val="14"/>
                <w:szCs w:val="14"/>
                <w:color w:val="auto"/>
              </w:rPr>
              <w:t>(2)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8"/>
        </w:trPr>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 interest rate</w:t>
            </w:r>
          </w:p>
        </w:tc>
        <w:tc>
          <w:tcPr>
            <w:tcW w:w="56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r>
              <w:rPr>
                <w:rFonts w:ascii="Times New Roman" w:cs="Times New Roman" w:eastAsia="Times New Roman" w:hAnsi="Times New Roman"/>
                <w:sz w:val="14"/>
                <w:szCs w:val="14"/>
                <w:color w:val="auto"/>
              </w:rPr>
              <w:t>(3)</w:t>
            </w:r>
          </w:p>
        </w:tc>
        <w:tc>
          <w:tcPr>
            <w:tcW w:w="380" w:type="dxa"/>
            <w:vAlign w:val="bottom"/>
          </w:tcPr>
          <w:p>
            <w:pPr>
              <w:spacing w:after="0"/>
              <w:rPr>
                <w:sz w:val="19"/>
                <w:szCs w:val="19"/>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2013 includes the remaining three months of the current fiscal year, ending May 31, 2013.</w:t>
      </w:r>
    </w:p>
    <w:p>
      <w:pPr>
        <w:spacing w:after="0" w:line="157" w:lineRule="exact"/>
        <w:rPr>
          <w:rFonts w:ascii="Times New Roman" w:cs="Times New Roman" w:eastAsia="Times New Roman" w:hAnsi="Times New Roman"/>
          <w:sz w:val="18"/>
          <w:szCs w:val="18"/>
          <w:color w:val="auto"/>
        </w:rPr>
      </w:pPr>
    </w:p>
    <w:p>
      <w:pPr>
        <w:ind w:left="460" w:right="100" w:hanging="452"/>
        <w:spacing w:after="0" w:line="26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5, 2012, the Company amended its existing revolving credit facility, which was scheduled to mature on June 1, 2014, to extend the maturity date to December 5, 2017. The Company intends to draw on this credit facility to satisfy its repayment obligations in respect of the 5% Notes due April 2013.</w:t>
      </w:r>
    </w:p>
    <w:p>
      <w:pPr>
        <w:spacing w:after="0" w:line="118" w:lineRule="exact"/>
        <w:rPr>
          <w:rFonts w:ascii="Times New Roman" w:cs="Times New Roman" w:eastAsia="Times New Roman" w:hAnsi="Times New Roman"/>
          <w:sz w:val="18"/>
          <w:szCs w:val="18"/>
          <w:color w:val="auto"/>
        </w:rPr>
      </w:pPr>
    </w:p>
    <w:p>
      <w:pPr>
        <w:ind w:left="460" w:right="540" w:hanging="452"/>
        <w:spacing w:after="0" w:line="27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interest rate is variable and is anticipated to be that of the Company’s revolving credit facility as discussed under “Financing” in Item 2, “Management’s Discussion and Analysis of Financial Condition and Results of Operations.”</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2013,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2013 that has materially affected, or is reasonably likely to materially affect, the Corporation’s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repurchases of shares of Common Stock by the Corporation during the three months ended February 28, 2013:</w:t>
      </w:r>
    </w:p>
    <w:p>
      <w:pPr>
        <w:spacing w:after="0" w:line="1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r>
      <w:tr>
        <w:trPr>
          <w:trHeight w:val="216"/>
        </w:trPr>
        <w:tc>
          <w:tcPr>
            <w:tcW w:w="1360" w:type="dxa"/>
            <w:vAlign w:val="bottom"/>
          </w:tcPr>
          <w:p>
            <w:pPr>
              <w:spacing w:after="0"/>
              <w:rPr>
                <w:sz w:val="18"/>
                <w:szCs w:val="18"/>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8"/>
          <w:szCs w:val="18"/>
          <w:b w:val="1"/>
          <w:bCs w:val="1"/>
          <w:color w:val="auto"/>
        </w:rPr>
        <w:t>Maximum number of shares (or approximate dollar value) that may yet be purchased under the plans or programs (i)</w:t>
      </w:r>
    </w:p>
    <w:p>
      <w:pPr>
        <w:spacing w:after="0" w:line="200" w:lineRule="exact"/>
        <w:rPr>
          <w:sz w:val="20"/>
          <w:szCs w:val="20"/>
          <w:color w:val="auto"/>
        </w:rPr>
      </w:pPr>
    </w:p>
    <w:p>
      <w:pPr>
        <w:sectPr>
          <w:pgSz w:w="11900" w:h="16838" w:orient="portrait"/>
          <w:cols w:equalWidth="0" w:num="2">
            <w:col w:w="7260" w:space="300"/>
            <w:col w:w="3880"/>
          </w:cols>
          <w:pgMar w:left="240" w:top="758" w:right="21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2012 through</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2012</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33,124</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28.32</w:t>
            </w:r>
          </w:p>
        </w:tc>
        <w:tc>
          <w:tcPr>
            <w:tcW w:w="17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33,124</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Pr>
          <w:p>
            <w:pPr>
              <w:jc w:val="right"/>
              <w:ind w:right="3092"/>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2013 through</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31, 2013</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112,404</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29.07</w:t>
            </w:r>
          </w:p>
        </w:tc>
        <w:tc>
          <w:tcPr>
            <w:tcW w:w="17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112,404</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Pr>
          <w:p>
            <w:pPr>
              <w:jc w:val="right"/>
              <w:ind w:right="3092"/>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2013 through</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28"/>
        </w:trPr>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2013</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37,206</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28.88</w:t>
            </w:r>
          </w:p>
        </w:tc>
        <w:tc>
          <w:tcPr>
            <w:tcW w:w="17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37,206</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Pr>
          <w:p>
            <w:pPr>
              <w:jc w:val="right"/>
              <w:ind w:right="3092"/>
              <w:spacing w:after="0"/>
              <w:rPr>
                <w:sz w:val="20"/>
                <w:szCs w:val="20"/>
                <w:color w:val="auto"/>
              </w:rPr>
            </w:pPr>
            <w:r>
              <w:rPr>
                <w:rFonts w:ascii="Times New Roman" w:cs="Times New Roman" w:eastAsia="Times New Roman" w:hAnsi="Times New Roman"/>
                <w:sz w:val="18"/>
                <w:szCs w:val="18"/>
                <w:color w:val="auto"/>
              </w:rPr>
              <w:t>25.6</w:t>
            </w:r>
          </w:p>
        </w:tc>
      </w:tr>
      <w:tr>
        <w:trPr>
          <w:trHeight w:val="36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182,734</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28.90</w:t>
            </w:r>
          </w:p>
        </w:tc>
        <w:tc>
          <w:tcPr>
            <w:tcW w:w="17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182,734</w:t>
            </w:r>
          </w:p>
        </w:tc>
        <w:tc>
          <w:tcPr>
            <w:tcW w:w="1040" w:type="dxa"/>
            <w:vAlign w:val="bottom"/>
          </w:tcPr>
          <w:p>
            <w:pPr>
              <w:spacing w:after="0"/>
              <w:rPr>
                <w:sz w:val="24"/>
                <w:szCs w:val="24"/>
                <w:color w:val="auto"/>
              </w:rPr>
            </w:pPr>
          </w:p>
        </w:tc>
        <w:tc>
          <w:tcPr>
            <w:tcW w:w="3580" w:type="dxa"/>
            <w:vAlign w:val="bottom"/>
          </w:tcPr>
          <w:p>
            <w:pPr>
              <w:jc w:val="right"/>
              <w:ind w:right="3092"/>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2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280" w:firstLine="8"/>
        <w:spacing w:after="0" w:line="256"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amount under the $20 million Common share repurchase program announced on December 16, 2009 and the further $200 million Board authorization for Common share repurchases announced in connection with the modified Dutch auction tender offer commenced by the Company on September 28, 2010 and completed in November 2010. Approximately $156 million was used for repurchases in such tender offer, leaving, after subsequent additional open market repurchases of $14.6 million, $30.9 million at December 1, 2012 for further repurchases, from time to time as conditions allow, on the open market or through negotiated private transactions, under the current Board authorizations.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8" w:right="2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0200" w:type="dxa"/>
            <w:vAlign w:val="bottom"/>
          </w:tcPr>
          <w:p>
            <w:pPr>
              <w:spacing w:after="0"/>
              <w:rPr>
                <w:sz w:val="19"/>
                <w:szCs w:val="19"/>
                <w:color w:val="auto"/>
              </w:rPr>
            </w:pPr>
          </w:p>
        </w:tc>
      </w:tr>
      <w:tr>
        <w:trPr>
          <w:trHeight w:val="35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Amendment No. 3, dated as of December 5, 2012, to the Credit Agreement, dated as of June 1, 2007, among the Corporation and Scholastic</w:t>
            </w:r>
          </w:p>
        </w:tc>
      </w:tr>
      <w:tr>
        <w:trPr>
          <w:trHeight w:val="216"/>
        </w:trPr>
        <w:tc>
          <w:tcPr>
            <w:tcW w:w="102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Inc., as borrowers, the Initial Lenders named therein, JP Morgan Chase Bank, N.A., as administrative agent, J.P. Morgan Securities Inc. and</w:t>
            </w:r>
          </w:p>
        </w:tc>
      </w:tr>
      <w:tr>
        <w:trPr>
          <w:trHeight w:val="216"/>
        </w:trPr>
        <w:tc>
          <w:tcPr>
            <w:tcW w:w="1020" w:type="dxa"/>
            <w:vAlign w:val="bottom"/>
          </w:tcPr>
          <w:p>
            <w:pPr>
              <w:spacing w:after="0"/>
              <w:rPr>
                <w:sz w:val="18"/>
                <w:szCs w:val="18"/>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of America Securities LLC., as joint lead arrangers and joint bookrunners, Bank of America, N. A. and Wachovia Bank, N. A., as</w:t>
            </w:r>
          </w:p>
        </w:tc>
      </w:tr>
      <w:tr>
        <w:trPr>
          <w:trHeight w:val="228"/>
        </w:trPr>
        <w:tc>
          <w:tcPr>
            <w:tcW w:w="102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syndication agents, and SunTrust Bank and The Royal Bank of Scotland, plc, as Documentation Agents.</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the Chief Executive Officer of Scholastic Corporation filed pursuant to Section 302 of the Sarbanes-Oxley Act of 2002.</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the Chief Financial Officer of Scholastic Corporation filed pursuant to Section 302 of the Sarbanes-Oxley Act of 2002.</w:t>
            </w:r>
          </w:p>
        </w:tc>
      </w:tr>
    </w:tbl>
    <w:p>
      <w:pPr>
        <w:spacing w:after="0" w:line="136" w:lineRule="exact"/>
        <w:rPr>
          <w:sz w:val="20"/>
          <w:szCs w:val="20"/>
          <w:color w:val="auto"/>
        </w:rPr>
      </w:pPr>
    </w:p>
    <w:p>
      <w:pPr>
        <w:ind w:left="1380" w:right="20" w:hanging="1372"/>
        <w:spacing w:after="0" w:line="275"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of Scholastic Corporation furnished pursuant to Section 906 of the Sarbanes-Oxley Act of 2002.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XBRL Taxonomy Extension Calculation Document</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XBRL Taxonomy Extension Definitions Document</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Labels Document</w:t>
            </w:r>
          </w:p>
        </w:tc>
      </w:tr>
      <w:tr>
        <w:trPr>
          <w:trHeight w:val="3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XBRL Taxonomy Extension Presentation Document</w:t>
            </w:r>
          </w:p>
        </w:tc>
      </w:tr>
    </w:tbl>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758"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SCHOLASTIC CORPORATION</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145" w:lineRule="exact"/>
        <w:rPr>
          <w:sz w:val="20"/>
          <w:szCs w:val="20"/>
          <w:color w:val="auto"/>
        </w:rPr>
      </w:pPr>
    </w:p>
    <w:p>
      <w:pPr>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March 29,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33445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Robinson</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94" w:lineRule="exact"/>
        <w:rPr>
          <w:sz w:val="20"/>
          <w:szCs w:val="20"/>
          <w:color w:val="auto"/>
        </w:rPr>
      </w:pPr>
    </w:p>
    <w:p>
      <w:pPr>
        <w:spacing w:after="0"/>
        <w:tabs>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 March 29,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33445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Maureen O’Connell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758"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REPORT ON FORM 10-Q, DATED FEBRUARY 28,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10"/>
        </w:trPr>
        <w:tc>
          <w:tcPr>
            <w:tcW w:w="1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7440" w:type="dxa"/>
            <w:vAlign w:val="bottom"/>
          </w:tcPr>
          <w:p>
            <w:pPr>
              <w:spacing w:after="0"/>
              <w:rPr>
                <w:sz w:val="9"/>
                <w:szCs w:val="9"/>
                <w:color w:val="auto"/>
              </w:rPr>
            </w:pPr>
          </w:p>
        </w:tc>
      </w:tr>
      <w:tr>
        <w:trPr>
          <w:trHeight w:val="4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Amendment No. 3, dated as of December 5, 2012, to the Credit Agreement, dated as of June 1, 2007, among the Corporation and</w:t>
            </w:r>
          </w:p>
        </w:tc>
      </w:tr>
      <w:tr>
        <w:trPr>
          <w:trHeight w:val="216"/>
        </w:trPr>
        <w:tc>
          <w:tcPr>
            <w:tcW w:w="1520" w:type="dxa"/>
            <w:vAlign w:val="bottom"/>
          </w:tcPr>
          <w:p>
            <w:pPr>
              <w:spacing w:after="0"/>
              <w:rPr>
                <w:sz w:val="18"/>
                <w:szCs w:val="18"/>
                <w:color w:val="auto"/>
              </w:rPr>
            </w:pP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Scholastic Inc., as borrowers, the Initial Lenders named therein, JP Morgan Chase Bank, N.A., as administrative agent, J.P. Morgan</w:t>
            </w:r>
          </w:p>
        </w:tc>
      </w:tr>
      <w:tr>
        <w:trPr>
          <w:trHeight w:val="216"/>
        </w:trPr>
        <w:tc>
          <w:tcPr>
            <w:tcW w:w="1520" w:type="dxa"/>
            <w:vAlign w:val="bottom"/>
          </w:tcPr>
          <w:p>
            <w:pPr>
              <w:spacing w:after="0"/>
              <w:rPr>
                <w:sz w:val="18"/>
                <w:szCs w:val="18"/>
                <w:color w:val="auto"/>
              </w:rPr>
            </w:pP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Securities Inc. and Bank of America Securities LLC., as joint lead arrangers and joint bookrunners, Bank of America, N. A. and</w:t>
            </w:r>
          </w:p>
        </w:tc>
      </w:tr>
      <w:tr>
        <w:trPr>
          <w:trHeight w:val="228"/>
        </w:trPr>
        <w:tc>
          <w:tcPr>
            <w:tcW w:w="1520" w:type="dxa"/>
            <w:vAlign w:val="bottom"/>
          </w:tcPr>
          <w:p>
            <w:pPr>
              <w:spacing w:after="0"/>
              <w:rPr>
                <w:sz w:val="19"/>
                <w:szCs w:val="19"/>
                <w:color w:val="auto"/>
              </w:rPr>
            </w:pP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Wachovia Bank, N. A., as syndication agents, and SunTrust Bank and The Royal Bank of Scotland, plc, as Documentation Agents.</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Certification of the Chief Executive Officer of Scholastic Corporation filed pursuant to Section 302 of the Sarbanes-Oxley Act of 2002.</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Certification of the Chief Financial Officer of Scholastic Corporation filed pursuant to Section 302 of the Sarbanes-Oxley Act of 2002.</w:t>
            </w:r>
          </w:p>
        </w:tc>
      </w:tr>
      <w:tr>
        <w:trPr>
          <w:trHeight w:val="35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Certifications of the Chief Executive Officer and Chief Financial Officer of Scholastic Corporation furnished pursuant to Section 906 of</w:t>
            </w:r>
          </w:p>
        </w:tc>
      </w:tr>
      <w:tr>
        <w:trPr>
          <w:trHeight w:val="228"/>
        </w:trPr>
        <w:tc>
          <w:tcPr>
            <w:tcW w:w="1520" w:type="dxa"/>
            <w:vAlign w:val="bottom"/>
          </w:tcPr>
          <w:p>
            <w:pPr>
              <w:spacing w:after="0"/>
              <w:rPr>
                <w:sz w:val="19"/>
                <w:szCs w:val="19"/>
                <w:color w:val="auto"/>
              </w:rPr>
            </w:pP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 *</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Document *</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Definitions Document *</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Labels Document *</w:t>
            </w:r>
          </w:p>
        </w:tc>
      </w:tr>
      <w:tr>
        <w:trPr>
          <w:trHeight w:val="36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Document *</w:t>
            </w:r>
          </w:p>
        </w:tc>
      </w:tr>
    </w:tbl>
    <w:p>
      <w:pPr>
        <w:spacing w:after="0" w:line="204" w:lineRule="exact"/>
        <w:rPr>
          <w:sz w:val="20"/>
          <w:szCs w:val="20"/>
          <w:color w:val="auto"/>
        </w:rPr>
      </w:pPr>
    </w:p>
    <w:p>
      <w:pPr>
        <w:ind w:right="60" w:firstLine="8"/>
        <w:spacing w:after="0" w:line="275" w:lineRule="auto"/>
        <w:tabs>
          <w:tab w:leader="none" w:pos="1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S-T, the XBRL-related information in Exhibit 101 to this Quarterly Report on Form 10-Q shall be deemed to be “furnished” and not “filed.”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8" w:right="2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December 5, 2012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1, 2007</w:t>
      </w:r>
    </w:p>
    <w:p>
      <w:pPr>
        <w:spacing w:after="0" w:line="225" w:lineRule="exact"/>
        <w:rPr>
          <w:sz w:val="20"/>
          <w:szCs w:val="20"/>
          <w:color w:val="auto"/>
        </w:rPr>
      </w:pPr>
    </w:p>
    <w:p>
      <w:pPr>
        <w:jc w:val="both"/>
        <w:ind w:firstLine="1066"/>
        <w:spacing w:after="0" w:line="255"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December 5, 2012 by and among Scholastic Corporation (the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Scholastic Inc. (the “</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the Holding Company and the Operating Company are,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financial institutions listed on the signature pages hereof and JPMorgan Chase Bank, N.A.,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under that certain Credit Agreement dated as of June 1, 2007 and as amended to date by and among the Borrowers, the financial institutions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Agent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 otherwise defined herein shall have the respective meanings given to them in the Credit Agreement.</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WHEREAS, the Borrowers, the Lenders party hereto and the Agent have agreed to amend the Credit Agreement on the terms and conditions set forth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13" w:lineRule="exact"/>
        <w:rPr>
          <w:sz w:val="20"/>
          <w:szCs w:val="20"/>
          <w:color w:val="auto"/>
        </w:rPr>
      </w:pPr>
    </w:p>
    <w:p>
      <w:pPr>
        <w:jc w:val="both"/>
        <w:ind w:firstLine="1134"/>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Agent have agreed to the following amendments to the Credit Agreement.</w:t>
      </w:r>
    </w:p>
    <w:p>
      <w:pPr>
        <w:spacing w:after="0" w:line="186" w:lineRule="exact"/>
        <w:rPr>
          <w:sz w:val="20"/>
          <w:szCs w:val="20"/>
          <w:color w:val="auto"/>
        </w:rPr>
      </w:pPr>
    </w:p>
    <w:p>
      <w:pPr>
        <w:ind w:firstLine="1336"/>
        <w:spacing w:after="0" w:line="275" w:lineRule="auto"/>
        <w:tabs>
          <w:tab w:leader="none" w:pos="152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xml:space="preserve">. Effective as of the date of satisfaction of the conditions precedent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the Credit Agreement is hereby amended as follows:</w:t>
      </w:r>
    </w:p>
    <w:p>
      <w:pPr>
        <w:spacing w:after="0" w:line="173" w:lineRule="exact"/>
        <w:rPr>
          <w:rFonts w:ascii="Times New Roman" w:cs="Times New Roman" w:eastAsia="Times New Roman" w:hAnsi="Times New Roman"/>
          <w:sz w:val="18"/>
          <w:szCs w:val="18"/>
          <w:color w:val="auto"/>
        </w:rPr>
      </w:pPr>
    </w:p>
    <w:p>
      <w:pPr>
        <w:jc w:val="both"/>
        <w:ind w:firstLine="967"/>
        <w:spacing w:after="0" w:line="293" w:lineRule="auto"/>
        <w:tabs>
          <w:tab w:leader="none" w:pos="1202"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Branch Banking &amp; Trust Company, Capital One, National Association, HSBC Bank USA, National Association and HSBC Bank plc are hereby designated as the documentation agents, Bank of America, N.A. and Wells Fargo Bank, National Association shall continue as syndication agents and Fifth Third Bank is hereby designated as a syndication agent, in each case for the credit facility evidenced by the Credit Agreement. Accordingly, the cover page of the Credit Agreement and the introductory paragraph to the Credit Agreement are hereby amended to (i) delete the references to SunTrust Bank and The Royal Bank of Scotland plc as documentation agents and to replace such references with Branch Banking &amp; Trust Company, Capital One, National Association, HSBC Bank USA, National Association and HSBC Bank plc as documentation agents and (ii) add a reference to Fifth Third Bank as a syndication agent.</w:t>
      </w:r>
    </w:p>
    <w:p>
      <w:pPr>
        <w:spacing w:after="0" w:line="164" w:lineRule="exact"/>
        <w:rPr>
          <w:rFonts w:ascii="Times New Roman" w:cs="Times New Roman" w:eastAsia="Times New Roman" w:hAnsi="Times New Roman"/>
          <w:sz w:val="16"/>
          <w:szCs w:val="16"/>
          <w:color w:val="auto"/>
        </w:rPr>
      </w:pPr>
    </w:p>
    <w:p>
      <w:pPr>
        <w:ind w:left="1140" w:hanging="25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to insert the following definitions in the appropriate alphabetical order:</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Effective Date</w:t>
      </w:r>
      <w:r>
        <w:rPr>
          <w:rFonts w:ascii="Times New Roman" w:cs="Times New Roman" w:eastAsia="Times New Roman" w:hAnsi="Times New Roman"/>
          <w:sz w:val="18"/>
          <w:szCs w:val="18"/>
          <w:color w:val="auto"/>
        </w:rPr>
        <w:t>” means December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5" w:name="page46"/>
    <w:bookmarkEnd w:id="45"/>
    <w:p>
      <w:pPr>
        <w:jc w:val="both"/>
        <w:ind w:left="920" w:firstLine="58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6" w:lineRule="exact"/>
        <w:rPr>
          <w:sz w:val="20"/>
          <w:szCs w:val="20"/>
          <w:color w:val="auto"/>
        </w:rPr>
      </w:pPr>
    </w:p>
    <w:p>
      <w:pPr>
        <w:jc w:val="both"/>
        <w:ind w:firstLine="1254"/>
        <w:spacing w:after="0" w:line="262" w:lineRule="auto"/>
        <w:tabs>
          <w:tab w:leader="none" w:pos="14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Revolving Credit Commitments are hereby increased to $425,000,000. The definition of “Revolving Credit Commitment” appearing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to delete the final sentence thereof and to replace such sentence with the following sentence:</w:t>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“On the Amendment No. 3 Effective Date, the aggregate Revolving Credit Commitments of the Lenders is $425,000,000.”</w:t>
      </w:r>
    </w:p>
    <w:p>
      <w:pPr>
        <w:spacing w:after="0" w:line="225" w:lineRule="exact"/>
        <w:rPr>
          <w:sz w:val="20"/>
          <w:szCs w:val="20"/>
          <w:color w:val="auto"/>
        </w:rPr>
      </w:pPr>
    </w:p>
    <w:p>
      <w:pPr>
        <w:ind w:firstLine="1031"/>
        <w:spacing w:after="0" w:line="275" w:lineRule="auto"/>
        <w:tabs>
          <w:tab w:leader="none" w:pos="1275"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“Termination Date” appearing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to delete the reference to “June 1, 2014” appearing therein and replace it with a reference to “December 5, 2017”.</w:t>
      </w:r>
    </w:p>
    <w:p>
      <w:pPr>
        <w:spacing w:after="0" w:line="173" w:lineRule="exact"/>
        <w:rPr>
          <w:rFonts w:ascii="Times New Roman" w:cs="Times New Roman" w:eastAsia="Times New Roman" w:hAnsi="Times New Roman"/>
          <w:sz w:val="18"/>
          <w:szCs w:val="18"/>
          <w:color w:val="auto"/>
        </w:rPr>
      </w:pPr>
    </w:p>
    <w:p>
      <w:pPr>
        <w:jc w:val="both"/>
        <w:ind w:firstLine="1002"/>
        <w:spacing w:after="0" w:line="256" w:lineRule="auto"/>
        <w:tabs>
          <w:tab w:leader="none" w:pos="1238"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Credit Agreement is hereby amended to insert the phrase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immediately before the period appearing at the end of the last sentence thereof.</w:t>
      </w:r>
    </w:p>
    <w:p>
      <w:pPr>
        <w:spacing w:after="0" w:line="192" w:lineRule="exact"/>
        <w:rPr>
          <w:rFonts w:ascii="Times New Roman" w:cs="Times New Roman" w:eastAsia="Times New Roman" w:hAnsi="Times New Roman"/>
          <w:sz w:val="18"/>
          <w:szCs w:val="18"/>
          <w:color w:val="auto"/>
        </w:rPr>
      </w:pPr>
    </w:p>
    <w:p>
      <w:pPr>
        <w:jc w:val="both"/>
        <w:ind w:firstLine="886"/>
        <w:spacing w:after="0" w:line="310" w:lineRule="auto"/>
        <w:tabs>
          <w:tab w:leader="none" w:pos="109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of the Credit Agreement is hereby amended to (x) insert the parenthetical “(which term, solely for purposes of this Section 2.11(a), includes the Agent)” immediately after the words “there shall be any increase in the cost to any Lender” appearing therein and (y) insert the parenthetical “(or, with respect to changes in tax law, Advances)” immediately after the reference to “Eurodollar Rate Advances or LIBO Rate Advances” appearing therein.</w:t>
      </w:r>
    </w:p>
    <w:p>
      <w:pPr>
        <w:spacing w:after="0" w:line="151" w:lineRule="exact"/>
        <w:rPr>
          <w:rFonts w:ascii="Times New Roman" w:cs="Times New Roman" w:eastAsia="Times New Roman" w:hAnsi="Times New Roman"/>
          <w:sz w:val="16"/>
          <w:szCs w:val="16"/>
          <w:color w:val="auto"/>
        </w:rPr>
      </w:pPr>
    </w:p>
    <w:p>
      <w:pPr>
        <w:jc w:val="both"/>
        <w:ind w:firstLine="1002"/>
        <w:spacing w:after="0" w:line="258" w:lineRule="auto"/>
        <w:tabs>
          <w:tab w:leader="none" w:pos="124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of the Credit Agreement is hereby amended to (x) insert a reference to “assessments, fees,” immediately after each reference to “taxes, levies, imposts, deductions,” appearing therein, (y) insert a reference to “(i)” immediately after the reference to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in the case of each Lender and the Agent,” appearing therein and (z) insert the phrase “, and (ii) any U.S. federal withholding taxes imposed by FATCA” immediately after the reference to “by the jurisdiction of such Lender’s Applicable Lending Office or any political subdivision thereof” appearing therein.</w:t>
      </w:r>
    </w:p>
    <w:p>
      <w:pPr>
        <w:spacing w:after="0" w:line="190" w:lineRule="exact"/>
        <w:rPr>
          <w:rFonts w:ascii="Times New Roman" w:cs="Times New Roman" w:eastAsia="Times New Roman" w:hAnsi="Times New Roman"/>
          <w:sz w:val="18"/>
          <w:szCs w:val="18"/>
          <w:color w:val="auto"/>
        </w:rPr>
      </w:pPr>
    </w:p>
    <w:p>
      <w:pPr>
        <w:ind w:right="20" w:firstLine="924"/>
        <w:spacing w:after="0" w:line="275" w:lineRule="auto"/>
        <w:tabs>
          <w:tab w:leader="none" w:pos="11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of the Credit Agreement is hereby amended to delete the word “form” appearing after the words “resulting in exemption” therein and replace such word with the word “from”.</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 is hereby amended to insert the following as a new clause (h) thereof:</w:t>
      </w:r>
    </w:p>
    <w:p>
      <w:pPr>
        <w:spacing w:after="0" w:line="239" w:lineRule="exact"/>
        <w:rPr>
          <w:sz w:val="20"/>
          <w:szCs w:val="20"/>
          <w:color w:val="auto"/>
        </w:rPr>
      </w:pPr>
    </w:p>
    <w:p>
      <w:pPr>
        <w:jc w:val="both"/>
        <w:ind w:left="920" w:firstLine="1019"/>
        <w:spacing w:after="0" w:line="258" w:lineRule="auto"/>
        <w:rPr>
          <w:sz w:val="20"/>
          <w:szCs w:val="20"/>
          <w:color w:val="auto"/>
        </w:rPr>
      </w:pPr>
      <w:r>
        <w:rPr>
          <w:rFonts w:ascii="Times New Roman" w:cs="Times New Roman" w:eastAsia="Times New Roman" w:hAnsi="Times New Roman"/>
          <w:sz w:val="18"/>
          <w:szCs w:val="18"/>
          <w:color w:val="auto"/>
        </w:rPr>
        <w:t>“(h) Each Lender shall severally indemnify the Agent for any taxes, duties, levies, imposts, deductions, assessments, fees, charges or withholdings, and any and all liabilities with respect to the foregoing (but, in the case of any Taxes or Other Taxes, only to the extent that the Borrowers have not already indemnified the Agent for such Taxes or Other Taxes and without limiting the obligation of the Borrowers to do so) attributable to such Lender that are paid or payable by the Agent in connection with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6" w:name="page47"/>
    <w:bookmarkEnd w:id="46"/>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Agreement or any Note and any reasonable expenses arising therefrom or with respect thereto, whether or not such amounts were correctly or legally imposed or asserted by the relevant governmental authority. The indemnity under this Section 2.14(h) shall be paid within 30 days after the Agent delivers to the applicable Lender a certificate stating the amount so paid or payable by the Agent. Such certificate shall be conclusive of the amount so paid or payable absent manifest error.”</w:t>
      </w:r>
    </w:p>
    <w:p>
      <w:pPr>
        <w:spacing w:after="0" w:line="190" w:lineRule="exact"/>
        <w:rPr>
          <w:sz w:val="20"/>
          <w:szCs w:val="20"/>
          <w:color w:val="auto"/>
        </w:rPr>
      </w:pPr>
    </w:p>
    <w:p>
      <w:pPr>
        <w:ind w:right="20" w:firstLine="1092"/>
        <w:spacing w:after="0" w:line="275" w:lineRule="auto"/>
        <w:tabs>
          <w:tab w:leader="none" w:pos="13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of the Credit Agreement is hereby amended to delete the reference to “$475,000,000” appearing therein and replace it with a reference to “$575,000,000”.</w:t>
      </w:r>
    </w:p>
    <w:p>
      <w:pPr>
        <w:spacing w:after="0" w:line="173" w:lineRule="exact"/>
        <w:rPr>
          <w:rFonts w:ascii="Times New Roman" w:cs="Times New Roman" w:eastAsia="Times New Roman" w:hAnsi="Times New Roman"/>
          <w:sz w:val="18"/>
          <w:szCs w:val="18"/>
          <w:color w:val="auto"/>
        </w:rPr>
      </w:pPr>
    </w:p>
    <w:p>
      <w:pPr>
        <w:jc w:val="both"/>
        <w:ind w:firstLine="1002"/>
        <w:spacing w:after="0" w:line="262" w:lineRule="auto"/>
        <w:tabs>
          <w:tab w:leader="none" w:pos="12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of the Credit Agreement is hereby amended to (x) insert a reference to “(A)” immediately after the reference to “(i)” appearing therein and (y) insert the phrase “and (B) sales, transfers and dispositions of assets by either Borrower or any Subsidiary to any other Borrower or Subsidiary” immediately before the comma appearing at the end of clause (i) thereof.</w:t>
      </w:r>
    </w:p>
    <w:p>
      <w:pPr>
        <w:spacing w:after="0" w:line="186" w:lineRule="exact"/>
        <w:rPr>
          <w:rFonts w:ascii="Times New Roman" w:cs="Times New Roman" w:eastAsia="Times New Roman" w:hAnsi="Times New Roman"/>
          <w:sz w:val="18"/>
          <w:szCs w:val="18"/>
          <w:color w:val="auto"/>
        </w:rPr>
      </w:pPr>
    </w:p>
    <w:p>
      <w:pPr>
        <w:ind w:right="20" w:firstLine="924"/>
        <w:spacing w:after="0" w:line="275" w:lineRule="auto"/>
        <w:tabs>
          <w:tab w:leader="none" w:pos="11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5.02(e)</w:t>
      </w:r>
      <w:r>
        <w:rPr>
          <w:rFonts w:ascii="Times New Roman" w:cs="Times New Roman" w:eastAsia="Times New Roman" w:hAnsi="Times New Roman"/>
          <w:sz w:val="18"/>
          <w:szCs w:val="18"/>
          <w:color w:val="auto"/>
        </w:rPr>
        <w:t xml:space="preserve"> of the Credit Agreement is hereby amended to delete the reference to “during the remaining term of this Agreement” appearing in clause (iv) thereof and replace it with a reference to “at such time”.</w:t>
      </w:r>
    </w:p>
    <w:p>
      <w:pPr>
        <w:spacing w:after="0" w:line="173" w:lineRule="exact"/>
        <w:rPr>
          <w:rFonts w:ascii="Times New Roman" w:cs="Times New Roman" w:eastAsia="Times New Roman" w:hAnsi="Times New Roman"/>
          <w:sz w:val="18"/>
          <w:szCs w:val="18"/>
          <w:color w:val="auto"/>
        </w:rPr>
      </w:pPr>
    </w:p>
    <w:p>
      <w:pPr>
        <w:jc w:val="both"/>
        <w:ind w:firstLine="1117"/>
        <w:spacing w:after="0" w:line="262" w:lineRule="auto"/>
        <w:tabs>
          <w:tab w:leader="none" w:pos="1418"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of the Credit Agreement is hereby amended to (x) insert a reference to “(i)” immediately after the reference to “other than” appearing therein and (y) insert the phrase “and (ii) transactions between or among the Borrowers and their wholly-owned Subsidiaries not involving any other Affiliate” immediately before the period appearing at the end thereof.</w:t>
      </w:r>
    </w:p>
    <w:p>
      <w:pPr>
        <w:spacing w:after="0" w:line="186" w:lineRule="exact"/>
        <w:rPr>
          <w:sz w:val="20"/>
          <w:szCs w:val="20"/>
          <w:color w:val="auto"/>
        </w:rPr>
      </w:pPr>
    </w:p>
    <w:p>
      <w:pPr>
        <w:ind w:left="1140" w:hanging="254"/>
        <w:spacing w:after="0"/>
        <w:tabs>
          <w:tab w:leader="none" w:pos="11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Commitment Schedule to the Credit Agreement is hereby replaced in its entirety with the Commitment Schedule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w:t>
      </w:r>
    </w:p>
    <w:p>
      <w:pPr>
        <w:spacing w:after="0" w:line="248"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Departing Lenders</w:t>
      </w:r>
      <w:r>
        <w:rPr>
          <w:rFonts w:ascii="Times New Roman" w:cs="Times New Roman" w:eastAsia="Times New Roman" w:hAnsi="Times New Roman"/>
          <w:sz w:val="18"/>
          <w:szCs w:val="18"/>
          <w:color w:val="auto"/>
        </w:rPr>
        <w:t>. The parties hereto hereby acknowledge and agree that:</w:t>
      </w:r>
    </w:p>
    <w:p>
      <w:pPr>
        <w:spacing w:after="0" w:line="225" w:lineRule="exact"/>
        <w:rPr>
          <w:rFonts w:ascii="Times New Roman" w:cs="Times New Roman" w:eastAsia="Times New Roman" w:hAnsi="Times New Roman"/>
          <w:sz w:val="16"/>
          <w:szCs w:val="16"/>
          <w:color w:val="auto"/>
        </w:rPr>
      </w:pPr>
    </w:p>
    <w:p>
      <w:pPr>
        <w:jc w:val="both"/>
        <w:ind w:firstLine="1110"/>
        <w:spacing w:after="0" w:line="287" w:lineRule="auto"/>
        <w:tabs>
          <w:tab w:leader="none" w:pos="1352" w:val="left"/>
        </w:tabs>
        <w:numPr>
          <w:ilvl w:val="3"/>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Deutsche Bank AG New York Branch and TD Bank, N.A. (each a “</w:t>
      </w:r>
      <w:r>
        <w:rPr>
          <w:rFonts w:ascii="Times New Roman" w:cs="Times New Roman" w:eastAsia="Times New Roman" w:hAnsi="Times New Roman"/>
          <w:sz w:val="16"/>
          <w:szCs w:val="16"/>
          <w:u w:val="single" w:color="auto"/>
          <w:color w:val="auto"/>
        </w:rPr>
        <w:t>Departing Lender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Departing Lenders</w:t>
      </w:r>
      <w:r>
        <w:rPr>
          <w:rFonts w:ascii="Times New Roman" w:cs="Times New Roman" w:eastAsia="Times New Roman" w:hAnsi="Times New Roman"/>
          <w:sz w:val="16"/>
          <w:szCs w:val="16"/>
          <w:color w:val="auto"/>
        </w:rPr>
        <w:t>”) is entering into this Amendment solely to evidence its exit from the Credit Agreement and shall have absolutely no obligation hereunder. Upon the effectiveness hereof and the payment described in Section 2(c)(iii), each Departing Lender shall no longer (i) constitute a “Lender” for all purposes under the Loan Documents,</w:t>
      </w:r>
    </w:p>
    <w:p>
      <w:pPr>
        <w:ind w:firstLine="8"/>
        <w:spacing w:after="0" w:line="261"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the Credit Agreement and (iii) have any obligations under any of the Loan Documents, in each case, without further action required on the part of any Person; and</w:t>
      </w:r>
    </w:p>
    <w:p>
      <w:pPr>
        <w:spacing w:after="0" w:line="185" w:lineRule="exact"/>
        <w:rPr>
          <w:rFonts w:ascii="Times New Roman" w:cs="Times New Roman" w:eastAsia="Times New Roman" w:hAnsi="Times New Roman"/>
          <w:sz w:val="18"/>
          <w:szCs w:val="18"/>
          <w:color w:val="auto"/>
        </w:rPr>
      </w:pPr>
    </w:p>
    <w:p>
      <w:pPr>
        <w:jc w:val="both"/>
        <w:ind w:firstLine="949"/>
        <w:spacing w:after="0" w:line="254" w:lineRule="auto"/>
        <w:tabs>
          <w:tab w:leader="none" w:pos="1192"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hereof: (i) the Agent shall be entitled to make such reallocations, sales, assignments or other relevant actions in respect of each Lender’s Credit Exposure, if any, under the Credit Agreement as it deems necessary to reflect the rights and obligations of the Lenders (including the Departing Lenders), (ii) each Departing Lender’s “Commitment” under the Credit Agreement shall be terminated, (iii) each Departing Lender shall have received payment in full in immediately available funds of all of its Advances, all interest thereon and all other amounts payable to it under the Credit Agreement, (iv) each Departing Lender shall not be a Lender hereunder as evidenced by its execution and delivery of its signature page hereto and (v) the defined term “Lenders” in the Credit Agreement shall exclude the Departing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described in Section 8.04(d) of the Credit Agreement, each Departing Lender shall continue to have the benefit of Sections 2.11, 2.14 and 8.04 of the Credit Agreement.</w:t>
      </w:r>
    </w:p>
    <w:p>
      <w:pPr>
        <w:spacing w:after="0" w:line="195" w:lineRule="exact"/>
        <w:rPr>
          <w:sz w:val="20"/>
          <w:szCs w:val="20"/>
          <w:color w:val="auto"/>
        </w:rPr>
      </w:pPr>
    </w:p>
    <w:p>
      <w:pPr>
        <w:ind w:firstLine="937"/>
        <w:spacing w:after="0" w:line="275" w:lineRule="auto"/>
        <w:tabs>
          <w:tab w:leader="none" w:pos="11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Effectiveness</w:t>
      </w:r>
      <w:r>
        <w:rPr>
          <w:rFonts w:ascii="Times New Roman" w:cs="Times New Roman" w:eastAsia="Times New Roman" w:hAnsi="Times New Roman"/>
          <w:sz w:val="18"/>
          <w:szCs w:val="18"/>
          <w:color w:val="auto"/>
        </w:rPr>
        <w:t>. The effectiveness of this Amendment is subject to the conditions precedent that (A) the Agent shall have received (i) counterparts of this Amendment duly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executed by the Borrowers, the Lenders (including the Departing Lenders) and the Agent, (ii) from the Borrowers, for the account of each Lender (other than any Departing Lender) that executes and delivers its counterpart hereto as and by such time as is requested by the Agent, an amendment fee in an amount equal to 0.30% of the sum of such Lender’s Revolving Credit Commitment as of the date hereof, and (iii) from the Borrowers, payment and/or reimbursement of the Agent’s and its affiliates’ fees and reasonable out-of-pocket expenses (including reasonable legal fees and expenses) in connection with this Amendment and (B) each Departing Lender shall have received the payment owing to it as described in </w:t>
      </w:r>
      <w:r>
        <w:rPr>
          <w:rFonts w:ascii="Times New Roman" w:cs="Times New Roman" w:eastAsia="Times New Roman" w:hAnsi="Times New Roman"/>
          <w:sz w:val="18"/>
          <w:szCs w:val="18"/>
          <w:u w:val="single" w:color="auto"/>
          <w:color w:val="auto"/>
        </w:rPr>
        <w:t>Section 2(c)(iii)</w:t>
      </w:r>
      <w:r>
        <w:rPr>
          <w:rFonts w:ascii="Times New Roman" w:cs="Times New Roman" w:eastAsia="Times New Roman" w:hAnsi="Times New Roman"/>
          <w:sz w:val="18"/>
          <w:szCs w:val="18"/>
          <w:color w:val="auto"/>
        </w:rPr>
        <w:t xml:space="preserve"> above.</w:t>
      </w:r>
    </w:p>
    <w:p>
      <w:pPr>
        <w:spacing w:after="0" w:line="193" w:lineRule="exact"/>
        <w:rPr>
          <w:sz w:val="20"/>
          <w:szCs w:val="20"/>
          <w:color w:val="auto"/>
        </w:rPr>
      </w:pPr>
    </w:p>
    <w:p>
      <w:pPr>
        <w:ind w:left="1060" w:hanging="17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Borrowers</w:t>
      </w:r>
      <w:r>
        <w:rPr>
          <w:rFonts w:ascii="Times New Roman" w:cs="Times New Roman" w:eastAsia="Times New Roman" w:hAnsi="Times New Roman"/>
          <w:sz w:val="18"/>
          <w:szCs w:val="18"/>
          <w:color w:val="auto"/>
        </w:rPr>
        <w:t>. Each Borrower hereby represents and warrants as follows:</w:t>
      </w:r>
    </w:p>
    <w:p>
      <w:pPr>
        <w:spacing w:after="0" w:line="225" w:lineRule="exact"/>
        <w:rPr>
          <w:rFonts w:ascii="Times New Roman" w:cs="Times New Roman" w:eastAsia="Times New Roman" w:hAnsi="Times New Roman"/>
          <w:sz w:val="18"/>
          <w:szCs w:val="18"/>
          <w:color w:val="auto"/>
        </w:rPr>
      </w:pPr>
    </w:p>
    <w:p>
      <w:pPr>
        <w:jc w:val="both"/>
        <w:ind w:firstLine="1251"/>
        <w:spacing w:after="0" w:line="262" w:lineRule="auto"/>
        <w:tabs>
          <w:tab w:leader="none" w:pos="1496" w:val="left"/>
        </w:tabs>
        <w:numPr>
          <w:ilvl w:val="5"/>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Credit Agreement as amended hereby constitute legal, valid and binding obligations of such Borrower and are enforceable against such Borrower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rFonts w:ascii="Times New Roman" w:cs="Times New Roman" w:eastAsia="Times New Roman" w:hAnsi="Times New Roman"/>
          <w:sz w:val="18"/>
          <w:szCs w:val="18"/>
          <w:color w:val="auto"/>
        </w:rPr>
      </w:pPr>
    </w:p>
    <w:p>
      <w:pPr>
        <w:jc w:val="both"/>
        <w:ind w:right="20" w:firstLine="1078"/>
        <w:spacing w:after="0" w:line="258" w:lineRule="auto"/>
        <w:tabs>
          <w:tab w:leader="none" w:pos="1318"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and giving effect to the terms of this Amendment, (i) there exists no Default and (ii) the representations and warranties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 Credit Agreement (excluding the representation and warranty contained in </w:t>
      </w:r>
      <w:r>
        <w:rPr>
          <w:rFonts w:ascii="Times New Roman" w:cs="Times New Roman" w:eastAsia="Times New Roman" w:hAnsi="Times New Roman"/>
          <w:sz w:val="18"/>
          <w:szCs w:val="18"/>
          <w:u w:val="single" w:color="auto"/>
          <w:color w:val="auto"/>
        </w:rPr>
        <w:t>Section 4.01(f)(ii)</w:t>
      </w:r>
      <w:r>
        <w:rPr>
          <w:rFonts w:ascii="Times New Roman" w:cs="Times New Roman" w:eastAsia="Times New Roman" w:hAnsi="Times New Roman"/>
          <w:sz w:val="18"/>
          <w:szCs w:val="18"/>
          <w:color w:val="auto"/>
        </w:rPr>
        <w:t xml:space="preserve">), as amended hereby, are true and correct;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Lenders hereby acknowledge that an updated list of all Subsidiaries of each of the Borrowers (referenced in </w:t>
      </w:r>
      <w:r>
        <w:rPr>
          <w:rFonts w:ascii="Times New Roman" w:cs="Times New Roman" w:eastAsia="Times New Roman" w:hAnsi="Times New Roman"/>
          <w:sz w:val="18"/>
          <w:szCs w:val="18"/>
          <w:u w:val="single" w:color="auto"/>
          <w:color w:val="auto"/>
        </w:rPr>
        <w:t>Section 4.01(i)</w:t>
      </w:r>
      <w:r>
        <w:rPr>
          <w:rFonts w:ascii="Times New Roman" w:cs="Times New Roman" w:eastAsia="Times New Roman" w:hAnsi="Times New Roman"/>
          <w:sz w:val="18"/>
          <w:szCs w:val="18"/>
          <w:color w:val="auto"/>
        </w:rPr>
        <w:t xml:space="preserve"> of the Credit Agreement) was provided to the Lenders on December 3, 2012.</w:t>
      </w:r>
    </w:p>
    <w:p>
      <w:pPr>
        <w:spacing w:after="0" w:line="1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and Effect on the Credit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29"/>
        <w:spacing w:after="0" w:line="275" w:lineRule="auto"/>
        <w:tabs>
          <w:tab w:leader="none" w:pos="11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hereof, each reference to the Credit Agreement in the Credit Agreement or any other Loan Document shall mean and be a reference to the Credit Agreement as amended hereby.</w:t>
      </w:r>
    </w:p>
    <w:p>
      <w:pPr>
        <w:spacing w:after="0" w:line="173" w:lineRule="exact"/>
        <w:rPr>
          <w:rFonts w:ascii="Times New Roman" w:cs="Times New Roman" w:eastAsia="Times New Roman" w:hAnsi="Times New Roman"/>
          <w:sz w:val="18"/>
          <w:szCs w:val="18"/>
          <w:color w:val="auto"/>
        </w:rPr>
      </w:pPr>
    </w:p>
    <w:p>
      <w:pPr>
        <w:ind w:firstLine="983"/>
        <w:spacing w:after="0" w:line="275" w:lineRule="auto"/>
        <w:tabs>
          <w:tab w:leader="none" w:pos="122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73" w:lineRule="exact"/>
        <w:rPr>
          <w:rFonts w:ascii="Times New Roman" w:cs="Times New Roman" w:eastAsia="Times New Roman" w:hAnsi="Times New Roman"/>
          <w:sz w:val="18"/>
          <w:szCs w:val="18"/>
          <w:color w:val="auto"/>
        </w:rPr>
      </w:pPr>
    </w:p>
    <w:p>
      <w:pPr>
        <w:jc w:val="both"/>
        <w:ind w:firstLine="1072"/>
        <w:spacing w:after="0" w:line="262" w:lineRule="auto"/>
        <w:tabs>
          <w:tab w:leader="none" w:pos="1309"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the Agent or the Lenders, nor constitute a waiver of any provision of the Credit Agreement or any other documents, instruments and agreements executed and/or delivered in connection therewith.</w:t>
      </w:r>
    </w:p>
    <w:p>
      <w:pPr>
        <w:spacing w:after="0" w:line="18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firstLine="1182"/>
        <w:spacing w:after="0" w:line="275" w:lineRule="auto"/>
        <w:tabs>
          <w:tab w:leader="none" w:pos="1364"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both"/>
        <w:ind w:left="-20" w:firstLine="1092"/>
        <w:spacing w:after="0" w:line="262"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49" w:name="page50"/>
    <w:bookmarkEnd w:id="49"/>
    <w:p>
      <w:pPr>
        <w:ind w:firstLine="974"/>
        <w:spacing w:after="0" w:line="275" w:lineRule="auto"/>
        <w:rPr>
          <w:sz w:val="20"/>
          <w:szCs w:val="20"/>
          <w:color w:val="auto"/>
        </w:rPr>
      </w:pPr>
      <w:r>
        <w:rPr>
          <w:rFonts w:ascii="Times New Roman" w:cs="Times New Roman" w:eastAsia="Times New Roman" w:hAnsi="Times New Roman"/>
          <w:sz w:val="18"/>
          <w:szCs w:val="18"/>
          <w:color w:val="auto"/>
        </w:rPr>
        <w:t>IN WITNESS WHEREOF, this the parties hereto have caused this Amendment to be duly executed by their respective authorized officers as of the day and year first above written.</w:t>
      </w: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SCHOLASTIC CORPORATION,</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Borrower</w:t>
      </w:r>
    </w:p>
    <w:p>
      <w:pPr>
        <w:spacing w:after="0" w:line="145"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83820</wp:posOffset>
            </wp:positionV>
            <wp:extent cx="23152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Gil A. Dickoff</w:t>
      </w:r>
    </w:p>
    <w:p>
      <w:pPr>
        <w:spacing w:after="0" w:line="21"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 and Treasurer</w:t>
      </w:r>
    </w:p>
    <w:p>
      <w:pPr>
        <w:spacing w:after="0" w:line="1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SCHOLASTIC INC.,</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a Borrower</w:t>
      </w:r>
    </w:p>
    <w:p>
      <w:pPr>
        <w:spacing w:after="0" w:line="145"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A. Dickoff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83820</wp:posOffset>
            </wp:positionV>
            <wp:extent cx="23152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Gil A. Dickoff</w:t>
      </w:r>
    </w:p>
    <w:p>
      <w:pPr>
        <w:spacing w:after="0" w:line="21"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 and Treasurer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Scholastic Corporation and Scholastic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left="44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individually as a Lender, as an Issuing Bank, as</w:t>
      </w:r>
    </w:p>
    <w:p>
      <w:pPr>
        <w:spacing w:after="0" w:line="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Swingline Lender and as Agent</w:t>
      </w:r>
    </w:p>
    <w:p>
      <w:pPr>
        <w:spacing w:after="0" w:line="145"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Devin Roccisano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Devin Roccisano</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1" w:name="page52"/>
    <w:bookmarkEnd w:id="51"/>
    <w:p>
      <w:pPr>
        <w:ind w:left="4460"/>
        <w:spacing w:after="0"/>
        <w:rPr>
          <w:sz w:val="20"/>
          <w:szCs w:val="20"/>
          <w:color w:val="auto"/>
        </w:rPr>
      </w:pPr>
      <w:r>
        <w:rPr>
          <w:rFonts w:ascii="Times New Roman" w:cs="Times New Roman" w:eastAsia="Times New Roman" w:hAnsi="Times New Roman"/>
          <w:sz w:val="16"/>
          <w:szCs w:val="16"/>
          <w:color w:val="auto"/>
        </w:rPr>
        <w:t>BANK OF AMERICA, N.A., individually as a Lender</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and as an Issuing Bank</w:t>
      </w:r>
    </w:p>
    <w:p>
      <w:pPr>
        <w:spacing w:after="0" w:line="145"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Jana 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Jana L. Baker</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2" w:name="page53"/>
    <w:bookmarkEnd w:id="52"/>
    <w:p>
      <w:pPr>
        <w:ind w:left="4460"/>
        <w:spacing w:after="0"/>
        <w:rPr>
          <w:sz w:val="20"/>
          <w:szCs w:val="20"/>
          <w:color w:val="auto"/>
        </w:rPr>
      </w:pPr>
      <w:r>
        <w:rPr>
          <w:rFonts w:ascii="Times New Roman" w:cs="Times New Roman" w:eastAsia="Times New Roman" w:hAnsi="Times New Roman"/>
          <w:sz w:val="16"/>
          <w:szCs w:val="16"/>
          <w:color w:val="auto"/>
        </w:rPr>
        <w:t>BRANCH BANKING &amp; TRUST COMPANY</w:t>
      </w:r>
    </w:p>
    <w:p>
      <w:pPr>
        <w:spacing w:after="0" w:line="18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C.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Anne C. Grady</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3" w:name="page54"/>
    <w:bookmarkEnd w:id="53"/>
    <w:p>
      <w:pPr>
        <w:ind w:left="4460"/>
        <w:spacing w:after="0"/>
        <w:rPr>
          <w:sz w:val="20"/>
          <w:szCs w:val="20"/>
          <w:color w:val="auto"/>
        </w:rPr>
      </w:pPr>
      <w:r>
        <w:rPr>
          <w:rFonts w:ascii="Times New Roman" w:cs="Times New Roman" w:eastAsia="Times New Roman" w:hAnsi="Times New Roman"/>
          <w:sz w:val="16"/>
          <w:szCs w:val="16"/>
          <w:color w:val="auto"/>
        </w:rPr>
        <w:t>WELLS FARGO BANK, NATIONAL ASSOCIATION</w:t>
      </w:r>
    </w:p>
    <w:p>
      <w:pPr>
        <w:spacing w:after="0" w:line="18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A. DeMilt,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William A. DeMilt, Jr.</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4" w:name="page55"/>
    <w:bookmarkEnd w:id="54"/>
    <w:p>
      <w:pPr>
        <w:ind w:left="4460"/>
        <w:spacing w:after="0"/>
        <w:rPr>
          <w:sz w:val="20"/>
          <w:szCs w:val="20"/>
          <w:color w:val="auto"/>
        </w:rPr>
      </w:pPr>
      <w:r>
        <w:rPr>
          <w:rFonts w:ascii="Times New Roman" w:cs="Times New Roman" w:eastAsia="Times New Roman" w:hAnsi="Times New Roman"/>
          <w:sz w:val="18"/>
          <w:szCs w:val="18"/>
          <w:color w:val="auto"/>
        </w:rPr>
        <w:t>COMMERCE BANK</w:t>
      </w:r>
    </w:p>
    <w:p>
      <w:pPr>
        <w:spacing w:after="0" w:line="158"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McCaddon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Joe McCaddon</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5" w:name="page56"/>
    <w:bookmarkEnd w:id="55"/>
    <w:p>
      <w:pPr>
        <w:ind w:left="4460"/>
        <w:spacing w:after="0"/>
        <w:rPr>
          <w:sz w:val="20"/>
          <w:szCs w:val="20"/>
          <w:color w:val="auto"/>
        </w:rPr>
      </w:pPr>
      <w:r>
        <w:rPr>
          <w:rFonts w:ascii="Times New Roman" w:cs="Times New Roman" w:eastAsia="Times New Roman" w:hAnsi="Times New Roman"/>
          <w:sz w:val="16"/>
          <w:szCs w:val="16"/>
          <w:color w:val="auto"/>
        </w:rPr>
        <w:t>HSBC BANK USA, NATIONAL ASSOCIATION</w:t>
      </w:r>
    </w:p>
    <w:p>
      <w:pPr>
        <w:spacing w:after="0" w:line="18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Robert H. Rogers</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Relationship Manager</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6" w:name="page57"/>
    <w:bookmarkEnd w:id="56"/>
    <w:p>
      <w:pPr>
        <w:ind w:left="4460"/>
        <w:spacing w:after="0"/>
        <w:rPr>
          <w:sz w:val="20"/>
          <w:szCs w:val="20"/>
          <w:color w:val="auto"/>
        </w:rPr>
      </w:pPr>
      <w:r>
        <w:rPr>
          <w:rFonts w:ascii="Times New Roman" w:cs="Times New Roman" w:eastAsia="Times New Roman" w:hAnsi="Times New Roman"/>
          <w:sz w:val="16"/>
          <w:szCs w:val="16"/>
          <w:color w:val="auto"/>
        </w:rPr>
        <w:t>THE GOVERNOR AND COMPANY OF THE BANK</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OF IRELAND</w:t>
      </w:r>
    </w:p>
    <w:p>
      <w:pPr>
        <w:spacing w:after="0" w:line="145"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Padraig Rushe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Padraig Rushe</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Authorised Signatory</w:t>
      </w:r>
    </w:p>
    <w:p>
      <w:pPr>
        <w:spacing w:after="0" w:line="253"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Wendy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Wendy Hobson</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Authorised Signatory</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7" w:name="page58"/>
    <w:bookmarkEnd w:id="57"/>
    <w:p>
      <w:pPr>
        <w:ind w:left="4460"/>
        <w:spacing w:after="0"/>
        <w:rPr>
          <w:sz w:val="20"/>
          <w:szCs w:val="20"/>
          <w:color w:val="auto"/>
        </w:rPr>
      </w:pPr>
      <w:r>
        <w:rPr>
          <w:rFonts w:ascii="Times New Roman" w:cs="Times New Roman" w:eastAsia="Times New Roman" w:hAnsi="Times New Roman"/>
          <w:sz w:val="16"/>
          <w:szCs w:val="16"/>
          <w:color w:val="auto"/>
        </w:rPr>
        <w:t>THE BANK OF NEW YORK MELLON</w:t>
      </w:r>
    </w:p>
    <w:p>
      <w:pPr>
        <w:spacing w:after="0" w:line="18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J. Tarasovich,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Thomas J. Tarasovich, Jr.</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8" w:name="page59"/>
    <w:bookmarkEnd w:id="58"/>
    <w:p>
      <w:pPr>
        <w:ind w:left="4460"/>
        <w:spacing w:after="0"/>
        <w:rPr>
          <w:sz w:val="20"/>
          <w:szCs w:val="20"/>
          <w:color w:val="auto"/>
        </w:rPr>
      </w:pPr>
      <w:r>
        <w:rPr>
          <w:rFonts w:ascii="Times New Roman" w:cs="Times New Roman" w:eastAsia="Times New Roman" w:hAnsi="Times New Roman"/>
          <w:sz w:val="16"/>
          <w:szCs w:val="16"/>
          <w:color w:val="auto"/>
        </w:rPr>
        <w:t>CAPITAL ONE, NATIONAL ASSOCIATION</w:t>
      </w:r>
    </w:p>
    <w:p>
      <w:pPr>
        <w:spacing w:after="0" w:line="18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Priti Capoor-Savage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Priti Capoor-Savage</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9" w:name="page60"/>
    <w:bookmarkEnd w:id="59"/>
    <w:p>
      <w:pPr>
        <w:ind w:left="4460"/>
        <w:spacing w:after="0"/>
        <w:rPr>
          <w:sz w:val="20"/>
          <w:szCs w:val="20"/>
          <w:color w:val="auto"/>
        </w:rPr>
      </w:pPr>
      <w:r>
        <w:rPr>
          <w:rFonts w:ascii="Times New Roman" w:cs="Times New Roman" w:eastAsia="Times New Roman" w:hAnsi="Times New Roman"/>
          <w:sz w:val="18"/>
          <w:szCs w:val="18"/>
          <w:color w:val="auto"/>
        </w:rPr>
        <w:t>FIFTH THIRD BANK</w:t>
      </w:r>
    </w:p>
    <w:p>
      <w:pPr>
        <w:spacing w:after="0" w:line="158"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Jordan Fragiacomo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98425</wp:posOffset>
            </wp:positionV>
            <wp:extent cx="23152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Jordan Fragiacomo</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Scholastic Corporation and Scholastic Inc.</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60" w:name="page61"/>
    <w:bookmarkEnd w:id="60"/>
    <w:p>
      <w:pPr>
        <w:ind w:left="4460"/>
        <w:spacing w:after="0"/>
        <w:rPr>
          <w:sz w:val="20"/>
          <w:szCs w:val="20"/>
          <w:color w:val="auto"/>
        </w:rPr>
      </w:pPr>
      <w:r>
        <w:rPr>
          <w:rFonts w:ascii="Times New Roman" w:cs="Times New Roman" w:eastAsia="Times New Roman" w:hAnsi="Times New Roman"/>
          <w:sz w:val="18"/>
          <w:szCs w:val="18"/>
          <w:color w:val="auto"/>
        </w:rPr>
        <w:t>HSBC BANK plc</w:t>
      </w:r>
    </w:p>
    <w:p>
      <w:pPr>
        <w:spacing w:after="0" w:line="158"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Mark Harris</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Head of Midlands Corporate Banking Centre</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61" w:name="page62"/>
    <w:bookmarkEnd w:id="61"/>
    <w:p>
      <w:pPr>
        <w:ind w:left="4460"/>
        <w:spacing w:after="0" w:line="262" w:lineRule="auto"/>
        <w:rPr>
          <w:sz w:val="20"/>
          <w:szCs w:val="20"/>
          <w:color w:val="auto"/>
        </w:rPr>
      </w:pPr>
      <w:r>
        <w:rPr>
          <w:rFonts w:ascii="Times New Roman" w:cs="Times New Roman" w:eastAsia="Times New Roman" w:hAnsi="Times New Roman"/>
          <w:sz w:val="18"/>
          <w:szCs w:val="18"/>
          <w:color w:val="auto"/>
        </w:rPr>
        <w:t>The undersigned Departing Lender hereby acknowledges and agrees that, from and after the Amendment Effective Date, it is no longer a party to the Credit Agreement</w:t>
      </w:r>
    </w:p>
    <w:p>
      <w:pPr>
        <w:spacing w:after="0" w:line="1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158"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Yvonne Tilden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Yvonne Tilden</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53"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Andreas Neumeier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Andreas Neumeier</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1440" w:top="382" w:right="439" w:bottom="1440" w:gutter="0" w:footer="0" w:header="0"/>
        </w:sectPr>
      </w:pPr>
    </w:p>
    <w:bookmarkStart w:id="62" w:name="page63"/>
    <w:bookmarkEnd w:id="62"/>
    <w:p>
      <w:pPr>
        <w:ind w:left="4460"/>
        <w:spacing w:after="0" w:line="262" w:lineRule="auto"/>
        <w:rPr>
          <w:sz w:val="20"/>
          <w:szCs w:val="20"/>
          <w:color w:val="auto"/>
        </w:rPr>
      </w:pPr>
      <w:r>
        <w:rPr>
          <w:rFonts w:ascii="Times New Roman" w:cs="Times New Roman" w:eastAsia="Times New Roman" w:hAnsi="Times New Roman"/>
          <w:sz w:val="18"/>
          <w:szCs w:val="18"/>
          <w:color w:val="auto"/>
        </w:rPr>
        <w:t>The undersigned Departing Lender hereby acknowledges and agrees that, from and after the Amendment Effective Date, it is no longer a party to the Credit Agreement</w:t>
      </w:r>
    </w:p>
    <w:p>
      <w:pPr>
        <w:spacing w:after="0" w:line="1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TD BANK, N.A.</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Shivani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83820</wp:posOffset>
            </wp:positionV>
            <wp:extent cx="23152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Shivani Agarwal</w:t>
      </w:r>
    </w:p>
    <w:p>
      <w:pPr>
        <w:spacing w:after="0" w:line="21"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Scholastic Corporation and Scholastic Inc.</w:t>
      </w:r>
    </w:p>
    <w:p>
      <w:pPr>
        <w:spacing w:after="0" w:line="3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Credit Agreement dated as of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156845</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1440" w:top="382"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800" w:type="dxa"/>
            <w:vAlign w:val="bottom"/>
            <w:gridSpan w:val="3"/>
          </w:tcPr>
          <w:p>
            <w:pPr>
              <w:jc w:val="center"/>
              <w:ind w:right="2972"/>
              <w:spacing w:after="0"/>
              <w:rPr>
                <w:sz w:val="20"/>
                <w:szCs w:val="20"/>
                <w:color w:val="auto"/>
              </w:rPr>
            </w:pPr>
            <w:r>
              <w:rPr>
                <w:rFonts w:ascii="Times New Roman" w:cs="Times New Roman" w:eastAsia="Times New Roman" w:hAnsi="Times New Roman"/>
                <w:sz w:val="18"/>
                <w:szCs w:val="18"/>
                <w:b w:val="1"/>
                <w:bCs w:val="1"/>
                <w:color w:val="auto"/>
                <w:w w:val="97"/>
              </w:rPr>
              <w:t>Annex A</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00" w:type="dxa"/>
            <w:vAlign w:val="bottom"/>
            <w:gridSpan w:val="3"/>
          </w:tcPr>
          <w:p>
            <w:pPr>
              <w:jc w:val="center"/>
              <w:ind w:right="2952"/>
              <w:spacing w:after="0"/>
              <w:rPr>
                <w:sz w:val="20"/>
                <w:szCs w:val="20"/>
                <w:color w:val="auto"/>
              </w:rPr>
            </w:pPr>
            <w:r>
              <w:rPr>
                <w:rFonts w:ascii="Times New Roman" w:cs="Times New Roman" w:eastAsia="Times New Roman" w:hAnsi="Times New Roman"/>
                <w:sz w:val="18"/>
                <w:szCs w:val="18"/>
                <w:color w:val="auto"/>
                <w:w w:val="97"/>
              </w:rPr>
              <w:t>COMMITMENTS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Initial Lender</w:t>
            </w: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580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68,750,000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Fifth Third Bank</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42,500,000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Branch Banking &amp; Trust Company</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42,500,000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National Association</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HSBC Bank USA, National Association</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33,500,000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Commerce Bank</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The Governor and Company of the Bank of Ireland</w:t>
            </w:r>
          </w:p>
        </w:tc>
        <w:tc>
          <w:tcPr>
            <w:tcW w:w="5800" w:type="dxa"/>
            <w:vAlign w:val="bottom"/>
            <w:gridSpan w:val="3"/>
            <w:shd w:val="clear" w:color="auto" w:fill="E5FFFF"/>
          </w:tcPr>
          <w:p>
            <w:pPr>
              <w:ind w:left="5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0" w:type="dxa"/>
            <w:vAlign w:val="bottom"/>
            <w:gridSpan w:val="3"/>
          </w:tcPr>
          <w:p>
            <w:pPr>
              <w:ind w:left="54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425,000,000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5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3" w:right="1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Scholastic Corporation;</w:t>
      </w:r>
    </w:p>
    <w:p>
      <w:pPr>
        <w:spacing w:after="0" w:line="157" w:lineRule="exact"/>
        <w:rPr>
          <w:rFonts w:ascii="Times New Roman" w:cs="Times New Roman" w:eastAsia="Times New Roman" w:hAnsi="Times New Roman"/>
          <w:sz w:val="18"/>
          <w:szCs w:val="18"/>
          <w:color w:val="auto"/>
        </w:rPr>
      </w:pPr>
    </w:p>
    <w:p>
      <w:pPr>
        <w:jc w:val="both"/>
        <w:ind w:left="920" w:right="280" w:hanging="453"/>
        <w:spacing w:after="0" w:line="262"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8"/>
          <w:szCs w:val="18"/>
          <w:color w:val="auto"/>
        </w:rPr>
      </w:pPr>
    </w:p>
    <w:p>
      <w:pPr>
        <w:ind w:left="920" w:right="240" w:hanging="453"/>
        <w:spacing w:after="0" w:line="275"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left="920" w:right="280" w:hanging="453"/>
        <w:spacing w:after="0" w:line="262"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Times New Roman" w:cs="Times New Roman" w:eastAsia="Times New Roman" w:hAnsi="Times New Roman"/>
          <w:sz w:val="18"/>
          <w:szCs w:val="18"/>
          <w:color w:val="auto"/>
        </w:rPr>
      </w:pPr>
    </w:p>
    <w:p>
      <w:pPr>
        <w:ind w:left="1380" w:right="80" w:hanging="454"/>
        <w:spacing w:after="0" w:line="262" w:lineRule="auto"/>
        <w:tabs>
          <w:tab w:leader="none" w:pos="13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80" w:right="380" w:hanging="454"/>
        <w:spacing w:after="0" w:line="262" w:lineRule="auto"/>
        <w:tabs>
          <w:tab w:leader="none" w:pos="13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380" w:right="540" w:hanging="454"/>
        <w:spacing w:after="0" w:line="339" w:lineRule="auto"/>
        <w:tabs>
          <w:tab w:leader="none" w:pos="13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6"/>
          <w:szCs w:val="16"/>
          <w:color w:val="auto"/>
        </w:rPr>
      </w:pPr>
    </w:p>
    <w:p>
      <w:pPr>
        <w:ind w:left="1380" w:right="60" w:hanging="454"/>
        <w:spacing w:after="0" w:line="262" w:lineRule="auto"/>
        <w:tabs>
          <w:tab w:leader="none" w:pos="13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920" w:right="180" w:hanging="453"/>
        <w:spacing w:after="0" w:line="275"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rFonts w:ascii="Times New Roman" w:cs="Times New Roman" w:eastAsia="Times New Roman" w:hAnsi="Times New Roman"/>
          <w:sz w:val="18"/>
          <w:szCs w:val="18"/>
          <w:color w:val="auto"/>
        </w:rPr>
      </w:pPr>
    </w:p>
    <w:p>
      <w:pPr>
        <w:ind w:left="1380" w:right="780" w:hanging="454"/>
        <w:spacing w:after="0" w:line="339" w:lineRule="auto"/>
        <w:tabs>
          <w:tab w:leader="none" w:pos="13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6"/>
          <w:szCs w:val="16"/>
          <w:color w:val="auto"/>
        </w:rPr>
      </w:pPr>
    </w:p>
    <w:p>
      <w:pPr>
        <w:ind w:left="1380" w:right="480" w:hanging="454"/>
        <w:spacing w:after="0" w:line="275" w:lineRule="auto"/>
        <w:tabs>
          <w:tab w:leader="none" w:pos="13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177800</wp:posOffset>
            </wp:positionV>
            <wp:extent cx="12522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6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Richard Robinson</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Scholastic Corporation;</w:t>
      </w:r>
    </w:p>
    <w:p>
      <w:pPr>
        <w:spacing w:after="0" w:line="157" w:lineRule="exact"/>
        <w:rPr>
          <w:rFonts w:ascii="Times New Roman" w:cs="Times New Roman" w:eastAsia="Times New Roman" w:hAnsi="Times New Roman"/>
          <w:sz w:val="18"/>
          <w:szCs w:val="18"/>
          <w:color w:val="auto"/>
        </w:rPr>
      </w:pPr>
    </w:p>
    <w:p>
      <w:pPr>
        <w:jc w:val="both"/>
        <w:ind w:left="920" w:right="280" w:hanging="453"/>
        <w:spacing w:after="0" w:line="262"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Times New Roman" w:cs="Times New Roman" w:eastAsia="Times New Roman" w:hAnsi="Times New Roman"/>
          <w:sz w:val="18"/>
          <w:szCs w:val="18"/>
          <w:color w:val="auto"/>
        </w:rPr>
      </w:pPr>
    </w:p>
    <w:p>
      <w:pPr>
        <w:ind w:left="920" w:right="240" w:hanging="453"/>
        <w:spacing w:after="0" w:line="275"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left="920" w:right="320" w:hanging="453"/>
        <w:spacing w:after="0" w:line="262"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18" w:lineRule="exact"/>
        <w:rPr>
          <w:rFonts w:ascii="Times New Roman" w:cs="Times New Roman" w:eastAsia="Times New Roman" w:hAnsi="Times New Roman"/>
          <w:sz w:val="18"/>
          <w:szCs w:val="18"/>
          <w:color w:val="auto"/>
        </w:rPr>
      </w:pPr>
    </w:p>
    <w:p>
      <w:pPr>
        <w:ind w:left="1380" w:right="80" w:hanging="454"/>
        <w:spacing w:after="0" w:line="262" w:lineRule="auto"/>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80" w:right="380" w:hanging="454"/>
        <w:spacing w:after="0" w:line="262" w:lineRule="auto"/>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380" w:right="540" w:hanging="454"/>
        <w:spacing w:after="0" w:line="339" w:lineRule="auto"/>
        <w:tabs>
          <w:tab w:leader="none" w:pos="13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6"/>
          <w:szCs w:val="16"/>
          <w:color w:val="auto"/>
        </w:rPr>
      </w:pPr>
    </w:p>
    <w:p>
      <w:pPr>
        <w:ind w:left="1380" w:right="60" w:hanging="454"/>
        <w:spacing w:after="0" w:line="262" w:lineRule="auto"/>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920" w:right="180" w:hanging="453"/>
        <w:spacing w:after="0" w:line="275" w:lineRule="auto"/>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rFonts w:ascii="Times New Roman" w:cs="Times New Roman" w:eastAsia="Times New Roman" w:hAnsi="Times New Roman"/>
          <w:sz w:val="18"/>
          <w:szCs w:val="18"/>
          <w:color w:val="auto"/>
        </w:rPr>
      </w:pPr>
    </w:p>
    <w:p>
      <w:pPr>
        <w:ind w:left="1380" w:right="780" w:hanging="454"/>
        <w:spacing w:after="0" w:line="339" w:lineRule="auto"/>
        <w:tabs>
          <w:tab w:leader="none" w:pos="13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6"/>
          <w:szCs w:val="16"/>
          <w:color w:val="auto"/>
        </w:rPr>
      </w:pPr>
    </w:p>
    <w:p>
      <w:pPr>
        <w:ind w:left="1380" w:right="480" w:hanging="454"/>
        <w:spacing w:after="0" w:line="275" w:lineRule="auto"/>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2013</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177800</wp:posOffset>
            </wp:positionV>
            <wp:extent cx="11061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Maureen O’Connell</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Scholastic Corporation</w:t>
      </w:r>
    </w:p>
    <w:p>
      <w:pPr>
        <w:spacing w:after="0" w:line="213" w:lineRule="exact"/>
        <w:rPr>
          <w:sz w:val="20"/>
          <w:szCs w:val="20"/>
          <w:color w:val="auto"/>
        </w:rPr>
      </w:pPr>
    </w:p>
    <w:p>
      <w:pPr>
        <w:ind w:right="60" w:firstLine="439"/>
        <w:spacing w:after="0" w:line="33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42" w:lineRule="exact"/>
        <w:rPr>
          <w:sz w:val="20"/>
          <w:szCs w:val="20"/>
          <w:color w:val="auto"/>
        </w:rPr>
      </w:pPr>
    </w:p>
    <w:p>
      <w:pPr>
        <w:ind w:left="1380" w:right="760" w:hanging="454"/>
        <w:spacing w:after="0" w:line="275"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February 28, 2013 (the “Form 10-Q”) fully complies with the requirements of Section 13(a) or 15(d) of the Securities Exchange Act of 1934, as amended; and</w:t>
      </w:r>
    </w:p>
    <w:p>
      <w:pPr>
        <w:spacing w:after="0" w:line="106" w:lineRule="exact"/>
        <w:rPr>
          <w:rFonts w:ascii="Times New Roman" w:cs="Times New Roman" w:eastAsia="Times New Roman" w:hAnsi="Times New Roman"/>
          <w:sz w:val="18"/>
          <w:szCs w:val="18"/>
          <w:color w:val="auto"/>
        </w:rPr>
      </w:pPr>
    </w:p>
    <w:p>
      <w:pPr>
        <w:ind w:left="1380" w:right="600" w:hanging="454"/>
        <w:spacing w:after="0" w:line="275"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2013</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/s/Richard Robinson</w:t>
            </w:r>
          </w:p>
        </w:tc>
      </w:tr>
      <w:tr>
        <w:trPr>
          <w:trHeight w:val="259"/>
        </w:trPr>
        <w:tc>
          <w:tcPr>
            <w:tcW w:w="6740" w:type="dxa"/>
            <w:vAlign w:val="bottom"/>
          </w:tcPr>
          <w:p>
            <w:pPr>
              <w:spacing w:after="0"/>
              <w:rPr>
                <w:sz w:val="22"/>
                <w:szCs w:val="22"/>
                <w:color w:val="auto"/>
              </w:rPr>
            </w:pPr>
          </w:p>
        </w:tc>
        <w:tc>
          <w:tcPr>
            <w:tcW w:w="2380" w:type="dxa"/>
            <w:vAlign w:val="bottom"/>
            <w:tcBorders>
              <w:bottom w:val="single" w:sz="8" w:color="808080"/>
            </w:tcBorders>
          </w:tcPr>
          <w:p>
            <w:pPr>
              <w:spacing w:after="0"/>
              <w:rPr>
                <w:sz w:val="22"/>
                <w:szCs w:val="22"/>
                <w:color w:val="auto"/>
              </w:rPr>
            </w:pPr>
          </w:p>
        </w:tc>
      </w:tr>
      <w:tr>
        <w:trPr>
          <w:trHeight w:val="303"/>
        </w:trPr>
        <w:tc>
          <w:tcPr>
            <w:tcW w:w="67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Richard Robinson</w:t>
            </w:r>
          </w:p>
        </w:tc>
      </w:tr>
      <w:tr>
        <w:trPr>
          <w:trHeight w:val="228"/>
        </w:trPr>
        <w:tc>
          <w:tcPr>
            <w:tcW w:w="67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2013</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/s/Maureen O’Connell</w:t>
            </w:r>
          </w:p>
        </w:tc>
      </w:tr>
      <w:tr>
        <w:trPr>
          <w:trHeight w:val="259"/>
        </w:trPr>
        <w:tc>
          <w:tcPr>
            <w:tcW w:w="6740" w:type="dxa"/>
            <w:vAlign w:val="bottom"/>
          </w:tcPr>
          <w:p>
            <w:pPr>
              <w:spacing w:after="0"/>
              <w:rPr>
                <w:sz w:val="22"/>
                <w:szCs w:val="22"/>
                <w:color w:val="auto"/>
              </w:rPr>
            </w:pPr>
          </w:p>
        </w:tc>
        <w:tc>
          <w:tcPr>
            <w:tcW w:w="2380" w:type="dxa"/>
            <w:vAlign w:val="bottom"/>
            <w:tcBorders>
              <w:bottom w:val="single" w:sz="8" w:color="808080"/>
            </w:tcBorders>
          </w:tcPr>
          <w:p>
            <w:pPr>
              <w:spacing w:after="0"/>
              <w:rPr>
                <w:sz w:val="22"/>
                <w:szCs w:val="22"/>
                <w:color w:val="auto"/>
              </w:rPr>
            </w:pPr>
          </w:p>
        </w:tc>
      </w:tr>
      <w:tr>
        <w:trPr>
          <w:trHeight w:val="303"/>
        </w:trPr>
        <w:tc>
          <w:tcPr>
            <w:tcW w:w="67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Maureen O’Connell</w:t>
            </w:r>
          </w:p>
        </w:tc>
      </w:tr>
      <w:tr>
        <w:trPr>
          <w:trHeight w:val="228"/>
        </w:trPr>
        <w:tc>
          <w:tcPr>
            <w:tcW w:w="67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637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
      <w:numFmt w:val="bullet"/>
      <w:start w:val="1"/>
    </w:lvl>
    <w:lvl w:ilvl="1">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lvl w:ilvl="1">
      <w:lvlJc w:val="left"/>
      <w:lvlText w:val="o"/>
      <w:numFmt w:val="bullet"/>
      <w:start w:val="1"/>
    </w:lvl>
  </w:abstractNum>
  <w:abstractNum w:abstractNumId="9">
    <w:nsid w:val="189A769B"/>
    <w:multiLevelType w:val="hybridMultilevel"/>
    <w:lvl w:ilvl="0">
      <w:lvlJc w:val="left"/>
      <w:lvlText w:val="%1."/>
      <w:numFmt w:val="decimal"/>
      <w:start w:val="13"/>
    </w:lvl>
    <w:lvl w:ilvl="1">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1"/>
      <w:numFmt w:val="decimal"/>
      <w:start w:val="32"/>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4">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5">
    <w:nsid w:val="419AC241"/>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6">
    <w:nsid w:val="5577F8E1"/>
    <w:multiLevelType w:val="hybridMultilevel"/>
    <w:lvl w:ilvl="0">
      <w:lvlJc w:val="left"/>
      <w:lvlText w:val="(%1)"/>
      <w:numFmt w:val="lowerLetter"/>
      <w:start w:val="3"/>
    </w:lvl>
  </w:abstractNum>
  <w:abstractNum w:abstractNumId="27">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28">
    <w:nsid w:val="50723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9">
    <w:nsid w:val="3804823E"/>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lvl w:ilvl="3">
      <w:lvlJc w:val="left"/>
      <w:lvlText w:val="%4"/>
      <w:numFmt w:val="lowerLetter"/>
      <w:start w:val="1"/>
    </w:lvl>
  </w:abstractNum>
  <w:abstractNum w:abstractNumId="30">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lvl w:ilvl="3">
      <w:lvlJc w:val="left"/>
      <w:lvlText w:val="%4"/>
      <w:numFmt w:val="lowerLetter"/>
      <w:start w:val="1"/>
    </w:lvl>
  </w:abstractNum>
  <w:abstractNum w:abstractNumId="31">
    <w:nsid w:val="7724C67E"/>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Letter"/>
      <w:start w:val="1"/>
    </w:lvl>
  </w:abstractNum>
  <w:abstractNum w:abstractNumId="32">
    <w:nsid w:val="5C482A97"/>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33">
    <w:nsid w:val="2463B9EA"/>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lvl w:ilvl="3">
      <w:lvlJc w:val="left"/>
      <w:lvlText w:val="(%4)"/>
      <w:numFmt w:val="lowerLetter"/>
      <w:start w:val="1"/>
    </w:lvl>
  </w:abstractNum>
  <w:abstractNum w:abstractNumId="34">
    <w:nsid w:val="5E884ADC"/>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decimal"/>
      <w:start w:val="1"/>
    </w:lvl>
    <w:lvl w:ilvl="5">
      <w:lvlJc w:val="left"/>
      <w:lvlText w:val="(%6)"/>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decimal"/>
      <w:start w:val="1"/>
    </w:lvl>
    <w:lvl w:ilvl="5">
      <w:lvlJc w:val="left"/>
      <w:lvlText w:val="%6"/>
      <w:numFmt w:val="lowerLetter"/>
      <w:start w:val="1"/>
    </w:lvl>
  </w:abstractNum>
  <w:abstractNum w:abstractNumId="38">
    <w:nsid w:val="153EA43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7"/>
    </w:lvl>
    <w:lvl w:ilvl="5">
      <w:lvlJc w:val="left"/>
      <w:lvlText w:val="%6"/>
      <w:numFmt w:val="lowerLetter"/>
      <w:start w:val="1"/>
    </w:lvl>
  </w:abstractNum>
  <w:abstractNum w:abstractNumId="39">
    <w:nsid w:val="3855585C"/>
    <w:multiLevelType w:val="hybridMultilevel"/>
    <w:lvl w:ilvl="0">
      <w:lvlJc w:val="left"/>
      <w:lvlText w:val="%1."/>
      <w:numFmt w:val="decimal"/>
      <w:start w:val="8"/>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2019-12-06T04:34:50Z</dcterms:created>
  <dcterms:modified xsi:type="dcterms:W3CDTF">2019-12-06T04:34:50Z</dcterms:modified>
</cp:coreProperties>
</file>