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2910205</wp:posOffset>
            </wp:positionH>
            <wp:positionV relativeFrom="page">
              <wp:posOffset>157480</wp:posOffset>
            </wp:positionV>
            <wp:extent cx="1741170" cy="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41170" cy="222885"/>
                    </a:xfrm>
                    <a:prstGeom prst="rect">
                      <a:avLst/>
                    </a:prstGeom>
                    <a:noFill/>
                  </pic:spPr>
                </pic:pic>
              </a:graphicData>
            </a:graphic>
          </wp:anchor>
        </w:drawing>
        <w:t>UNITED STATES</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3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20"/>
                <w:szCs w:val="20"/>
                <w:color w:val="auto"/>
              </w:rPr>
            </w:pPr>
            <w:r>
              <w:rPr>
                <w:rFonts w:ascii="Arial" w:cs="Arial" w:eastAsia="Arial" w:hAnsi="Arial"/>
                <w:sz w:val="18"/>
                <w:szCs w:val="18"/>
                <w:color w:val="auto"/>
                <w:w w:val="95"/>
              </w:rPr>
              <w:t>For the quarterly period ended August 31, 2010</w:t>
            </w:r>
          </w:p>
        </w:tc>
        <w:tc>
          <w:tcPr>
            <w:tcW w:w="7300" w:type="dxa"/>
            <w:vAlign w:val="bottom"/>
          </w:tcPr>
          <w:p>
            <w:pPr>
              <w:ind w:left="3240"/>
              <w:spacing w:after="0"/>
              <w:rPr>
                <w:sz w:val="20"/>
                <w:szCs w:val="20"/>
                <w:color w:val="auto"/>
              </w:rPr>
            </w:pPr>
            <w:r>
              <w:rPr>
                <w:rFonts w:ascii="Arial" w:cs="Arial" w:eastAsia="Arial" w:hAnsi="Arial"/>
                <w:sz w:val="18"/>
                <w:szCs w:val="18"/>
                <w:color w:val="auto"/>
              </w:rPr>
              <w:t>Commission File No. 000-19860</w:t>
            </w:r>
          </w:p>
        </w:tc>
      </w:tr>
      <w:tr>
        <w:trPr>
          <w:trHeight w:val="426"/>
        </w:trPr>
        <w:tc>
          <w:tcPr>
            <w:tcW w:w="3620" w:type="dxa"/>
            <w:vAlign w:val="bottom"/>
          </w:tcPr>
          <w:p>
            <w:pPr>
              <w:spacing w:after="0"/>
              <w:rPr>
                <w:sz w:val="24"/>
                <w:szCs w:val="24"/>
                <w:color w:val="auto"/>
              </w:rPr>
            </w:pPr>
          </w:p>
        </w:tc>
        <w:tc>
          <w:tcPr>
            <w:tcW w:w="7300" w:type="dxa"/>
            <w:vAlign w:val="bottom"/>
          </w:tcPr>
          <w:p>
            <w:pPr>
              <w:jc w:val="center"/>
              <w:ind w:right="3012"/>
              <w:spacing w:after="0"/>
              <w:rPr>
                <w:sz w:val="20"/>
                <w:szCs w:val="20"/>
                <w:color w:val="auto"/>
              </w:rPr>
            </w:pPr>
            <w:r>
              <w:rPr>
                <w:rFonts w:ascii="Arial" w:cs="Arial" w:eastAsia="Arial" w:hAnsi="Arial"/>
                <w:sz w:val="18"/>
                <w:szCs w:val="18"/>
                <w:b w:val="1"/>
                <w:bCs w:val="1"/>
                <w:color w:val="auto"/>
                <w:w w:val="98"/>
              </w:rPr>
              <w:t>SCHOLASTIC CORPORATION</w:t>
            </w:r>
          </w:p>
        </w:tc>
      </w:tr>
      <w:tr>
        <w:trPr>
          <w:trHeight w:val="222"/>
        </w:trPr>
        <w:tc>
          <w:tcPr>
            <w:tcW w:w="3620" w:type="dxa"/>
            <w:vAlign w:val="bottom"/>
          </w:tcPr>
          <w:p>
            <w:pPr>
              <w:spacing w:after="0"/>
              <w:rPr>
                <w:sz w:val="19"/>
                <w:szCs w:val="19"/>
                <w:color w:val="auto"/>
              </w:rPr>
            </w:pPr>
          </w:p>
        </w:tc>
        <w:tc>
          <w:tcPr>
            <w:tcW w:w="7300" w:type="dxa"/>
            <w:vAlign w:val="bottom"/>
          </w:tcPr>
          <w:p>
            <w:pPr>
              <w:jc w:val="center"/>
              <w:ind w:right="301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39"/>
        </w:trPr>
        <w:tc>
          <w:tcPr>
            <w:tcW w:w="3620" w:type="dxa"/>
            <w:vAlign w:val="bottom"/>
          </w:tcPr>
          <w:p>
            <w:pPr>
              <w:ind w:left="660"/>
              <w:spacing w:after="0"/>
              <w:rPr>
                <w:sz w:val="20"/>
                <w:szCs w:val="20"/>
                <w:color w:val="auto"/>
              </w:rPr>
            </w:pPr>
            <w:r>
              <w:rPr>
                <w:rFonts w:ascii="Arial" w:cs="Arial" w:eastAsia="Arial" w:hAnsi="Arial"/>
                <w:sz w:val="18"/>
                <w:szCs w:val="18"/>
                <w:b w:val="1"/>
                <w:bCs w:val="1"/>
                <w:color w:val="auto"/>
              </w:rPr>
              <w:t>Delaware</w:t>
            </w:r>
          </w:p>
        </w:tc>
        <w:tc>
          <w:tcPr>
            <w:tcW w:w="7300" w:type="dxa"/>
            <w:vAlign w:val="bottom"/>
          </w:tcPr>
          <w:p>
            <w:pPr>
              <w:jc w:val="right"/>
              <w:ind w:right="692"/>
              <w:spacing w:after="0"/>
              <w:rPr>
                <w:sz w:val="20"/>
                <w:szCs w:val="20"/>
                <w:color w:val="auto"/>
              </w:rPr>
            </w:pPr>
            <w:r>
              <w:rPr>
                <w:rFonts w:ascii="Arial" w:cs="Arial" w:eastAsia="Arial" w:hAnsi="Arial"/>
                <w:sz w:val="18"/>
                <w:szCs w:val="18"/>
                <w:b w:val="1"/>
                <w:bCs w:val="1"/>
                <w:color w:val="auto"/>
              </w:rPr>
              <w:t>13-3385513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7300" w:type="dxa"/>
            <w:vAlign w:val="bottom"/>
          </w:tcPr>
          <w:p>
            <w:pPr>
              <w:jc w:val="center"/>
              <w:ind w:left="479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7300" w:type="dxa"/>
            <w:vAlign w:val="bottom"/>
          </w:tcPr>
          <w:p>
            <w:pPr>
              <w:spacing w:after="0"/>
              <w:rPr>
                <w:sz w:val="19"/>
                <w:szCs w:val="19"/>
                <w:color w:val="auto"/>
              </w:rPr>
            </w:pPr>
          </w:p>
        </w:tc>
      </w:tr>
      <w:tr>
        <w:trPr>
          <w:trHeight w:val="358"/>
        </w:trPr>
        <w:tc>
          <w:tcPr>
            <w:tcW w:w="3620" w:type="dxa"/>
            <w:vAlign w:val="bottom"/>
          </w:tcPr>
          <w:p>
            <w:pPr>
              <w:spacing w:after="0"/>
              <w:rPr>
                <w:sz w:val="20"/>
                <w:szCs w:val="20"/>
                <w:color w:val="auto"/>
              </w:rPr>
            </w:pPr>
            <w:r>
              <w:rPr>
                <w:rFonts w:ascii="Arial" w:cs="Arial" w:eastAsia="Arial" w:hAnsi="Arial"/>
                <w:sz w:val="18"/>
                <w:szCs w:val="18"/>
                <w:b w:val="1"/>
                <w:bCs w:val="1"/>
                <w:color w:val="auto"/>
              </w:rPr>
              <w:t>557 Broadway, New York, New York</w:t>
            </w:r>
          </w:p>
        </w:tc>
        <w:tc>
          <w:tcPr>
            <w:tcW w:w="7300" w:type="dxa"/>
            <w:vAlign w:val="bottom"/>
          </w:tcPr>
          <w:p>
            <w:pPr>
              <w:jc w:val="right"/>
              <w:ind w:right="892"/>
              <w:spacing w:after="0"/>
              <w:rPr>
                <w:sz w:val="20"/>
                <w:szCs w:val="20"/>
                <w:color w:val="auto"/>
              </w:rPr>
            </w:pPr>
            <w:r>
              <w:rPr>
                <w:rFonts w:ascii="Arial" w:cs="Arial" w:eastAsia="Arial" w:hAnsi="Arial"/>
                <w:sz w:val="18"/>
                <w:szCs w:val="18"/>
                <w:b w:val="1"/>
                <w:bCs w:val="1"/>
                <w:color w:val="auto"/>
              </w:rPr>
              <w:t>10012</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7300" w:type="dxa"/>
            <w:vAlign w:val="bottom"/>
          </w:tcPr>
          <w:p>
            <w:pPr>
              <w:jc w:val="center"/>
              <w:ind w:left="4792"/>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 (212) 343-6100</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the preceding 12 months (or for such shorter period that the Registrant was required to file such reports), and (2) has been subject to such filing requirements for</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9" w:lineRule="exact"/>
        <w:rPr>
          <w:sz w:val="24"/>
          <w:szCs w:val="24"/>
          <w:color w:val="auto"/>
        </w:rPr>
      </w:pPr>
    </w:p>
    <w:p>
      <w:pPr>
        <w:ind w:right="24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(229.405 of this chapter) during the preceding 12 months (or for such shorter period that the registrant was required to submit and post such files). Yes x No o</w:t>
      </w:r>
    </w:p>
    <w:p>
      <w:pPr>
        <w:spacing w:after="0" w:line="194" w:lineRule="exact"/>
        <w:rPr>
          <w:sz w:val="24"/>
          <w:szCs w:val="24"/>
          <w:color w:val="auto"/>
        </w:rPr>
      </w:pPr>
    </w:p>
    <w:p>
      <w:pPr>
        <w:ind w:right="4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800" w:right="199" w:bottom="1440" w:gutter="0" w:footer="0" w:header="0"/>
        </w:sectPr>
      </w:pP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5000" w:space="720"/>
            <w:col w:w="5740"/>
          </w:cols>
          <w:pgMar w:left="240" w:top="800" w:right="19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4860" w:type="dxa"/>
            <w:vAlign w:val="bottom"/>
            <w:gridSpan w:val="2"/>
          </w:tcPr>
          <w:p>
            <w:pPr>
              <w:jc w:val="center"/>
              <w:ind w:right="3100"/>
              <w:spacing w:after="0"/>
              <w:rPr>
                <w:sz w:val="20"/>
                <w:szCs w:val="20"/>
                <w:color w:val="auto"/>
              </w:rPr>
            </w:pPr>
            <w:r>
              <w:rPr>
                <w:rFonts w:ascii="Arial" w:cs="Arial" w:eastAsia="Arial" w:hAnsi="Arial"/>
                <w:sz w:val="18"/>
                <w:szCs w:val="18"/>
                <w:color w:val="auto"/>
                <w:w w:val="93"/>
              </w:rPr>
              <w:t>Title</w:t>
            </w:r>
          </w:p>
        </w:tc>
        <w:tc>
          <w:tcPr>
            <w:tcW w:w="3460" w:type="dxa"/>
            <w:vAlign w:val="bottom"/>
          </w:tcPr>
          <w:p>
            <w:pPr>
              <w:jc w:val="center"/>
              <w:spacing w:after="0"/>
              <w:rPr>
                <w:sz w:val="20"/>
                <w:szCs w:val="20"/>
                <w:color w:val="auto"/>
              </w:rPr>
            </w:pPr>
            <w:r>
              <w:rPr>
                <w:rFonts w:ascii="Arial" w:cs="Arial" w:eastAsia="Arial" w:hAnsi="Arial"/>
                <w:sz w:val="18"/>
                <w:szCs w:val="18"/>
                <w:color w:val="auto"/>
                <w:w w:val="87"/>
              </w:rPr>
              <w:t>Number of shares outstanding</w:t>
            </w:r>
          </w:p>
        </w:tc>
        <w:tc>
          <w:tcPr>
            <w:tcW w:w="230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4860" w:type="dxa"/>
            <w:vAlign w:val="bottom"/>
            <w:gridSpan w:val="2"/>
          </w:tcPr>
          <w:p>
            <w:pPr>
              <w:jc w:val="center"/>
              <w:ind w:right="3120"/>
              <w:spacing w:after="0"/>
              <w:rPr>
                <w:sz w:val="20"/>
                <w:szCs w:val="20"/>
                <w:color w:val="auto"/>
              </w:rPr>
            </w:pPr>
            <w:r>
              <w:rPr>
                <w:rFonts w:ascii="Arial" w:cs="Arial" w:eastAsia="Arial" w:hAnsi="Arial"/>
                <w:sz w:val="18"/>
                <w:szCs w:val="18"/>
                <w:color w:val="auto"/>
                <w:w w:val="85"/>
              </w:rPr>
              <w:t>of each class</w:t>
            </w:r>
          </w:p>
        </w:tc>
        <w:tc>
          <w:tcPr>
            <w:tcW w:w="3460" w:type="dxa"/>
            <w:vAlign w:val="bottom"/>
          </w:tcPr>
          <w:p>
            <w:pPr>
              <w:jc w:val="center"/>
              <w:spacing w:after="0"/>
              <w:rPr>
                <w:sz w:val="20"/>
                <w:szCs w:val="20"/>
                <w:color w:val="auto"/>
              </w:rPr>
            </w:pPr>
            <w:r>
              <w:rPr>
                <w:rFonts w:ascii="Arial" w:cs="Arial" w:eastAsia="Arial" w:hAnsi="Arial"/>
                <w:sz w:val="18"/>
                <w:szCs w:val="18"/>
                <w:color w:val="auto"/>
                <w:w w:val="86"/>
              </w:rPr>
              <w:t>as of September 27, 2010</w:t>
            </w:r>
          </w:p>
        </w:tc>
        <w:tc>
          <w:tcPr>
            <w:tcW w:w="2300" w:type="dxa"/>
            <w:vAlign w:val="bottom"/>
          </w:tcPr>
          <w:p>
            <w:pPr>
              <w:spacing w:after="0"/>
              <w:rPr>
                <w:sz w:val="19"/>
                <w:szCs w:val="19"/>
                <w:color w:val="auto"/>
              </w:rPr>
            </w:pPr>
          </w:p>
        </w:tc>
      </w:tr>
      <w:tr>
        <w:trPr>
          <w:trHeight w:val="110"/>
        </w:trPr>
        <w:tc>
          <w:tcPr>
            <w:tcW w:w="84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312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r>
      <w:tr>
        <w:trPr>
          <w:trHeight w:val="458"/>
        </w:trPr>
        <w:tc>
          <w:tcPr>
            <w:tcW w:w="5700" w:type="dxa"/>
            <w:vAlign w:val="bottom"/>
            <w:gridSpan w:val="3"/>
          </w:tcPr>
          <w:p>
            <w:pPr>
              <w:jc w:val="center"/>
              <w:ind w:right="2280"/>
              <w:spacing w:after="0"/>
              <w:rPr>
                <w:sz w:val="20"/>
                <w:szCs w:val="20"/>
                <w:color w:val="auto"/>
              </w:rPr>
            </w:pPr>
            <w:r>
              <w:rPr>
                <w:rFonts w:ascii="Arial" w:cs="Arial" w:eastAsia="Arial" w:hAnsi="Arial"/>
                <w:sz w:val="18"/>
                <w:szCs w:val="18"/>
                <w:color w:val="auto"/>
                <w:w w:val="88"/>
              </w:rPr>
              <w:t>Common Stock, $.01 par value</w:t>
            </w:r>
          </w:p>
        </w:tc>
        <w:tc>
          <w:tcPr>
            <w:tcW w:w="3460" w:type="dxa"/>
            <w:vAlign w:val="bottom"/>
          </w:tcPr>
          <w:p>
            <w:pPr>
              <w:jc w:val="right"/>
              <w:ind w:right="1252"/>
              <w:spacing w:after="0"/>
              <w:rPr>
                <w:sz w:val="20"/>
                <w:szCs w:val="20"/>
                <w:color w:val="auto"/>
              </w:rPr>
            </w:pPr>
            <w:r>
              <w:rPr>
                <w:rFonts w:ascii="Arial" w:cs="Arial" w:eastAsia="Arial" w:hAnsi="Arial"/>
                <w:sz w:val="18"/>
                <w:szCs w:val="18"/>
                <w:color w:val="auto"/>
              </w:rPr>
              <w:t>34,353,245</w:t>
            </w:r>
          </w:p>
        </w:tc>
        <w:tc>
          <w:tcPr>
            <w:tcW w:w="2300" w:type="dxa"/>
            <w:vAlign w:val="bottom"/>
          </w:tcPr>
          <w:p>
            <w:pPr>
              <w:spacing w:after="0"/>
              <w:rPr>
                <w:sz w:val="24"/>
                <w:szCs w:val="24"/>
                <w:color w:val="auto"/>
              </w:rPr>
            </w:pPr>
          </w:p>
        </w:tc>
      </w:tr>
      <w:tr>
        <w:trPr>
          <w:trHeight w:val="222"/>
        </w:trPr>
        <w:tc>
          <w:tcPr>
            <w:tcW w:w="5700" w:type="dxa"/>
            <w:vAlign w:val="bottom"/>
            <w:gridSpan w:val="3"/>
          </w:tcPr>
          <w:p>
            <w:pPr>
              <w:jc w:val="center"/>
              <w:ind w:right="2260"/>
              <w:spacing w:after="0"/>
              <w:rPr>
                <w:sz w:val="20"/>
                <w:szCs w:val="20"/>
                <w:color w:val="auto"/>
              </w:rPr>
            </w:pPr>
            <w:r>
              <w:rPr>
                <w:rFonts w:ascii="Arial" w:cs="Arial" w:eastAsia="Arial" w:hAnsi="Arial"/>
                <w:sz w:val="18"/>
                <w:szCs w:val="18"/>
                <w:color w:val="auto"/>
                <w:w w:val="88"/>
              </w:rPr>
              <w:t>Class A Stock, $.01 par value</w:t>
            </w:r>
          </w:p>
        </w:tc>
        <w:tc>
          <w:tcPr>
            <w:tcW w:w="3460" w:type="dxa"/>
            <w:vAlign w:val="bottom"/>
          </w:tcPr>
          <w:p>
            <w:pPr>
              <w:jc w:val="right"/>
              <w:ind w:right="1292"/>
              <w:spacing w:after="0"/>
              <w:rPr>
                <w:sz w:val="20"/>
                <w:szCs w:val="20"/>
                <w:color w:val="auto"/>
              </w:rPr>
            </w:pPr>
            <w:r>
              <w:rPr>
                <w:rFonts w:ascii="Arial" w:cs="Arial" w:eastAsia="Arial" w:hAnsi="Arial"/>
                <w:sz w:val="18"/>
                <w:szCs w:val="18"/>
                <w:color w:val="auto"/>
              </w:rPr>
              <w:t>1,656,200</w:t>
            </w:r>
          </w:p>
        </w:tc>
        <w:tc>
          <w:tcPr>
            <w:tcW w:w="2300" w:type="dxa"/>
            <w:vAlign w:val="bottom"/>
          </w:tcPr>
          <w:p>
            <w:pPr>
              <w:spacing w:after="0"/>
              <w:rPr>
                <w:sz w:val="19"/>
                <w:szCs w:val="19"/>
                <w:color w:val="auto"/>
              </w:rPr>
            </w:pPr>
          </w:p>
        </w:tc>
      </w:tr>
      <w:tr>
        <w:trPr>
          <w:trHeight w:val="350"/>
        </w:trPr>
        <w:tc>
          <w:tcPr>
            <w:tcW w:w="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61"/>
        </w:trPr>
        <w:tc>
          <w:tcPr>
            <w:tcW w:w="84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800" w:right="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AUGUST 31,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74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0740" w:type="dxa"/>
            <w:vAlign w:val="bottom"/>
            <w:gridSpan w:val="16"/>
            <w:vMerge w:val="continue"/>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
              <w:r>
                <w:rPr>
                  <w:rFonts w:ascii="Arial" w:cs="Arial" w:eastAsia="Arial" w:hAnsi="Arial"/>
                  <w:sz w:val="18"/>
                  <w:szCs w:val="18"/>
                  <w:color w:val="0000EE"/>
                  <w:w w:val="83"/>
                </w:rPr>
                <w:t>Item 1.</w:t>
              </w:r>
            </w:hyperlink>
          </w:p>
        </w:tc>
        <w:tc>
          <w:tcPr>
            <w:tcW w:w="80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Statements of Operations (Unaudited)</w:t>
              </w:r>
            </w:hyperlink>
          </w:p>
        </w:tc>
        <w:tc>
          <w:tcPr>
            <w:tcW w:w="4640" w:type="dxa"/>
            <w:vAlign w:val="bottom"/>
            <w:gridSpan w:val="3"/>
          </w:tcPr>
          <w:p>
            <w:pPr>
              <w:spacing w:after="0"/>
              <w:rPr>
                <w:sz w:val="24"/>
                <w:szCs w:val="24"/>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60" w:type="dxa"/>
            <w:vAlign w:val="bottom"/>
            <w:tcBorders>
              <w:top w:val="single" w:sz="8" w:color="0000EE"/>
            </w:tcBorders>
            <w:gridSpan w:val="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Cash Flows (Unaudited)</w:t>
              </w:r>
            </w:hyperlink>
          </w:p>
        </w:tc>
        <w:tc>
          <w:tcPr>
            <w:tcW w:w="5360" w:type="dxa"/>
            <w:vAlign w:val="bottom"/>
            <w:gridSpan w:val="6"/>
          </w:tcPr>
          <w:p>
            <w:pPr>
              <w:spacing w:after="0"/>
              <w:rPr>
                <w:sz w:val="24"/>
                <w:szCs w:val="24"/>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 (Unaudited)</w:t>
              </w:r>
            </w:hyperlink>
          </w:p>
        </w:tc>
        <w:tc>
          <w:tcPr>
            <w:tcW w:w="4320" w:type="dxa"/>
            <w:vAlign w:val="bottom"/>
            <w:gridSpan w:val="2"/>
          </w:tcPr>
          <w:p>
            <w:pPr>
              <w:spacing w:after="0"/>
              <w:rPr>
                <w:sz w:val="24"/>
                <w:szCs w:val="24"/>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1300" w:type="dxa"/>
            <w:vAlign w:val="bottom"/>
            <w:gridSpan w:val="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912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2">
              <w:r>
                <w:rPr>
                  <w:rFonts w:ascii="Arial" w:cs="Arial" w:eastAsia="Arial" w:hAnsi="Arial"/>
                  <w:sz w:val="18"/>
                  <w:szCs w:val="18"/>
                  <w:color w:val="0000EE"/>
                  <w:w w:val="83"/>
                </w:rPr>
                <w:t>Item 3.</w:t>
              </w:r>
            </w:hyperlink>
          </w:p>
        </w:tc>
        <w:tc>
          <w:tcPr>
            <w:tcW w:w="80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3">
              <w:r>
                <w:rPr>
                  <w:rFonts w:ascii="Arial" w:cs="Arial" w:eastAsia="Arial" w:hAnsi="Arial"/>
                  <w:sz w:val="18"/>
                  <w:szCs w:val="18"/>
                  <w:color w:val="0000EE"/>
                  <w:w w:val="83"/>
                </w:rPr>
                <w:t>Item 4.</w:t>
              </w:r>
            </w:hyperlink>
          </w:p>
        </w:tc>
        <w:tc>
          <w:tcPr>
            <w:tcW w:w="80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740" w:type="dxa"/>
            <w:vAlign w:val="bottom"/>
            <w:gridSpan w:val="16"/>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 Other Information</w:t>
              </w:r>
            </w:hyperlink>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4">
              <w:r>
                <w:rPr>
                  <w:rFonts w:ascii="Arial" w:cs="Arial" w:eastAsia="Arial" w:hAnsi="Arial"/>
                  <w:sz w:val="18"/>
                  <w:szCs w:val="18"/>
                  <w:color w:val="0000EE"/>
                  <w:w w:val="83"/>
                </w:rPr>
                <w:t>Item 2.</w:t>
              </w:r>
            </w:hyperlink>
          </w:p>
        </w:tc>
        <w:tc>
          <w:tcPr>
            <w:tcW w:w="80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660" w:type="dxa"/>
            <w:vAlign w:val="bottom"/>
            <w:tcBorders>
              <w:left w:val="single" w:sz="8" w:color="0000EE"/>
            </w:tcBorders>
            <w:gridSpan w:val="6"/>
            <w:shd w:val="clear" w:color="auto" w:fill="0000EE"/>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Item 6.</w:t>
              </w:r>
            </w:hyperlink>
          </w:p>
        </w:tc>
        <w:tc>
          <w:tcPr>
            <w:tcW w:w="80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620" w:type="dxa"/>
            <w:vAlign w:val="bottom"/>
            <w:gridSpan w:val="3"/>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Signatures</w:t>
              </w:r>
            </w:hyperlink>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20" w:type="dxa"/>
            <w:vAlign w:val="bottom"/>
            <w:tcBorders>
              <w:top w:val="single" w:sz="8" w:color="0000EE"/>
              <w:bottom w:val="single" w:sz="8" w:color="808080"/>
            </w:tcBorders>
          </w:tcPr>
          <w:p>
            <w:pPr>
              <w:spacing w:after="0"/>
              <w:rPr>
                <w:sz w:val="24"/>
                <w:szCs w:val="24"/>
                <w:color w:val="auto"/>
              </w:rPr>
            </w:pPr>
          </w:p>
        </w:tc>
        <w:tc>
          <w:tcPr>
            <w:tcW w:w="500" w:type="dxa"/>
            <w:vAlign w:val="bottom"/>
            <w:tcBorders>
              <w:top w:val="single" w:sz="8" w:color="0000EE"/>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9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282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9"/>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2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800" w:type="dxa"/>
            <w:vAlign w:val="bottom"/>
            <w:tcBorders>
              <w:left w:val="single" w:sz="8" w:color="808080"/>
            </w:tcBorders>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tcBorders>
              <w:left w:val="single" w:sz="8" w:color="808080"/>
            </w:tcBorders>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9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8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68" w:right="1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96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OPERATIONS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left="8640"/>
        <w:spacing w:after="0"/>
        <w:rPr>
          <w:sz w:val="20"/>
          <w:szCs w:val="20"/>
          <w:color w:val="auto"/>
        </w:rPr>
      </w:pPr>
      <w:r>
        <w:rPr>
          <w:rFonts w:ascii="Arial" w:cs="Arial" w:eastAsia="Arial" w:hAnsi="Arial"/>
          <w:sz w:val="18"/>
          <w:szCs w:val="18"/>
          <w:b w:val="1"/>
          <w:bCs w:val="1"/>
          <w:i w:val="1"/>
          <w:iCs w:val="1"/>
          <w:color w:val="auto"/>
        </w:rPr>
        <w:t>Three months ended</w:t>
      </w:r>
    </w:p>
    <w:p>
      <w:pPr>
        <w:spacing w:after="0" w:line="15" w:lineRule="exact"/>
        <w:rPr>
          <w:sz w:val="20"/>
          <w:szCs w:val="20"/>
          <w:color w:val="auto"/>
        </w:rPr>
      </w:pPr>
    </w:p>
    <w:p>
      <w:pPr>
        <w:jc w:val="center"/>
        <w:ind w:left="8640"/>
        <w:spacing w:after="0"/>
        <w:rPr>
          <w:sz w:val="20"/>
          <w:szCs w:val="20"/>
          <w:color w:val="auto"/>
        </w:rPr>
      </w:pPr>
      <w:r>
        <w:rPr>
          <w:rFonts w:ascii="Arial" w:cs="Arial" w:eastAsia="Arial" w:hAnsi="Arial"/>
          <w:sz w:val="18"/>
          <w:szCs w:val="18"/>
          <w:b w:val="1"/>
          <w:bCs w:val="1"/>
          <w:i w:val="1"/>
          <w:iCs w:val="1"/>
          <w:color w:val="auto"/>
        </w:rPr>
        <w:t>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19"/>
                <w:szCs w:val="19"/>
                <w:color w:val="auto"/>
              </w:rPr>
            </w:pPr>
          </w:p>
        </w:tc>
        <w:tc>
          <w:tcPr>
            <w:tcW w:w="1000" w:type="dxa"/>
            <w:vAlign w:val="bottom"/>
          </w:tcPr>
          <w:p>
            <w:pPr>
              <w:jc w:val="right"/>
              <w:ind w:right="432"/>
              <w:spacing w:after="0"/>
              <w:rPr>
                <w:sz w:val="20"/>
                <w:szCs w:val="20"/>
                <w:color w:val="auto"/>
              </w:rPr>
            </w:pPr>
            <w:r>
              <w:rPr>
                <w:rFonts w:ascii="Arial" w:cs="Arial" w:eastAsia="Arial" w:hAnsi="Arial"/>
                <w:sz w:val="18"/>
                <w:szCs w:val="18"/>
                <w:b w:val="1"/>
                <w:bCs w:val="1"/>
                <w:color w:val="auto"/>
              </w:rPr>
              <w:t>2009</w:t>
            </w:r>
          </w:p>
        </w:tc>
      </w:tr>
      <w:tr>
        <w:trPr>
          <w:trHeight w:val="110"/>
        </w:trPr>
        <w:tc>
          <w:tcPr>
            <w:tcW w:w="76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16"/>
        </w:trPr>
        <w:tc>
          <w:tcPr>
            <w:tcW w:w="76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3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290.9</w:t>
            </w:r>
          </w:p>
        </w:tc>
        <w:tc>
          <w:tcPr>
            <w:tcW w:w="4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315.6</w:t>
            </w:r>
          </w:p>
        </w:tc>
      </w:tr>
      <w:tr>
        <w:trPr>
          <w:trHeight w:val="358"/>
        </w:trPr>
        <w:tc>
          <w:tcPr>
            <w:tcW w:w="76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7600" w:type="dxa"/>
            <w:vAlign w:val="bottom"/>
          </w:tcPr>
          <w:p>
            <w:pPr>
              <w:ind w:left="160"/>
              <w:spacing w:after="0"/>
              <w:rPr>
                <w:sz w:val="20"/>
                <w:szCs w:val="20"/>
                <w:color w:val="auto"/>
              </w:rPr>
            </w:pPr>
            <w:r>
              <w:rPr>
                <w:rFonts w:ascii="Arial" w:cs="Arial" w:eastAsia="Arial" w:hAnsi="Arial"/>
                <w:sz w:val="18"/>
                <w:szCs w:val="18"/>
                <w:color w:val="auto"/>
              </w:rPr>
              <w:t>Cost of goods sold (exclusive of depreciation and amortization)</w:t>
            </w:r>
          </w:p>
        </w:tc>
        <w:tc>
          <w:tcPr>
            <w:tcW w:w="138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147.7</w:t>
            </w:r>
          </w:p>
        </w:tc>
        <w:tc>
          <w:tcPr>
            <w:tcW w:w="42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158.3</w:t>
            </w:r>
          </w:p>
        </w:tc>
      </w:tr>
      <w:tr>
        <w:trPr>
          <w:trHeight w:val="216"/>
        </w:trPr>
        <w:tc>
          <w:tcPr>
            <w:tcW w:w="760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 (exclusive of depreciation and amortization)</w:t>
            </w:r>
          </w:p>
        </w:tc>
        <w:tc>
          <w:tcPr>
            <w:tcW w:w="138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170.6</w:t>
            </w:r>
          </w:p>
        </w:tc>
        <w:tc>
          <w:tcPr>
            <w:tcW w:w="42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171.5</w:t>
            </w:r>
          </w:p>
        </w:tc>
      </w:tr>
      <w:tr>
        <w:trPr>
          <w:trHeight w:val="216"/>
        </w:trPr>
        <w:tc>
          <w:tcPr>
            <w:tcW w:w="760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138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2.1</w:t>
            </w:r>
          </w:p>
        </w:tc>
      </w:tr>
      <w:tr>
        <w:trPr>
          <w:trHeight w:val="216"/>
        </w:trPr>
        <w:tc>
          <w:tcPr>
            <w:tcW w:w="76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38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14.4</w:t>
            </w:r>
          </w:p>
        </w:tc>
        <w:tc>
          <w:tcPr>
            <w:tcW w:w="42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14.7</w:t>
            </w:r>
          </w:p>
        </w:tc>
      </w:tr>
      <w:tr>
        <w:trPr>
          <w:trHeight w:val="222"/>
        </w:trPr>
        <w:tc>
          <w:tcPr>
            <w:tcW w:w="7600" w:type="dxa"/>
            <w:vAlign w:val="bottom"/>
          </w:tcPr>
          <w:p>
            <w:pPr>
              <w:ind w:left="160"/>
              <w:spacing w:after="0"/>
              <w:rPr>
                <w:sz w:val="20"/>
                <w:szCs w:val="20"/>
                <w:color w:val="auto"/>
              </w:rPr>
            </w:pPr>
            <w:r>
              <w:rPr>
                <w:rFonts w:ascii="Arial" w:cs="Arial" w:eastAsia="Arial" w:hAnsi="Arial"/>
                <w:sz w:val="18"/>
                <w:szCs w:val="18"/>
                <w:color w:val="auto"/>
              </w:rPr>
              <w:t>Severance</w:t>
            </w:r>
          </w:p>
        </w:tc>
        <w:tc>
          <w:tcPr>
            <w:tcW w:w="138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4.3</w:t>
            </w:r>
          </w:p>
        </w:tc>
      </w:tr>
      <w:tr>
        <w:trPr>
          <w:trHeight w:val="110"/>
        </w:trPr>
        <w:tc>
          <w:tcPr>
            <w:tcW w:w="76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16"/>
        </w:trPr>
        <w:tc>
          <w:tcPr>
            <w:tcW w:w="760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138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337.7</w:t>
            </w:r>
          </w:p>
        </w:tc>
        <w:tc>
          <w:tcPr>
            <w:tcW w:w="42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350.9</w:t>
            </w:r>
          </w:p>
        </w:tc>
      </w:tr>
      <w:tr>
        <w:trPr>
          <w:trHeight w:val="110"/>
        </w:trPr>
        <w:tc>
          <w:tcPr>
            <w:tcW w:w="76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200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(46.8)</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(35.3)</w:t>
            </w:r>
          </w:p>
        </w:tc>
      </w:tr>
      <w:tr>
        <w:trPr>
          <w:trHeight w:val="358"/>
        </w:trPr>
        <w:tc>
          <w:tcPr>
            <w:tcW w:w="7140" w:type="dxa"/>
            <w:vAlign w:val="bottom"/>
          </w:tcPr>
          <w:p>
            <w:pPr>
              <w:spacing w:after="0"/>
              <w:rPr>
                <w:sz w:val="20"/>
                <w:szCs w:val="20"/>
                <w:color w:val="auto"/>
              </w:rPr>
            </w:pPr>
            <w:r>
              <w:rPr>
                <w:rFonts w:ascii="Arial" w:cs="Arial" w:eastAsia="Arial" w:hAnsi="Arial"/>
                <w:sz w:val="18"/>
                <w:szCs w:val="18"/>
                <w:color w:val="auto"/>
              </w:rPr>
              <w:t>Other income</w:t>
            </w:r>
          </w:p>
        </w:tc>
        <w:tc>
          <w:tcPr>
            <w:tcW w:w="2000" w:type="dxa"/>
            <w:vAlign w:val="bottom"/>
          </w:tcPr>
          <w:p>
            <w:pPr>
              <w:spacing w:after="0"/>
              <w:rPr>
                <w:sz w:val="24"/>
                <w:szCs w:val="24"/>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0.9</w:t>
            </w: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Interest expense, net</w:t>
            </w:r>
          </w:p>
        </w:tc>
        <w:tc>
          <w:tcPr>
            <w:tcW w:w="200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10"/>
        </w:trPr>
        <w:tc>
          <w:tcPr>
            <w:tcW w:w="714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58"/>
        </w:trPr>
        <w:tc>
          <w:tcPr>
            <w:tcW w:w="714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000" w:type="dxa"/>
            <w:vAlign w:val="bottom"/>
          </w:tcPr>
          <w:p>
            <w:pPr>
              <w:spacing w:after="0"/>
              <w:rPr>
                <w:sz w:val="24"/>
                <w:szCs w:val="24"/>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(50.6)</w:t>
            </w:r>
          </w:p>
        </w:tc>
        <w:tc>
          <w:tcPr>
            <w:tcW w:w="5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(38.3)</w:t>
            </w: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00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(16.4)</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110"/>
        </w:trPr>
        <w:tc>
          <w:tcPr>
            <w:tcW w:w="714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58"/>
        </w:trPr>
        <w:tc>
          <w:tcPr>
            <w:tcW w:w="71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2000" w:type="dxa"/>
            <w:vAlign w:val="bottom"/>
          </w:tcPr>
          <w:p>
            <w:pPr>
              <w:spacing w:after="0"/>
              <w:rPr>
                <w:sz w:val="24"/>
                <w:szCs w:val="24"/>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(34.2)</w:t>
            </w:r>
          </w:p>
        </w:tc>
        <w:tc>
          <w:tcPr>
            <w:tcW w:w="5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(Loss) earnings from discontinued operations, net of tax</w:t>
            </w:r>
          </w:p>
        </w:tc>
        <w:tc>
          <w:tcPr>
            <w:tcW w:w="200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1.6</w:t>
            </w:r>
          </w:p>
        </w:tc>
      </w:tr>
      <w:tr>
        <w:trPr>
          <w:trHeight w:val="110"/>
        </w:trPr>
        <w:tc>
          <w:tcPr>
            <w:tcW w:w="714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64"/>
        </w:trPr>
        <w:tc>
          <w:tcPr>
            <w:tcW w:w="71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0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(35.2)</w:t>
            </w:r>
          </w:p>
        </w:tc>
        <w:tc>
          <w:tcPr>
            <w:tcW w:w="54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(23.0)</w:t>
            </w:r>
          </w:p>
        </w:tc>
      </w:tr>
      <w:tr>
        <w:trPr>
          <w:trHeight w:val="110"/>
        </w:trPr>
        <w:tc>
          <w:tcPr>
            <w:tcW w:w="714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58"/>
        </w:trPr>
        <w:tc>
          <w:tcPr>
            <w:tcW w:w="7140" w:type="dxa"/>
            <w:vAlign w:val="bottom"/>
          </w:tcPr>
          <w:p>
            <w:pPr>
              <w:spacing w:after="0"/>
              <w:rPr>
                <w:sz w:val="20"/>
                <w:szCs w:val="20"/>
                <w:color w:val="auto"/>
              </w:rPr>
            </w:pPr>
            <w:r>
              <w:rPr>
                <w:rFonts w:ascii="Arial" w:cs="Arial" w:eastAsia="Arial" w:hAnsi="Arial"/>
                <w:sz w:val="18"/>
                <w:szCs w:val="18"/>
                <w:b w:val="1"/>
                <w:bCs w:val="1"/>
                <w:color w:val="auto"/>
              </w:rPr>
              <w:t>Basic and diluted (loss) earnings per Share of Class A and Common Stock</w:t>
            </w:r>
          </w:p>
        </w:tc>
        <w:tc>
          <w:tcPr>
            <w:tcW w:w="2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7140" w:type="dxa"/>
            <w:vAlign w:val="bottom"/>
          </w:tcPr>
          <w:p>
            <w:pPr>
              <w:ind w:left="320"/>
              <w:spacing w:after="0"/>
              <w:rPr>
                <w:sz w:val="20"/>
                <w:szCs w:val="20"/>
                <w:color w:val="auto"/>
              </w:rPr>
            </w:pPr>
            <w:r>
              <w:rPr>
                <w:rFonts w:ascii="Arial" w:cs="Arial" w:eastAsia="Arial" w:hAnsi="Arial"/>
                <w:sz w:val="18"/>
                <w:szCs w:val="18"/>
                <w:color w:val="auto"/>
              </w:rPr>
              <w:t>Basic:</w:t>
            </w:r>
          </w:p>
        </w:tc>
        <w:tc>
          <w:tcPr>
            <w:tcW w:w="2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140" w:type="dxa"/>
            <w:vAlign w:val="bottom"/>
          </w:tcPr>
          <w:p>
            <w:pPr>
              <w:ind w:left="480"/>
              <w:spacing w:after="0"/>
              <w:rPr>
                <w:sz w:val="20"/>
                <w:szCs w:val="20"/>
                <w:color w:val="auto"/>
              </w:rPr>
            </w:pPr>
            <w:r>
              <w:rPr>
                <w:rFonts w:ascii="Arial" w:cs="Arial" w:eastAsia="Arial" w:hAnsi="Arial"/>
                <w:sz w:val="18"/>
                <w:szCs w:val="18"/>
                <w:color w:val="auto"/>
              </w:rPr>
              <w:t>Loss from continuing operations</w:t>
            </w:r>
          </w:p>
        </w:tc>
        <w:tc>
          <w:tcPr>
            <w:tcW w:w="20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(0.95)</w:t>
            </w:r>
          </w:p>
        </w:tc>
        <w:tc>
          <w:tcPr>
            <w:tcW w:w="5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16"/>
        </w:trPr>
        <w:tc>
          <w:tcPr>
            <w:tcW w:w="7140" w:type="dxa"/>
            <w:vAlign w:val="bottom"/>
          </w:tcPr>
          <w:p>
            <w:pPr>
              <w:ind w:left="480"/>
              <w:spacing w:after="0"/>
              <w:rPr>
                <w:sz w:val="20"/>
                <w:szCs w:val="20"/>
                <w:color w:val="auto"/>
              </w:rPr>
            </w:pPr>
            <w:r>
              <w:rPr>
                <w:rFonts w:ascii="Arial" w:cs="Arial" w:eastAsia="Arial" w:hAnsi="Arial"/>
                <w:sz w:val="18"/>
                <w:szCs w:val="18"/>
                <w:color w:val="auto"/>
              </w:rPr>
              <w:t>(Loss) earnings from discontinued operations, net of tax</w:t>
            </w:r>
          </w:p>
        </w:tc>
        <w:tc>
          <w:tcPr>
            <w:tcW w:w="20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(0.03)</w:t>
            </w:r>
          </w:p>
        </w:tc>
        <w:tc>
          <w:tcPr>
            <w:tcW w:w="5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0.05</w:t>
            </w:r>
          </w:p>
        </w:tc>
      </w:tr>
      <w:tr>
        <w:trPr>
          <w:trHeight w:val="216"/>
        </w:trPr>
        <w:tc>
          <w:tcPr>
            <w:tcW w:w="7140" w:type="dxa"/>
            <w:vAlign w:val="bottom"/>
          </w:tcPr>
          <w:p>
            <w:pPr>
              <w:ind w:left="480"/>
              <w:spacing w:after="0"/>
              <w:rPr>
                <w:sz w:val="20"/>
                <w:szCs w:val="20"/>
                <w:color w:val="auto"/>
              </w:rPr>
            </w:pPr>
            <w:r>
              <w:rPr>
                <w:rFonts w:ascii="Arial" w:cs="Arial" w:eastAsia="Arial" w:hAnsi="Arial"/>
                <w:sz w:val="18"/>
                <w:szCs w:val="18"/>
                <w:color w:val="auto"/>
              </w:rPr>
              <w:t>Net loss</w:t>
            </w:r>
          </w:p>
        </w:tc>
        <w:tc>
          <w:tcPr>
            <w:tcW w:w="20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(0.98)</w:t>
            </w:r>
          </w:p>
        </w:tc>
        <w:tc>
          <w:tcPr>
            <w:tcW w:w="5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16"/>
        </w:trPr>
        <w:tc>
          <w:tcPr>
            <w:tcW w:w="7140" w:type="dxa"/>
            <w:vAlign w:val="bottom"/>
          </w:tcPr>
          <w:p>
            <w:pPr>
              <w:ind w:left="320"/>
              <w:spacing w:after="0"/>
              <w:rPr>
                <w:sz w:val="20"/>
                <w:szCs w:val="20"/>
                <w:color w:val="auto"/>
              </w:rPr>
            </w:pPr>
            <w:r>
              <w:rPr>
                <w:rFonts w:ascii="Arial" w:cs="Arial" w:eastAsia="Arial" w:hAnsi="Arial"/>
                <w:sz w:val="18"/>
                <w:szCs w:val="18"/>
                <w:color w:val="auto"/>
              </w:rPr>
              <w:t>Diluted:</w:t>
            </w:r>
          </w:p>
        </w:tc>
        <w:tc>
          <w:tcPr>
            <w:tcW w:w="2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140" w:type="dxa"/>
            <w:vAlign w:val="bottom"/>
          </w:tcPr>
          <w:p>
            <w:pPr>
              <w:ind w:left="480"/>
              <w:spacing w:after="0"/>
              <w:rPr>
                <w:sz w:val="20"/>
                <w:szCs w:val="20"/>
                <w:color w:val="auto"/>
              </w:rPr>
            </w:pPr>
            <w:r>
              <w:rPr>
                <w:rFonts w:ascii="Arial" w:cs="Arial" w:eastAsia="Arial" w:hAnsi="Arial"/>
                <w:sz w:val="18"/>
                <w:szCs w:val="18"/>
                <w:color w:val="auto"/>
              </w:rPr>
              <w:t>Loss from continuing operations</w:t>
            </w:r>
          </w:p>
        </w:tc>
        <w:tc>
          <w:tcPr>
            <w:tcW w:w="20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(0.95)</w:t>
            </w:r>
          </w:p>
        </w:tc>
        <w:tc>
          <w:tcPr>
            <w:tcW w:w="5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16"/>
        </w:trPr>
        <w:tc>
          <w:tcPr>
            <w:tcW w:w="7140" w:type="dxa"/>
            <w:vAlign w:val="bottom"/>
          </w:tcPr>
          <w:p>
            <w:pPr>
              <w:ind w:left="480"/>
              <w:spacing w:after="0"/>
              <w:rPr>
                <w:sz w:val="20"/>
                <w:szCs w:val="20"/>
                <w:color w:val="auto"/>
              </w:rPr>
            </w:pPr>
            <w:r>
              <w:rPr>
                <w:rFonts w:ascii="Arial" w:cs="Arial" w:eastAsia="Arial" w:hAnsi="Arial"/>
                <w:sz w:val="18"/>
                <w:szCs w:val="18"/>
                <w:color w:val="auto"/>
              </w:rPr>
              <w:t>(Loss) earnings from discontinued operations, net of tax</w:t>
            </w:r>
          </w:p>
        </w:tc>
        <w:tc>
          <w:tcPr>
            <w:tcW w:w="20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(0.03)</w:t>
            </w:r>
          </w:p>
        </w:tc>
        <w:tc>
          <w:tcPr>
            <w:tcW w:w="5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0.05</w:t>
            </w:r>
          </w:p>
        </w:tc>
      </w:tr>
      <w:tr>
        <w:trPr>
          <w:trHeight w:val="222"/>
        </w:trPr>
        <w:tc>
          <w:tcPr>
            <w:tcW w:w="7140" w:type="dxa"/>
            <w:vAlign w:val="bottom"/>
          </w:tcPr>
          <w:p>
            <w:pPr>
              <w:ind w:left="480"/>
              <w:spacing w:after="0"/>
              <w:rPr>
                <w:sz w:val="20"/>
                <w:szCs w:val="20"/>
                <w:color w:val="auto"/>
              </w:rPr>
            </w:pPr>
            <w:r>
              <w:rPr>
                <w:rFonts w:ascii="Arial" w:cs="Arial" w:eastAsia="Arial" w:hAnsi="Arial"/>
                <w:sz w:val="18"/>
                <w:szCs w:val="18"/>
                <w:color w:val="auto"/>
              </w:rPr>
              <w:t>Net loss</w:t>
            </w:r>
          </w:p>
        </w:tc>
        <w:tc>
          <w:tcPr>
            <w:tcW w:w="20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(0.98)</w:t>
            </w:r>
          </w:p>
        </w:tc>
        <w:tc>
          <w:tcPr>
            <w:tcW w:w="5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365"/>
        </w:trPr>
        <w:tc>
          <w:tcPr>
            <w:tcW w:w="7140" w:type="dxa"/>
            <w:vAlign w:val="bottom"/>
          </w:tcPr>
          <w:p>
            <w:pPr>
              <w:ind w:left="320"/>
              <w:spacing w:after="0"/>
              <w:rPr>
                <w:sz w:val="20"/>
                <w:szCs w:val="20"/>
                <w:color w:val="auto"/>
              </w:rPr>
            </w:pPr>
            <w:r>
              <w:rPr>
                <w:rFonts w:ascii="Arial" w:cs="Arial" w:eastAsia="Arial" w:hAnsi="Arial"/>
                <w:sz w:val="18"/>
                <w:szCs w:val="18"/>
                <w:b w:val="1"/>
                <w:bCs w:val="1"/>
                <w:color w:val="auto"/>
              </w:rPr>
              <w:t>Dividends declared per common share</w:t>
            </w:r>
          </w:p>
        </w:tc>
        <w:tc>
          <w:tcPr>
            <w:tcW w:w="20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0.075</w:t>
            </w:r>
          </w:p>
        </w:tc>
        <w:tc>
          <w:tcPr>
            <w:tcW w:w="5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0.075</w:t>
            </w:r>
          </w:p>
        </w:tc>
      </w:tr>
      <w:tr>
        <w:trPr>
          <w:trHeight w:val="110"/>
        </w:trPr>
        <w:tc>
          <w:tcPr>
            <w:tcW w:w="714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80" w:type="dxa"/>
            <w:vAlign w:val="bottom"/>
          </w:tcPr>
          <w:p>
            <w:pPr>
              <w:spacing w:after="0"/>
              <w:rPr>
                <w:sz w:val="19"/>
                <w:szCs w:val="19"/>
                <w:color w:val="auto"/>
              </w:rPr>
            </w:pPr>
          </w:p>
        </w:tc>
        <w:tc>
          <w:tcPr>
            <w:tcW w:w="218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August 31, 2010</w:t>
            </w:r>
          </w:p>
        </w:tc>
        <w:tc>
          <w:tcPr>
            <w:tcW w:w="160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May 31, 2010</w:t>
            </w:r>
          </w:p>
        </w:tc>
        <w:tc>
          <w:tcPr>
            <w:tcW w:w="178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August 31, 2009</w:t>
            </w:r>
          </w:p>
        </w:tc>
      </w:tr>
      <w:tr>
        <w:trPr>
          <w:trHeight w:val="110"/>
        </w:trPr>
        <w:tc>
          <w:tcPr>
            <w:tcW w:w="58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309"/>
        </w:trPr>
        <w:tc>
          <w:tcPr>
            <w:tcW w:w="58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58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Assets:</w:t>
            </w: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124.2</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244.1</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54.2</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212.4</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212.5</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228.0</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Inventories, net</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433.0</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315.7</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435.0</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59.7</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59.3</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83.8</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83.4</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42.5</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57.8</w:t>
            </w:r>
          </w:p>
        </w:tc>
      </w:tr>
      <w:tr>
        <w:trPr>
          <w:trHeight w:val="222"/>
        </w:trPr>
        <w:tc>
          <w:tcPr>
            <w:tcW w:w="5880" w:type="dxa"/>
            <w:vAlign w:val="bottom"/>
          </w:tcPr>
          <w:p>
            <w:pPr>
              <w:ind w:left="320"/>
              <w:spacing w:after="0"/>
              <w:rPr>
                <w:sz w:val="20"/>
                <w:szCs w:val="20"/>
                <w:color w:val="auto"/>
              </w:rPr>
            </w:pPr>
            <w:r>
              <w:rPr>
                <w:rFonts w:ascii="Arial" w:cs="Arial" w:eastAsia="Arial" w:hAnsi="Arial"/>
                <w:sz w:val="18"/>
                <w:szCs w:val="18"/>
                <w:color w:val="auto"/>
              </w:rPr>
              <w:t>Current assets of discontinued operations</w:t>
            </w:r>
          </w:p>
        </w:tc>
        <w:tc>
          <w:tcPr>
            <w:tcW w:w="1140" w:type="dxa"/>
            <w:vAlign w:val="bottom"/>
          </w:tcPr>
          <w:p>
            <w:pPr>
              <w:spacing w:after="0"/>
              <w:rPr>
                <w:sz w:val="19"/>
                <w:szCs w:val="19"/>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12.6</w:t>
            </w:r>
          </w:p>
        </w:tc>
        <w:tc>
          <w:tcPr>
            <w:tcW w:w="640" w:type="dxa"/>
            <w:vAlign w:val="bottom"/>
          </w:tcPr>
          <w:p>
            <w:pPr>
              <w:spacing w:after="0"/>
              <w:rPr>
                <w:sz w:val="19"/>
                <w:szCs w:val="19"/>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12.9</w:t>
            </w:r>
          </w:p>
        </w:tc>
        <w:tc>
          <w:tcPr>
            <w:tcW w:w="660" w:type="dxa"/>
            <w:vAlign w:val="bottom"/>
          </w:tcPr>
          <w:p>
            <w:pPr>
              <w:spacing w:after="0"/>
              <w:rPr>
                <w:sz w:val="19"/>
                <w:szCs w:val="19"/>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21.9</w:t>
            </w:r>
          </w:p>
        </w:tc>
      </w:tr>
      <w:tr>
        <w:trPr>
          <w:trHeight w:val="110"/>
        </w:trPr>
        <w:tc>
          <w:tcPr>
            <w:tcW w:w="58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464"/>
        </w:trPr>
        <w:tc>
          <w:tcPr>
            <w:tcW w:w="5880" w:type="dxa"/>
            <w:vAlign w:val="bottom"/>
          </w:tcPr>
          <w:p>
            <w:pPr>
              <w:ind w:left="480"/>
              <w:spacing w:after="0"/>
              <w:rPr>
                <w:sz w:val="20"/>
                <w:szCs w:val="20"/>
                <w:color w:val="auto"/>
              </w:rPr>
            </w:pPr>
            <w:r>
              <w:rPr>
                <w:rFonts w:ascii="Arial" w:cs="Arial" w:eastAsia="Arial" w:hAnsi="Arial"/>
                <w:sz w:val="18"/>
                <w:szCs w:val="18"/>
                <w:i w:val="1"/>
                <w:iCs w:val="1"/>
                <w:color w:val="auto"/>
              </w:rPr>
              <w:t>Total current assets</w:t>
            </w:r>
          </w:p>
        </w:tc>
        <w:tc>
          <w:tcPr>
            <w:tcW w:w="1140" w:type="dxa"/>
            <w:vAlign w:val="bottom"/>
          </w:tcPr>
          <w:p>
            <w:pPr>
              <w:spacing w:after="0"/>
              <w:rPr>
                <w:sz w:val="24"/>
                <w:szCs w:val="24"/>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925.3</w:t>
            </w:r>
          </w:p>
        </w:tc>
        <w:tc>
          <w:tcPr>
            <w:tcW w:w="640" w:type="dxa"/>
            <w:vAlign w:val="bottom"/>
          </w:tcPr>
          <w:p>
            <w:pPr>
              <w:spacing w:after="0"/>
              <w:rPr>
                <w:sz w:val="24"/>
                <w:szCs w:val="24"/>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887.0</w:t>
            </w:r>
          </w:p>
        </w:tc>
        <w:tc>
          <w:tcPr>
            <w:tcW w:w="660" w:type="dxa"/>
            <w:vAlign w:val="bottom"/>
          </w:tcPr>
          <w:p>
            <w:pPr>
              <w:spacing w:after="0"/>
              <w:rPr>
                <w:sz w:val="24"/>
                <w:szCs w:val="24"/>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880.7</w:t>
            </w:r>
          </w:p>
        </w:tc>
      </w:tr>
      <w:tr>
        <w:trPr>
          <w:trHeight w:val="358"/>
        </w:trPr>
        <w:tc>
          <w:tcPr>
            <w:tcW w:w="588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1140" w:type="dxa"/>
            <w:vAlign w:val="bottom"/>
          </w:tcPr>
          <w:p>
            <w:pPr>
              <w:spacing w:after="0"/>
              <w:rPr>
                <w:sz w:val="24"/>
                <w:szCs w:val="24"/>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321.0</w:t>
            </w:r>
          </w:p>
        </w:tc>
        <w:tc>
          <w:tcPr>
            <w:tcW w:w="640" w:type="dxa"/>
            <w:vAlign w:val="bottom"/>
          </w:tcPr>
          <w:p>
            <w:pPr>
              <w:spacing w:after="0"/>
              <w:rPr>
                <w:sz w:val="24"/>
                <w:szCs w:val="24"/>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316.6</w:t>
            </w:r>
          </w:p>
        </w:tc>
        <w:tc>
          <w:tcPr>
            <w:tcW w:w="660" w:type="dxa"/>
            <w:vAlign w:val="bottom"/>
          </w:tcPr>
          <w:p>
            <w:pPr>
              <w:spacing w:after="0"/>
              <w:rPr>
                <w:sz w:val="24"/>
                <w:szCs w:val="24"/>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317.4</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Prepublication costs</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109.1</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110.7</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119.7</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Royalty advances, net</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37.9</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38.0</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41.1</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Production costs</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7.2</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7.1</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6.4</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Goodwill</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156.6</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156.6</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157.0</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Other intangibles</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15.4</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15.5</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51.7</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Non current deferred income taxes</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33.0</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33.6</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59.0</w:t>
            </w:r>
          </w:p>
        </w:tc>
      </w:tr>
      <w:tr>
        <w:trPr>
          <w:trHeight w:val="222"/>
        </w:trPr>
        <w:tc>
          <w:tcPr>
            <w:tcW w:w="5880" w:type="dxa"/>
            <w:vAlign w:val="bottom"/>
          </w:tcPr>
          <w:p>
            <w:pPr>
              <w:ind w:left="320"/>
              <w:spacing w:after="0"/>
              <w:rPr>
                <w:sz w:val="20"/>
                <w:szCs w:val="20"/>
                <w:color w:val="auto"/>
              </w:rPr>
            </w:pPr>
            <w:r>
              <w:rPr>
                <w:rFonts w:ascii="Arial" w:cs="Arial" w:eastAsia="Arial" w:hAnsi="Arial"/>
                <w:sz w:val="18"/>
                <w:szCs w:val="18"/>
                <w:color w:val="auto"/>
              </w:rPr>
              <w:t>Other assets and deferred charges</w:t>
            </w:r>
          </w:p>
        </w:tc>
        <w:tc>
          <w:tcPr>
            <w:tcW w:w="1140" w:type="dxa"/>
            <w:vAlign w:val="bottom"/>
          </w:tcPr>
          <w:p>
            <w:pPr>
              <w:spacing w:after="0"/>
              <w:rPr>
                <w:sz w:val="19"/>
                <w:szCs w:val="19"/>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37.8</w:t>
            </w:r>
          </w:p>
        </w:tc>
        <w:tc>
          <w:tcPr>
            <w:tcW w:w="640" w:type="dxa"/>
            <w:vAlign w:val="bottom"/>
          </w:tcPr>
          <w:p>
            <w:pPr>
              <w:spacing w:after="0"/>
              <w:rPr>
                <w:sz w:val="19"/>
                <w:szCs w:val="19"/>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35.3</w:t>
            </w:r>
          </w:p>
        </w:tc>
        <w:tc>
          <w:tcPr>
            <w:tcW w:w="660" w:type="dxa"/>
            <w:vAlign w:val="bottom"/>
          </w:tcPr>
          <w:p>
            <w:pPr>
              <w:spacing w:after="0"/>
              <w:rPr>
                <w:sz w:val="19"/>
                <w:szCs w:val="19"/>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37.8</w:t>
            </w:r>
          </w:p>
        </w:tc>
      </w:tr>
      <w:tr>
        <w:trPr>
          <w:trHeight w:val="110"/>
        </w:trPr>
        <w:tc>
          <w:tcPr>
            <w:tcW w:w="58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316"/>
        </w:trPr>
        <w:tc>
          <w:tcPr>
            <w:tcW w:w="58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92"/>
              <w:spacing w:after="0"/>
              <w:rPr>
                <w:sz w:val="20"/>
                <w:szCs w:val="20"/>
                <w:color w:val="auto"/>
              </w:rPr>
            </w:pPr>
            <w:r>
              <w:rPr>
                <w:rFonts w:ascii="Arial" w:cs="Arial" w:eastAsia="Arial" w:hAnsi="Arial"/>
                <w:sz w:val="18"/>
                <w:szCs w:val="18"/>
                <w:b w:val="1"/>
                <w:bCs w:val="1"/>
                <w:color w:val="auto"/>
              </w:rPr>
              <w:t>1,643.3</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72"/>
              <w:spacing w:after="0"/>
              <w:rPr>
                <w:sz w:val="20"/>
                <w:szCs w:val="20"/>
                <w:color w:val="auto"/>
              </w:rPr>
            </w:pPr>
            <w:r>
              <w:rPr>
                <w:rFonts w:ascii="Arial" w:cs="Arial" w:eastAsia="Arial" w:hAnsi="Arial"/>
                <w:sz w:val="18"/>
                <w:szCs w:val="18"/>
                <w:b w:val="1"/>
                <w:bCs w:val="1"/>
                <w:color w:val="auto"/>
                <w:w w:val="96"/>
              </w:rPr>
              <w:t>1,600.4</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432"/>
              <w:spacing w:after="0"/>
              <w:rPr>
                <w:sz w:val="20"/>
                <w:szCs w:val="20"/>
                <w:color w:val="auto"/>
              </w:rPr>
            </w:pPr>
            <w:r>
              <w:rPr>
                <w:rFonts w:ascii="Arial" w:cs="Arial" w:eastAsia="Arial" w:hAnsi="Arial"/>
                <w:sz w:val="18"/>
                <w:szCs w:val="18"/>
                <w:b w:val="1"/>
                <w:bCs w:val="1"/>
                <w:color w:val="auto"/>
                <w:w w:val="96"/>
              </w:rPr>
              <w:t>1,670.8</w:t>
            </w:r>
          </w:p>
        </w:tc>
      </w:tr>
      <w:tr>
        <w:trPr>
          <w:trHeight w:val="110"/>
        </w:trPr>
        <w:tc>
          <w:tcPr>
            <w:tcW w:w="58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458"/>
        </w:trPr>
        <w:tc>
          <w:tcPr>
            <w:tcW w:w="58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58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Liabilities:</w:t>
            </w: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Lines of credit, short-term debt and current portion of long-term debt</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50.5</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50.3</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56.2</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0.9</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0.9</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2.6</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178.0</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101.0</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167.2</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Accrued royalties</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56.3</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42.3</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56.8</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59.8</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39.8</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55.5</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Other accrued expenses</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138.9</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156.2</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160.6</w:t>
            </w:r>
          </w:p>
        </w:tc>
      </w:tr>
      <w:tr>
        <w:trPr>
          <w:trHeight w:val="222"/>
        </w:trPr>
        <w:tc>
          <w:tcPr>
            <w:tcW w:w="5880" w:type="dxa"/>
            <w:vAlign w:val="bottom"/>
          </w:tcPr>
          <w:p>
            <w:pPr>
              <w:ind w:left="320"/>
              <w:spacing w:after="0"/>
              <w:rPr>
                <w:sz w:val="20"/>
                <w:szCs w:val="20"/>
                <w:color w:val="auto"/>
              </w:rPr>
            </w:pPr>
            <w:r>
              <w:rPr>
                <w:rFonts w:ascii="Arial" w:cs="Arial" w:eastAsia="Arial" w:hAnsi="Arial"/>
                <w:sz w:val="18"/>
                <w:szCs w:val="18"/>
                <w:color w:val="auto"/>
              </w:rPr>
              <w:t>Current liabilities of discontinued operations</w:t>
            </w:r>
          </w:p>
        </w:tc>
        <w:tc>
          <w:tcPr>
            <w:tcW w:w="1140" w:type="dxa"/>
            <w:vAlign w:val="bottom"/>
          </w:tcPr>
          <w:p>
            <w:pPr>
              <w:spacing w:after="0"/>
              <w:rPr>
                <w:sz w:val="19"/>
                <w:szCs w:val="19"/>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2.9</w:t>
            </w:r>
          </w:p>
        </w:tc>
        <w:tc>
          <w:tcPr>
            <w:tcW w:w="640" w:type="dxa"/>
            <w:vAlign w:val="bottom"/>
          </w:tcPr>
          <w:p>
            <w:pPr>
              <w:spacing w:after="0"/>
              <w:rPr>
                <w:sz w:val="19"/>
                <w:szCs w:val="19"/>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9"/>
                <w:szCs w:val="19"/>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4.9</w:t>
            </w:r>
          </w:p>
        </w:tc>
      </w:tr>
      <w:tr>
        <w:trPr>
          <w:trHeight w:val="110"/>
        </w:trPr>
        <w:tc>
          <w:tcPr>
            <w:tcW w:w="58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464"/>
        </w:trPr>
        <w:tc>
          <w:tcPr>
            <w:tcW w:w="5880" w:type="dxa"/>
            <w:vAlign w:val="bottom"/>
          </w:tcPr>
          <w:p>
            <w:pPr>
              <w:ind w:left="480"/>
              <w:spacing w:after="0"/>
              <w:rPr>
                <w:sz w:val="20"/>
                <w:szCs w:val="20"/>
                <w:color w:val="auto"/>
              </w:rPr>
            </w:pPr>
            <w:r>
              <w:rPr>
                <w:rFonts w:ascii="Arial" w:cs="Arial" w:eastAsia="Arial" w:hAnsi="Arial"/>
                <w:sz w:val="18"/>
                <w:szCs w:val="18"/>
                <w:i w:val="1"/>
                <w:iCs w:val="1"/>
                <w:color w:val="auto"/>
              </w:rPr>
              <w:t>Total current liabilities</w:t>
            </w:r>
          </w:p>
        </w:tc>
        <w:tc>
          <w:tcPr>
            <w:tcW w:w="1140" w:type="dxa"/>
            <w:vAlign w:val="bottom"/>
          </w:tcPr>
          <w:p>
            <w:pPr>
              <w:spacing w:after="0"/>
              <w:rPr>
                <w:sz w:val="24"/>
                <w:szCs w:val="24"/>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487.3</w:t>
            </w:r>
          </w:p>
        </w:tc>
        <w:tc>
          <w:tcPr>
            <w:tcW w:w="640" w:type="dxa"/>
            <w:vAlign w:val="bottom"/>
          </w:tcPr>
          <w:p>
            <w:pPr>
              <w:spacing w:after="0"/>
              <w:rPr>
                <w:sz w:val="24"/>
                <w:szCs w:val="24"/>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393.4</w:t>
            </w:r>
          </w:p>
        </w:tc>
        <w:tc>
          <w:tcPr>
            <w:tcW w:w="660" w:type="dxa"/>
            <w:vAlign w:val="bottom"/>
          </w:tcPr>
          <w:p>
            <w:pPr>
              <w:spacing w:after="0"/>
              <w:rPr>
                <w:sz w:val="24"/>
                <w:szCs w:val="24"/>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503.8</w:t>
            </w:r>
          </w:p>
        </w:tc>
      </w:tr>
      <w:tr>
        <w:trPr>
          <w:trHeight w:val="358"/>
        </w:trPr>
        <w:tc>
          <w:tcPr>
            <w:tcW w:w="58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Noncurrent Liabilities:</w:t>
            </w: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191.8</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202.5</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234.4</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55.1</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55.0</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54.7</w:t>
            </w:r>
          </w:p>
        </w:tc>
      </w:tr>
      <w:tr>
        <w:trPr>
          <w:trHeight w:val="222"/>
        </w:trPr>
        <w:tc>
          <w:tcPr>
            <w:tcW w:w="5880" w:type="dxa"/>
            <w:vAlign w:val="bottom"/>
          </w:tcPr>
          <w:p>
            <w:pPr>
              <w:ind w:left="320"/>
              <w:spacing w:after="0"/>
              <w:rPr>
                <w:sz w:val="20"/>
                <w:szCs w:val="20"/>
                <w:color w:val="auto"/>
              </w:rPr>
            </w:pPr>
            <w:r>
              <w:rPr>
                <w:rFonts w:ascii="Arial" w:cs="Arial" w:eastAsia="Arial" w:hAnsi="Arial"/>
                <w:sz w:val="18"/>
                <w:szCs w:val="18"/>
                <w:color w:val="auto"/>
              </w:rPr>
              <w:t>Other noncurrent liabilities</w:t>
            </w:r>
          </w:p>
        </w:tc>
        <w:tc>
          <w:tcPr>
            <w:tcW w:w="1140" w:type="dxa"/>
            <w:vAlign w:val="bottom"/>
          </w:tcPr>
          <w:p>
            <w:pPr>
              <w:spacing w:after="0"/>
              <w:rPr>
                <w:sz w:val="19"/>
                <w:szCs w:val="19"/>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116.8</w:t>
            </w:r>
          </w:p>
        </w:tc>
        <w:tc>
          <w:tcPr>
            <w:tcW w:w="640" w:type="dxa"/>
            <w:vAlign w:val="bottom"/>
          </w:tcPr>
          <w:p>
            <w:pPr>
              <w:spacing w:after="0"/>
              <w:rPr>
                <w:sz w:val="19"/>
                <w:szCs w:val="19"/>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119.1</w:t>
            </w:r>
          </w:p>
        </w:tc>
        <w:tc>
          <w:tcPr>
            <w:tcW w:w="660" w:type="dxa"/>
            <w:vAlign w:val="bottom"/>
          </w:tcPr>
          <w:p>
            <w:pPr>
              <w:spacing w:after="0"/>
              <w:rPr>
                <w:sz w:val="19"/>
                <w:szCs w:val="19"/>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110.4</w:t>
            </w:r>
          </w:p>
        </w:tc>
      </w:tr>
      <w:tr>
        <w:trPr>
          <w:trHeight w:val="110"/>
        </w:trPr>
        <w:tc>
          <w:tcPr>
            <w:tcW w:w="58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464"/>
        </w:trPr>
        <w:tc>
          <w:tcPr>
            <w:tcW w:w="5880" w:type="dxa"/>
            <w:vAlign w:val="bottom"/>
          </w:tcPr>
          <w:p>
            <w:pPr>
              <w:ind w:left="480"/>
              <w:spacing w:after="0"/>
              <w:rPr>
                <w:sz w:val="20"/>
                <w:szCs w:val="20"/>
                <w:color w:val="auto"/>
              </w:rPr>
            </w:pPr>
            <w:r>
              <w:rPr>
                <w:rFonts w:ascii="Arial" w:cs="Arial" w:eastAsia="Arial" w:hAnsi="Arial"/>
                <w:sz w:val="18"/>
                <w:szCs w:val="18"/>
                <w:i w:val="1"/>
                <w:iCs w:val="1"/>
                <w:color w:val="auto"/>
              </w:rPr>
              <w:t>Total noncurrent liabilities</w:t>
            </w:r>
          </w:p>
        </w:tc>
        <w:tc>
          <w:tcPr>
            <w:tcW w:w="1140" w:type="dxa"/>
            <w:vAlign w:val="bottom"/>
          </w:tcPr>
          <w:p>
            <w:pPr>
              <w:spacing w:after="0"/>
              <w:rPr>
                <w:sz w:val="24"/>
                <w:szCs w:val="24"/>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363.7</w:t>
            </w:r>
          </w:p>
        </w:tc>
        <w:tc>
          <w:tcPr>
            <w:tcW w:w="640" w:type="dxa"/>
            <w:vAlign w:val="bottom"/>
          </w:tcPr>
          <w:p>
            <w:pPr>
              <w:spacing w:after="0"/>
              <w:rPr>
                <w:sz w:val="24"/>
                <w:szCs w:val="24"/>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376.6</w:t>
            </w:r>
          </w:p>
        </w:tc>
        <w:tc>
          <w:tcPr>
            <w:tcW w:w="660" w:type="dxa"/>
            <w:vAlign w:val="bottom"/>
          </w:tcPr>
          <w:p>
            <w:pPr>
              <w:spacing w:after="0"/>
              <w:rPr>
                <w:sz w:val="24"/>
                <w:szCs w:val="24"/>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399.5</w:t>
            </w:r>
          </w:p>
        </w:tc>
      </w:tr>
      <w:tr>
        <w:trPr>
          <w:trHeight w:val="365"/>
        </w:trPr>
        <w:tc>
          <w:tcPr>
            <w:tcW w:w="5880" w:type="dxa"/>
            <w:vAlign w:val="bottom"/>
          </w:tcPr>
          <w:p>
            <w:pPr>
              <w:spacing w:after="0"/>
              <w:rPr>
                <w:sz w:val="20"/>
                <w:szCs w:val="20"/>
                <w:color w:val="auto"/>
              </w:rPr>
            </w:pPr>
            <w:r>
              <w:rPr>
                <w:rFonts w:ascii="Arial" w:cs="Arial" w:eastAsia="Arial" w:hAnsi="Arial"/>
                <w:sz w:val="18"/>
                <w:szCs w:val="18"/>
                <w:b w:val="1"/>
                <w:bCs w:val="1"/>
                <w:i w:val="1"/>
                <w:iCs w:val="1"/>
                <w:color w:val="auto"/>
              </w:rPr>
              <w:t>Commitments and Contingencies:</w:t>
            </w:r>
          </w:p>
        </w:tc>
        <w:tc>
          <w:tcPr>
            <w:tcW w:w="1140" w:type="dxa"/>
            <w:vAlign w:val="bottom"/>
          </w:tcPr>
          <w:p>
            <w:pPr>
              <w:spacing w:after="0"/>
              <w:rPr>
                <w:sz w:val="24"/>
                <w:szCs w:val="24"/>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w:t>
            </w:r>
          </w:p>
        </w:tc>
      </w:tr>
      <w:tr>
        <w:trPr>
          <w:trHeight w:val="358"/>
        </w:trPr>
        <w:tc>
          <w:tcPr>
            <w:tcW w:w="5880" w:type="dxa"/>
            <w:vAlign w:val="bottom"/>
          </w:tcPr>
          <w:p>
            <w:pPr>
              <w:spacing w:after="0"/>
              <w:rPr>
                <w:sz w:val="20"/>
                <w:szCs w:val="20"/>
                <w:color w:val="auto"/>
              </w:rPr>
            </w:pPr>
            <w:r>
              <w:rPr>
                <w:rFonts w:ascii="Arial" w:cs="Arial" w:eastAsia="Arial" w:hAnsi="Arial"/>
                <w:sz w:val="18"/>
                <w:szCs w:val="18"/>
                <w:b w:val="1"/>
                <w:bCs w:val="1"/>
                <w:i w:val="1"/>
                <w:iCs w:val="1"/>
                <w:color w:val="auto"/>
              </w:rPr>
              <w:t>Stockholders’ Equity:</w:t>
            </w: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Preferred Stock, $1.00 par value</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Class A Stock, $.01 par value</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0.0</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0.0</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0.0</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Common Stock, $.01 par value</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0.4</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0.4</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0.4</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574.5</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569.2</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558.4</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114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(81.6)</w:t>
            </w:r>
          </w:p>
        </w:tc>
        <w:tc>
          <w:tcPr>
            <w:tcW w:w="640" w:type="dxa"/>
            <w:vAlign w:val="bottom"/>
          </w:tcPr>
          <w:p>
            <w:pPr>
              <w:spacing w:after="0"/>
              <w:rPr>
                <w:sz w:val="18"/>
                <w:szCs w:val="18"/>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(85.4)</w:t>
            </w:r>
          </w:p>
        </w:tc>
        <w:tc>
          <w:tcPr>
            <w:tcW w:w="66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(73.3)</w:t>
            </w: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114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569.9</w:t>
            </w:r>
          </w:p>
        </w:tc>
        <w:tc>
          <w:tcPr>
            <w:tcW w:w="6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607.8</w:t>
            </w:r>
          </w:p>
        </w:tc>
        <w:tc>
          <w:tcPr>
            <w:tcW w:w="66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537.0</w:t>
            </w:r>
          </w:p>
        </w:tc>
      </w:tr>
      <w:tr>
        <w:trPr>
          <w:trHeight w:val="222"/>
        </w:trPr>
        <w:tc>
          <w:tcPr>
            <w:tcW w:w="5880" w:type="dxa"/>
            <w:vAlign w:val="bottom"/>
          </w:tcPr>
          <w:p>
            <w:pPr>
              <w:ind w:left="320"/>
              <w:spacing w:after="0"/>
              <w:rPr>
                <w:sz w:val="20"/>
                <w:szCs w:val="20"/>
                <w:color w:val="auto"/>
              </w:rPr>
            </w:pPr>
            <w:r>
              <w:rPr>
                <w:rFonts w:ascii="Arial" w:cs="Arial" w:eastAsia="Arial" w:hAnsi="Arial"/>
                <w:sz w:val="18"/>
                <w:szCs w:val="18"/>
                <w:color w:val="auto"/>
              </w:rPr>
              <w:t>Treasury stock at cost</w:t>
            </w:r>
          </w:p>
        </w:tc>
        <w:tc>
          <w:tcPr>
            <w:tcW w:w="1140" w:type="dxa"/>
            <w:vAlign w:val="bottom"/>
          </w:tcPr>
          <w:p>
            <w:pPr>
              <w:spacing w:after="0"/>
              <w:rPr>
                <w:sz w:val="19"/>
                <w:szCs w:val="19"/>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(270.9)</w:t>
            </w:r>
          </w:p>
        </w:tc>
        <w:tc>
          <w:tcPr>
            <w:tcW w:w="640" w:type="dxa"/>
            <w:vAlign w:val="bottom"/>
          </w:tcPr>
          <w:p>
            <w:pPr>
              <w:spacing w:after="0"/>
              <w:rPr>
                <w:sz w:val="19"/>
                <w:szCs w:val="19"/>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(261.6)</w:t>
            </w:r>
          </w:p>
        </w:tc>
        <w:tc>
          <w:tcPr>
            <w:tcW w:w="660" w:type="dxa"/>
            <w:vAlign w:val="bottom"/>
          </w:tcPr>
          <w:p>
            <w:pPr>
              <w:spacing w:after="0"/>
              <w:rPr>
                <w:sz w:val="19"/>
                <w:szCs w:val="19"/>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(255.0)</w:t>
            </w:r>
          </w:p>
        </w:tc>
      </w:tr>
      <w:tr>
        <w:trPr>
          <w:trHeight w:val="110"/>
        </w:trPr>
        <w:tc>
          <w:tcPr>
            <w:tcW w:w="58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316"/>
        </w:trPr>
        <w:tc>
          <w:tcPr>
            <w:tcW w:w="5880" w:type="dxa"/>
            <w:vAlign w:val="bottom"/>
          </w:tcPr>
          <w:p>
            <w:pPr>
              <w:ind w:left="480"/>
              <w:spacing w:after="0"/>
              <w:rPr>
                <w:sz w:val="20"/>
                <w:szCs w:val="20"/>
                <w:color w:val="auto"/>
              </w:rPr>
            </w:pPr>
            <w:r>
              <w:rPr>
                <w:rFonts w:ascii="Arial" w:cs="Arial" w:eastAsia="Arial" w:hAnsi="Arial"/>
                <w:sz w:val="18"/>
                <w:szCs w:val="18"/>
                <w:i w:val="1"/>
                <w:iCs w:val="1"/>
                <w:color w:val="auto"/>
              </w:rPr>
              <w:t>Total stockholders’ equity</w:t>
            </w:r>
          </w:p>
        </w:tc>
        <w:tc>
          <w:tcPr>
            <w:tcW w:w="1140" w:type="dxa"/>
            <w:vAlign w:val="bottom"/>
          </w:tcPr>
          <w:p>
            <w:pPr>
              <w:spacing w:after="0"/>
              <w:rPr>
                <w:sz w:val="24"/>
                <w:szCs w:val="24"/>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792.3</w:t>
            </w:r>
          </w:p>
        </w:tc>
        <w:tc>
          <w:tcPr>
            <w:tcW w:w="640" w:type="dxa"/>
            <w:vAlign w:val="bottom"/>
          </w:tcPr>
          <w:p>
            <w:pPr>
              <w:spacing w:after="0"/>
              <w:rPr>
                <w:sz w:val="24"/>
                <w:szCs w:val="24"/>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830.4</w:t>
            </w:r>
          </w:p>
        </w:tc>
        <w:tc>
          <w:tcPr>
            <w:tcW w:w="660" w:type="dxa"/>
            <w:vAlign w:val="bottom"/>
          </w:tcPr>
          <w:p>
            <w:pPr>
              <w:spacing w:after="0"/>
              <w:rPr>
                <w:sz w:val="24"/>
                <w:szCs w:val="24"/>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767.5</w:t>
            </w:r>
          </w:p>
        </w:tc>
      </w:tr>
      <w:tr>
        <w:trPr>
          <w:trHeight w:val="110"/>
        </w:trPr>
        <w:tc>
          <w:tcPr>
            <w:tcW w:w="58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316"/>
        </w:trPr>
        <w:tc>
          <w:tcPr>
            <w:tcW w:w="58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92"/>
              <w:spacing w:after="0"/>
              <w:rPr>
                <w:sz w:val="20"/>
                <w:szCs w:val="20"/>
                <w:color w:val="auto"/>
              </w:rPr>
            </w:pPr>
            <w:r>
              <w:rPr>
                <w:rFonts w:ascii="Arial" w:cs="Arial" w:eastAsia="Arial" w:hAnsi="Arial"/>
                <w:sz w:val="18"/>
                <w:szCs w:val="18"/>
                <w:b w:val="1"/>
                <w:bCs w:val="1"/>
                <w:color w:val="auto"/>
              </w:rPr>
              <w:t>1,643.3</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72"/>
              <w:spacing w:after="0"/>
              <w:rPr>
                <w:sz w:val="20"/>
                <w:szCs w:val="20"/>
                <w:color w:val="auto"/>
              </w:rPr>
            </w:pPr>
            <w:r>
              <w:rPr>
                <w:rFonts w:ascii="Arial" w:cs="Arial" w:eastAsia="Arial" w:hAnsi="Arial"/>
                <w:sz w:val="18"/>
                <w:szCs w:val="18"/>
                <w:b w:val="1"/>
                <w:bCs w:val="1"/>
                <w:color w:val="auto"/>
                <w:w w:val="96"/>
              </w:rPr>
              <w:t>1,600.4</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432"/>
              <w:spacing w:after="0"/>
              <w:rPr>
                <w:sz w:val="20"/>
                <w:szCs w:val="20"/>
                <w:color w:val="auto"/>
              </w:rPr>
            </w:pPr>
            <w:r>
              <w:rPr>
                <w:rFonts w:ascii="Arial" w:cs="Arial" w:eastAsia="Arial" w:hAnsi="Arial"/>
                <w:sz w:val="18"/>
                <w:szCs w:val="18"/>
                <w:b w:val="1"/>
                <w:bCs w:val="1"/>
                <w:color w:val="auto"/>
                <w:w w:val="96"/>
              </w:rPr>
              <w:t>1,670.8</w:t>
            </w:r>
          </w:p>
        </w:tc>
      </w:tr>
      <w:tr>
        <w:trPr>
          <w:trHeight w:val="110"/>
        </w:trPr>
        <w:tc>
          <w:tcPr>
            <w:tcW w:w="58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40"/>
          </w:cols>
          <w:pgMar w:left="240" w:top="382" w:right="219" w:bottom="963"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963"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left="9040"/>
        <w:spacing w:after="0"/>
        <w:rPr>
          <w:sz w:val="20"/>
          <w:szCs w:val="20"/>
          <w:color w:val="auto"/>
        </w:rPr>
      </w:pPr>
      <w:r>
        <w:rPr>
          <w:rFonts w:ascii="Arial" w:cs="Arial" w:eastAsia="Arial" w:hAnsi="Arial"/>
          <w:sz w:val="18"/>
          <w:szCs w:val="18"/>
          <w:b w:val="1"/>
          <w:bCs w:val="1"/>
          <w:i w:val="1"/>
          <w:iCs w:val="1"/>
          <w:color w:val="auto"/>
        </w:rPr>
        <w:t>Three months ended</w:t>
      </w:r>
    </w:p>
    <w:p>
      <w:pPr>
        <w:spacing w:after="0" w:line="15" w:lineRule="exact"/>
        <w:rPr>
          <w:sz w:val="20"/>
          <w:szCs w:val="20"/>
          <w:color w:val="auto"/>
        </w:rPr>
      </w:pPr>
    </w:p>
    <w:p>
      <w:pPr>
        <w:jc w:val="center"/>
        <w:ind w:left="9040"/>
        <w:spacing w:after="0"/>
        <w:rPr>
          <w:sz w:val="20"/>
          <w:szCs w:val="20"/>
          <w:color w:val="auto"/>
        </w:rPr>
      </w:pPr>
      <w:r>
        <w:rPr>
          <w:rFonts w:ascii="Arial" w:cs="Arial" w:eastAsia="Arial" w:hAnsi="Arial"/>
          <w:sz w:val="18"/>
          <w:szCs w:val="18"/>
          <w:b w:val="1"/>
          <w:bCs w:val="1"/>
          <w:i w:val="1"/>
          <w:iCs w:val="1"/>
          <w:color w:val="auto"/>
        </w:rPr>
        <w:t>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9"/>
                <w:szCs w:val="19"/>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b w:val="1"/>
                <w:bCs w:val="1"/>
                <w:color w:val="auto"/>
              </w:rPr>
              <w:t>2009</w:t>
            </w:r>
          </w:p>
        </w:tc>
      </w:tr>
      <w:tr>
        <w:trPr>
          <w:trHeight w:val="110"/>
        </w:trPr>
        <w:tc>
          <w:tcPr>
            <w:tcW w:w="89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09"/>
        </w:trPr>
        <w:tc>
          <w:tcPr>
            <w:tcW w:w="8940" w:type="dxa"/>
            <w:vAlign w:val="bottom"/>
          </w:tcPr>
          <w:p>
            <w:pPr>
              <w:spacing w:after="0"/>
              <w:rPr>
                <w:sz w:val="20"/>
                <w:szCs w:val="20"/>
                <w:color w:val="auto"/>
              </w:rPr>
            </w:pPr>
            <w:r>
              <w:rPr>
                <w:rFonts w:ascii="Arial" w:cs="Arial" w:eastAsia="Arial" w:hAnsi="Arial"/>
                <w:sz w:val="18"/>
                <w:szCs w:val="18"/>
                <w:b w:val="1"/>
                <w:bCs w:val="1"/>
                <w:color w:val="auto"/>
              </w:rPr>
              <w:t>Cash flows used in operating activities:</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8940" w:type="dxa"/>
            <w:vAlign w:val="bottom"/>
          </w:tcPr>
          <w:p>
            <w:pPr>
              <w:ind w:left="320"/>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(35.2)</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22"/>
        </w:trPr>
        <w:tc>
          <w:tcPr>
            <w:tcW w:w="8940" w:type="dxa"/>
            <w:vAlign w:val="bottom"/>
          </w:tcPr>
          <w:p>
            <w:pPr>
              <w:ind w:left="320"/>
              <w:spacing w:after="0"/>
              <w:rPr>
                <w:sz w:val="20"/>
                <w:szCs w:val="20"/>
                <w:color w:val="auto"/>
              </w:rPr>
            </w:pPr>
            <w:r>
              <w:rPr>
                <w:rFonts w:ascii="Arial" w:cs="Arial" w:eastAsia="Arial" w:hAnsi="Arial"/>
                <w:sz w:val="18"/>
                <w:szCs w:val="18"/>
                <w:color w:val="auto"/>
              </w:rPr>
              <w:t>(Loss) earnings from discontinued operations, net of tax</w:t>
            </w:r>
          </w:p>
        </w:tc>
        <w:tc>
          <w:tcPr>
            <w:tcW w:w="42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1.6</w:t>
            </w:r>
          </w:p>
        </w:tc>
      </w:tr>
      <w:tr>
        <w:trPr>
          <w:trHeight w:val="110"/>
        </w:trPr>
        <w:tc>
          <w:tcPr>
            <w:tcW w:w="89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16"/>
        </w:trPr>
        <w:tc>
          <w:tcPr>
            <w:tcW w:w="8940" w:type="dxa"/>
            <w:vAlign w:val="bottom"/>
          </w:tcPr>
          <w:p>
            <w:pPr>
              <w:ind w:left="320"/>
              <w:spacing w:after="0"/>
              <w:rPr>
                <w:sz w:val="20"/>
                <w:szCs w:val="20"/>
                <w:color w:val="auto"/>
              </w:rPr>
            </w:pPr>
            <w:r>
              <w:rPr>
                <w:rFonts w:ascii="Arial" w:cs="Arial" w:eastAsia="Arial" w:hAnsi="Arial"/>
                <w:sz w:val="18"/>
                <w:szCs w:val="18"/>
                <w:color w:val="auto"/>
              </w:rPr>
              <w:t>Loss from continuing operations</w:t>
            </w:r>
          </w:p>
        </w:tc>
        <w:tc>
          <w:tcPr>
            <w:tcW w:w="4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(34.2)</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358"/>
        </w:trPr>
        <w:tc>
          <w:tcPr>
            <w:tcW w:w="8940" w:type="dxa"/>
            <w:vAlign w:val="bottom"/>
          </w:tcPr>
          <w:p>
            <w:pPr>
              <w:ind w:left="160"/>
              <w:spacing w:after="0"/>
              <w:rPr>
                <w:sz w:val="20"/>
                <w:szCs w:val="20"/>
                <w:color w:val="auto"/>
              </w:rPr>
            </w:pPr>
            <w:r>
              <w:rPr>
                <w:rFonts w:ascii="Arial" w:cs="Arial" w:eastAsia="Arial" w:hAnsi="Arial"/>
                <w:sz w:val="18"/>
                <w:szCs w:val="18"/>
                <w:color w:val="auto"/>
                <w:w w:val="91"/>
              </w:rPr>
              <w:t>Adjustments to reconcile loss from continuing operations to net cash used in operating activities of continuing operations:</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8940" w:type="dxa"/>
            <w:vAlign w:val="bottom"/>
          </w:tcPr>
          <w:p>
            <w:pPr>
              <w:ind w:left="320"/>
              <w:spacing w:after="0"/>
              <w:rPr>
                <w:sz w:val="20"/>
                <w:szCs w:val="20"/>
                <w:color w:val="auto"/>
              </w:rPr>
            </w:pPr>
            <w:r>
              <w:rPr>
                <w:rFonts w:ascii="Arial" w:cs="Arial" w:eastAsia="Arial" w:hAnsi="Arial"/>
                <w:sz w:val="18"/>
                <w:szCs w:val="18"/>
                <w:color w:val="auto"/>
              </w:rPr>
              <w:t>Provision for losses on accounts receivable</w:t>
            </w:r>
          </w:p>
        </w:tc>
        <w:tc>
          <w:tcPr>
            <w:tcW w:w="4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w:t>
            </w:r>
          </w:p>
        </w:tc>
      </w:tr>
      <w:tr>
        <w:trPr>
          <w:trHeight w:val="216"/>
        </w:trPr>
        <w:tc>
          <w:tcPr>
            <w:tcW w:w="8940" w:type="dxa"/>
            <w:vAlign w:val="bottom"/>
          </w:tcPr>
          <w:p>
            <w:pPr>
              <w:ind w:left="320"/>
              <w:spacing w:after="0"/>
              <w:rPr>
                <w:sz w:val="20"/>
                <w:szCs w:val="20"/>
                <w:color w:val="auto"/>
              </w:rPr>
            </w:pPr>
            <w:r>
              <w:rPr>
                <w:rFonts w:ascii="Arial" w:cs="Arial" w:eastAsia="Arial" w:hAnsi="Arial"/>
                <w:sz w:val="18"/>
                <w:szCs w:val="18"/>
                <w:color w:val="auto"/>
              </w:rPr>
              <w:t>Provision for losses on inventory</w:t>
            </w:r>
          </w:p>
        </w:tc>
        <w:tc>
          <w:tcPr>
            <w:tcW w:w="4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5.7</w:t>
            </w:r>
          </w:p>
        </w:tc>
      </w:tr>
      <w:tr>
        <w:trPr>
          <w:trHeight w:val="216"/>
        </w:trPr>
        <w:tc>
          <w:tcPr>
            <w:tcW w:w="8940" w:type="dxa"/>
            <w:vAlign w:val="bottom"/>
          </w:tcPr>
          <w:p>
            <w:pPr>
              <w:ind w:left="320"/>
              <w:spacing w:after="0"/>
              <w:rPr>
                <w:sz w:val="20"/>
                <w:szCs w:val="20"/>
                <w:color w:val="auto"/>
              </w:rPr>
            </w:pPr>
            <w:r>
              <w:rPr>
                <w:rFonts w:ascii="Arial" w:cs="Arial" w:eastAsia="Arial" w:hAnsi="Arial"/>
                <w:sz w:val="18"/>
                <w:szCs w:val="18"/>
                <w:color w:val="auto"/>
              </w:rPr>
              <w:t>Provision for losses on royalty</w:t>
            </w:r>
          </w:p>
        </w:tc>
        <w:tc>
          <w:tcPr>
            <w:tcW w:w="4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1.5</w:t>
            </w:r>
          </w:p>
        </w:tc>
      </w:tr>
      <w:tr>
        <w:trPr>
          <w:trHeight w:val="216"/>
        </w:trPr>
        <w:tc>
          <w:tcPr>
            <w:tcW w:w="8940" w:type="dxa"/>
            <w:vAlign w:val="bottom"/>
          </w:tcPr>
          <w:p>
            <w:pPr>
              <w:ind w:left="320"/>
              <w:spacing w:after="0"/>
              <w:rPr>
                <w:sz w:val="20"/>
                <w:szCs w:val="20"/>
                <w:color w:val="auto"/>
              </w:rPr>
            </w:pPr>
            <w:r>
              <w:rPr>
                <w:rFonts w:ascii="Arial" w:cs="Arial" w:eastAsia="Arial" w:hAnsi="Arial"/>
                <w:sz w:val="18"/>
                <w:szCs w:val="18"/>
                <w:color w:val="auto"/>
              </w:rPr>
              <w:t>Amortization of prepublication and production costs</w:t>
            </w:r>
          </w:p>
        </w:tc>
        <w:tc>
          <w:tcPr>
            <w:tcW w:w="4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12.1</w:t>
            </w:r>
          </w:p>
        </w:tc>
      </w:tr>
      <w:tr>
        <w:trPr>
          <w:trHeight w:val="216"/>
        </w:trPr>
        <w:tc>
          <w:tcPr>
            <w:tcW w:w="89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14.7</w:t>
            </w:r>
          </w:p>
        </w:tc>
      </w:tr>
      <w:tr>
        <w:trPr>
          <w:trHeight w:val="216"/>
        </w:trPr>
        <w:tc>
          <w:tcPr>
            <w:tcW w:w="894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894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5.5</w:t>
            </w:r>
          </w:p>
        </w:tc>
      </w:tr>
      <w:tr>
        <w:trPr>
          <w:trHeight w:val="216"/>
        </w:trPr>
        <w:tc>
          <w:tcPr>
            <w:tcW w:w="894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(122.4)</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Deferred promotion costs</w:t>
            </w:r>
          </w:p>
        </w:tc>
        <w:tc>
          <w:tcPr>
            <w:tcW w:w="4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Royalty advances</w:t>
            </w:r>
          </w:p>
        </w:tc>
        <w:tc>
          <w:tcPr>
            <w:tcW w:w="4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75.8</w:t>
            </w:r>
          </w:p>
        </w:tc>
        <w:tc>
          <w:tcPr>
            <w:tcW w:w="28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38.7</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Other accrued expenses</w:t>
            </w:r>
          </w:p>
        </w:tc>
        <w:tc>
          <w:tcPr>
            <w:tcW w:w="4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Accrued royalties</w:t>
            </w:r>
          </w:p>
        </w:tc>
        <w:tc>
          <w:tcPr>
            <w:tcW w:w="4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15.0</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21.3</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Pension and post-retirement liability</w:t>
            </w:r>
          </w:p>
        </w:tc>
        <w:tc>
          <w:tcPr>
            <w:tcW w:w="4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894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0.1</w:t>
            </w:r>
          </w:p>
        </w:tc>
      </w:tr>
      <w:tr>
        <w:trPr>
          <w:trHeight w:val="110"/>
        </w:trPr>
        <w:tc>
          <w:tcPr>
            <w:tcW w:w="89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16"/>
        </w:trPr>
        <w:tc>
          <w:tcPr>
            <w:tcW w:w="8940" w:type="dxa"/>
            <w:vAlign w:val="bottom"/>
          </w:tcPr>
          <w:p>
            <w:pPr>
              <w:ind w:left="160"/>
              <w:spacing w:after="0"/>
              <w:rPr>
                <w:sz w:val="20"/>
                <w:szCs w:val="20"/>
                <w:color w:val="auto"/>
              </w:rPr>
            </w:pPr>
            <w:r>
              <w:rPr>
                <w:rFonts w:ascii="Arial" w:cs="Arial" w:eastAsia="Arial" w:hAnsi="Arial"/>
                <w:sz w:val="18"/>
                <w:szCs w:val="18"/>
                <w:color w:val="auto"/>
              </w:rPr>
              <w:t>Total adjustments</w:t>
            </w:r>
          </w:p>
        </w:tc>
        <w:tc>
          <w:tcPr>
            <w:tcW w:w="4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110"/>
        </w:trPr>
        <w:tc>
          <w:tcPr>
            <w:tcW w:w="89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09"/>
        </w:trPr>
        <w:tc>
          <w:tcPr>
            <w:tcW w:w="8940" w:type="dxa"/>
            <w:vAlign w:val="bottom"/>
          </w:tcPr>
          <w:p>
            <w:pPr>
              <w:ind w:left="480"/>
              <w:spacing w:after="0"/>
              <w:rPr>
                <w:sz w:val="20"/>
                <w:szCs w:val="20"/>
                <w:color w:val="auto"/>
              </w:rPr>
            </w:pPr>
            <w:r>
              <w:rPr>
                <w:rFonts w:ascii="Arial" w:cs="Arial" w:eastAsia="Arial" w:hAnsi="Arial"/>
                <w:sz w:val="18"/>
                <w:szCs w:val="18"/>
                <w:color w:val="auto"/>
              </w:rPr>
              <w:t>Net cash used in operating activities of continuing operations</w:t>
            </w:r>
          </w:p>
        </w:tc>
        <w:tc>
          <w:tcPr>
            <w:tcW w:w="4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(71.0)</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22"/>
        </w:trPr>
        <w:tc>
          <w:tcPr>
            <w:tcW w:w="8940" w:type="dxa"/>
            <w:vAlign w:val="bottom"/>
          </w:tcPr>
          <w:p>
            <w:pPr>
              <w:ind w:left="480"/>
              <w:spacing w:after="0"/>
              <w:rPr>
                <w:sz w:val="20"/>
                <w:szCs w:val="20"/>
                <w:color w:val="auto"/>
              </w:rPr>
            </w:pPr>
            <w:r>
              <w:rPr>
                <w:rFonts w:ascii="Arial" w:cs="Arial" w:eastAsia="Arial" w:hAnsi="Arial"/>
                <w:sz w:val="18"/>
                <w:szCs w:val="18"/>
                <w:color w:val="auto"/>
              </w:rPr>
              <w:t>Net cash (used in) provided by operating activities of discontinued operations</w:t>
            </w:r>
          </w:p>
        </w:tc>
        <w:tc>
          <w:tcPr>
            <w:tcW w:w="42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1.5</w:t>
            </w:r>
          </w:p>
        </w:tc>
      </w:tr>
      <w:tr>
        <w:trPr>
          <w:trHeight w:val="110"/>
        </w:trPr>
        <w:tc>
          <w:tcPr>
            <w:tcW w:w="89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16"/>
        </w:trPr>
        <w:tc>
          <w:tcPr>
            <w:tcW w:w="8940" w:type="dxa"/>
            <w:vAlign w:val="bottom"/>
          </w:tcPr>
          <w:p>
            <w:pPr>
              <w:ind w:left="48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(73.1)</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358"/>
        </w:trPr>
        <w:tc>
          <w:tcPr>
            <w:tcW w:w="894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8940" w:type="dxa"/>
            <w:vAlign w:val="bottom"/>
          </w:tcPr>
          <w:p>
            <w:pPr>
              <w:ind w:left="160"/>
              <w:spacing w:after="0"/>
              <w:rPr>
                <w:sz w:val="20"/>
                <w:szCs w:val="20"/>
                <w:color w:val="auto"/>
              </w:rPr>
            </w:pPr>
            <w:r>
              <w:rPr>
                <w:rFonts w:ascii="Arial" w:cs="Arial" w:eastAsia="Arial" w:hAnsi="Arial"/>
                <w:sz w:val="18"/>
                <w:szCs w:val="18"/>
                <w:color w:val="auto"/>
              </w:rPr>
              <w:t>Prepublication and production expenditures</w:t>
            </w:r>
          </w:p>
        </w:tc>
        <w:tc>
          <w:tcPr>
            <w:tcW w:w="4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894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4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2"/>
        </w:trPr>
        <w:tc>
          <w:tcPr>
            <w:tcW w:w="8940" w:type="dxa"/>
            <w:vAlign w:val="bottom"/>
          </w:tcPr>
          <w:p>
            <w:pPr>
              <w:ind w:left="160"/>
              <w:spacing w:after="0"/>
              <w:rPr>
                <w:sz w:val="20"/>
                <w:szCs w:val="20"/>
                <w:color w:val="auto"/>
              </w:rPr>
            </w:pPr>
            <w:r>
              <w:rPr>
                <w:rFonts w:ascii="Arial" w:cs="Arial" w:eastAsia="Arial" w:hAnsi="Arial"/>
                <w:sz w:val="18"/>
                <w:szCs w:val="18"/>
                <w:color w:val="auto"/>
              </w:rPr>
              <w:t>Acquisition related payments</w:t>
            </w:r>
          </w:p>
        </w:tc>
        <w:tc>
          <w:tcPr>
            <w:tcW w:w="42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110"/>
        </w:trPr>
        <w:tc>
          <w:tcPr>
            <w:tcW w:w="89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09"/>
        </w:trPr>
        <w:tc>
          <w:tcPr>
            <w:tcW w:w="8940" w:type="dxa"/>
            <w:vAlign w:val="bottom"/>
          </w:tcPr>
          <w:p>
            <w:pPr>
              <w:ind w:left="160"/>
              <w:spacing w:after="0"/>
              <w:rPr>
                <w:sz w:val="20"/>
                <w:szCs w:val="20"/>
                <w:color w:val="auto"/>
              </w:rPr>
            </w:pPr>
            <w:r>
              <w:rPr>
                <w:rFonts w:ascii="Arial" w:cs="Arial" w:eastAsia="Arial" w:hAnsi="Arial"/>
                <w:sz w:val="18"/>
                <w:szCs w:val="18"/>
                <w:color w:val="auto"/>
              </w:rPr>
              <w:t>Net cash used in investing activities of continuing operations</w:t>
            </w:r>
          </w:p>
        </w:tc>
        <w:tc>
          <w:tcPr>
            <w:tcW w:w="4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22"/>
        </w:trPr>
        <w:tc>
          <w:tcPr>
            <w:tcW w:w="8940" w:type="dxa"/>
            <w:vAlign w:val="bottom"/>
          </w:tcPr>
          <w:p>
            <w:pPr>
              <w:ind w:left="3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i w:val="1"/>
          <w:iCs w:val="1"/>
          <w:color w:val="auto"/>
        </w:rPr>
        <w:t>Three months ended</w:t>
      </w:r>
    </w:p>
    <w:p>
      <w:pPr>
        <w:spacing w:after="0" w:line="15"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i w:val="1"/>
          <w:iCs w:val="1"/>
          <w:color w:val="auto"/>
        </w:rPr>
        <w:t>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8"/>
                <w:szCs w:val="18"/>
                <w:b w:val="1"/>
                <w:bCs w:val="1"/>
                <w:color w:val="auto"/>
              </w:rPr>
              <w:t>2009</w:t>
            </w:r>
          </w:p>
        </w:tc>
      </w:tr>
      <w:tr>
        <w:trPr>
          <w:trHeight w:val="110"/>
        </w:trPr>
        <w:tc>
          <w:tcPr>
            <w:tcW w:w="668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09"/>
        </w:trPr>
        <w:tc>
          <w:tcPr>
            <w:tcW w:w="6680" w:type="dxa"/>
            <w:vAlign w:val="bottom"/>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2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Repayment of term loan</w:t>
            </w:r>
          </w:p>
        </w:tc>
        <w:tc>
          <w:tcPr>
            <w:tcW w:w="24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Repurchase of 5.00% notes</w:t>
            </w:r>
          </w:p>
        </w:tc>
        <w:tc>
          <w:tcPr>
            <w:tcW w:w="24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Borrowings under lines of credit</w:t>
            </w:r>
          </w:p>
        </w:tc>
        <w:tc>
          <w:tcPr>
            <w:tcW w:w="24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12.6</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40.7</w:t>
            </w: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Repayment under lines of credit</w:t>
            </w:r>
          </w:p>
        </w:tc>
        <w:tc>
          <w:tcPr>
            <w:tcW w:w="24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(12.6)</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24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6680" w:type="dxa"/>
            <w:vAlign w:val="bottom"/>
          </w:tcPr>
          <w:p>
            <w:pPr>
              <w:ind w:left="160"/>
              <w:spacing w:after="0"/>
              <w:rPr>
                <w:sz w:val="20"/>
                <w:szCs w:val="20"/>
                <w:color w:val="auto"/>
              </w:rPr>
            </w:pPr>
            <w:r>
              <w:rPr>
                <w:rFonts w:ascii="Arial" w:cs="Arial" w:eastAsia="Arial" w:hAnsi="Arial"/>
                <w:sz w:val="18"/>
                <w:szCs w:val="18"/>
                <w:color w:val="auto"/>
              </w:rPr>
              <w:t>Reacquisition of common stock</w:t>
            </w:r>
          </w:p>
        </w:tc>
        <w:tc>
          <w:tcPr>
            <w:tcW w:w="24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6680" w:type="dxa"/>
            <w:vAlign w:val="bottom"/>
          </w:tcPr>
          <w:p>
            <w:pPr>
              <w:ind w:left="160"/>
              <w:spacing w:after="0"/>
              <w:rPr>
                <w:sz w:val="20"/>
                <w:szCs w:val="20"/>
                <w:color w:val="auto"/>
              </w:rPr>
            </w:pPr>
            <w:r>
              <w:rPr>
                <w:rFonts w:ascii="Arial" w:cs="Arial" w:eastAsia="Arial" w:hAnsi="Arial"/>
                <w:sz w:val="18"/>
                <w:szCs w:val="18"/>
                <w:color w:val="auto"/>
              </w:rPr>
              <w:t>Payment of dividends</w:t>
            </w:r>
          </w:p>
        </w:tc>
        <w:tc>
          <w:tcPr>
            <w:tcW w:w="242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10"/>
        </w:trPr>
        <w:tc>
          <w:tcPr>
            <w:tcW w:w="668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16"/>
        </w:trPr>
        <w:tc>
          <w:tcPr>
            <w:tcW w:w="6680" w:type="dxa"/>
            <w:vAlign w:val="bottom"/>
          </w:tcPr>
          <w:p>
            <w:pPr>
              <w:ind w:left="160"/>
              <w:spacing w:after="0"/>
              <w:rPr>
                <w:sz w:val="20"/>
                <w:szCs w:val="20"/>
                <w:color w:val="auto"/>
              </w:rPr>
            </w:pPr>
            <w:r>
              <w:rPr>
                <w:rFonts w:ascii="Arial" w:cs="Arial" w:eastAsia="Arial" w:hAnsi="Arial"/>
                <w:sz w:val="18"/>
                <w:szCs w:val="18"/>
                <w:color w:val="auto"/>
              </w:rPr>
              <w:t>Net cash used in financing activities of continuing operations</w:t>
            </w:r>
          </w:p>
        </w:tc>
        <w:tc>
          <w:tcPr>
            <w:tcW w:w="242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(23.4)</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110"/>
        </w:trPr>
        <w:tc>
          <w:tcPr>
            <w:tcW w:w="668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58"/>
        </w:trPr>
        <w:tc>
          <w:tcPr>
            <w:tcW w:w="6680" w:type="dxa"/>
            <w:vAlign w:val="bottom"/>
          </w:tcPr>
          <w:p>
            <w:pPr>
              <w:ind w:left="160"/>
              <w:spacing w:after="0"/>
              <w:rPr>
                <w:sz w:val="20"/>
                <w:szCs w:val="20"/>
                <w:color w:val="auto"/>
              </w:rPr>
            </w:pPr>
            <w:r>
              <w:rPr>
                <w:rFonts w:ascii="Arial" w:cs="Arial" w:eastAsia="Arial" w:hAnsi="Arial"/>
                <w:sz w:val="18"/>
                <w:szCs w:val="18"/>
                <w:color w:val="auto"/>
              </w:rPr>
              <w:t>Net cash used in financing activities</w:t>
            </w:r>
          </w:p>
        </w:tc>
        <w:tc>
          <w:tcPr>
            <w:tcW w:w="242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(23.4)</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2"/>
        </w:trPr>
        <w:tc>
          <w:tcPr>
            <w:tcW w:w="668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242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110"/>
        </w:trPr>
        <w:tc>
          <w:tcPr>
            <w:tcW w:w="668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58"/>
        </w:trPr>
        <w:tc>
          <w:tcPr>
            <w:tcW w:w="6680" w:type="dxa"/>
            <w:vAlign w:val="bottom"/>
          </w:tcPr>
          <w:p>
            <w:pPr>
              <w:ind w:left="160"/>
              <w:spacing w:after="0"/>
              <w:rPr>
                <w:sz w:val="20"/>
                <w:szCs w:val="20"/>
                <w:color w:val="auto"/>
              </w:rPr>
            </w:pPr>
            <w:r>
              <w:rPr>
                <w:rFonts w:ascii="Arial" w:cs="Arial" w:eastAsia="Arial" w:hAnsi="Arial"/>
                <w:sz w:val="18"/>
                <w:szCs w:val="18"/>
                <w:color w:val="auto"/>
              </w:rPr>
              <w:t>Net decrease in cash and cash equivalents</w:t>
            </w:r>
          </w:p>
        </w:tc>
        <w:tc>
          <w:tcPr>
            <w:tcW w:w="242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(119.9)</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(89.4)</w:t>
            </w:r>
          </w:p>
        </w:tc>
      </w:tr>
      <w:tr>
        <w:trPr>
          <w:trHeight w:val="222"/>
        </w:trPr>
        <w:tc>
          <w:tcPr>
            <w:tcW w:w="6680" w:type="dxa"/>
            <w:vAlign w:val="bottom"/>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242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244.1</w:t>
            </w:r>
          </w:p>
        </w:tc>
        <w:tc>
          <w:tcPr>
            <w:tcW w:w="36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143.6</w:t>
            </w:r>
          </w:p>
        </w:tc>
      </w:tr>
      <w:tr>
        <w:trPr>
          <w:trHeight w:val="110"/>
        </w:trPr>
        <w:tc>
          <w:tcPr>
            <w:tcW w:w="668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16"/>
        </w:trPr>
        <w:tc>
          <w:tcPr>
            <w:tcW w:w="6680" w:type="dxa"/>
            <w:vAlign w:val="bottom"/>
          </w:tcPr>
          <w:p>
            <w:pPr>
              <w:spacing w:after="0"/>
              <w:rPr>
                <w:sz w:val="20"/>
                <w:szCs w:val="20"/>
                <w:color w:val="auto"/>
              </w:rPr>
            </w:pPr>
            <w:r>
              <w:rPr>
                <w:rFonts w:ascii="Arial" w:cs="Arial" w:eastAsia="Arial" w:hAnsi="Arial"/>
                <w:sz w:val="18"/>
                <w:szCs w:val="18"/>
                <w:b w:val="1"/>
                <w:bCs w:val="1"/>
                <w:i w:val="1"/>
                <w:iCs w:val="1"/>
                <w:color w:val="auto"/>
              </w:rPr>
              <w:t>Cash and cash equivalents at end of period</w:t>
            </w:r>
          </w:p>
        </w:tc>
        <w:tc>
          <w:tcPr>
            <w:tcW w:w="24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124.2</w:t>
            </w:r>
          </w:p>
        </w:tc>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54.2</w:t>
            </w:r>
          </w:p>
        </w:tc>
      </w:tr>
      <w:tr>
        <w:trPr>
          <w:trHeight w:val="110"/>
        </w:trPr>
        <w:tc>
          <w:tcPr>
            <w:tcW w:w="668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ind w:right="9440" w:firstLine="8"/>
        <w:spacing w:after="0" w:line="605" w:lineRule="auto"/>
        <w:tabs>
          <w:tab w:leader="none" w:pos="176"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Principles of consolidation</w:t>
      </w:r>
    </w:p>
    <w:p>
      <w:pPr>
        <w:spacing w:after="0" w:line="1"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The accompanying condensed consolidated financial statements include the accounts of Scholastic Corporation (the “Corporation”) and all wholly-owned and majority-owned subsidiaries (collectively, “Scholastic” or the “Company”). All significant intercompany transactions are eliminated in consolidation. These financial statements have not been audited but reflect those adjustments consisting of normal recurring items that management considers necessary for a fair presentation of financial position, results of operations and cash flows. These financial statements should be read in conjunction with the consolidated financial statements and related notes in the Annual Report on Form 10-K for the fiscal year ended May 31, 2010 (the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fiscal year is not a calendar year. Accordingly, references in this document to fiscal 2010 relate to the twelve month period ended May 31, 2010.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As more fully described in Note 2, “Discontinued Operations,” the Company closed or sold several operations during fiscal 2008 and 2009, and presently holds for sale one operation. All of these businesses are classified as discontinued operations in the Company’s financial statements.</w:t>
      </w:r>
    </w:p>
    <w:p>
      <w:pPr>
        <w:spacing w:after="0" w:line="13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remaining assets and liabilities associated with the foregoing discontinued businesses or operations are presented in the Company’s condensed consolidated balance sheets as “Current assets of discontinued operations” and “Current liabilities of discontinued operations” as of August 31, 2010, May 31, 2010 and August 31, 2009. In fiscal 2010, the Company sold a previously discontinued non-core book distribution business. The aggregate results of operations of these businesses for the three months ended August 31, 2010 and 2009 are included in the condensed consolidated statements of operations as “(Loss) earnings from discontinued operations, net of tax.” The aggregate cash flows of these businesses are also presented separately in the Company’s consolidated statements of cash flows for the three months ended August 31, 2010 and 2009. All corresponding prior year periods presented in the Company’s condensed consolidated financial statements and accompanying notes have been reclassified to reflect the discontinued operations presentation.</w:t>
      </w:r>
    </w:p>
    <w:p>
      <w:pPr>
        <w:spacing w:after="0" w:line="17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During the three months ended August 31, 2010, the Company determined that its distribution facility in Danbury, Connecticut (the “Danbury Facility”) was no longer “held for sale”. Accordingly, the assets, liabilities and results of operations of the Danbury Facility are included in Continuing Operations for all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current presentation includes a net reclassification of certain costs to “Cost of goods sold” from “Selling, general and administrative expenses” totaling $2.2 for the three months ended August 31,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are highest in the first and fourth quarters. The Company typically experiences losses from operations in the first and third quarters of each fiscal year. Due to the seasonal fluctuations that occur, the August 31, 2009 condensed consolidated balance sheet is included for comparative purposes.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Company’s condensed consolidated financial statements have been prepared in accordance with accounting principles generally accepted in the United States and with the instructions to Form 10-Q and Regulation S-X. The preparation of these financial statements involves the use of estimates and assumptions by management, which affects the amounts reported in the condensed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sales returns; gross margin rates used to determine inventory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values; gross profits for book fair operations during interim periods; amortization periods; stock-based compensation expense; pension and other post-retirement obligations; tax rates; recoverability of inventories, deferred promotions costs, deferred income taxes and tax reserves, prepublication costs and royalty advances; and the fair value of goodwill and other intangibles.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October 2009, the Financial Accounting Standards Board (the “FASB”) issued an update to authoritative guidance on the revenue recognition related to multiple deliverable revenue arrangements. The guidance addresses the accounting for multiple-deliverable arrangements to enable vendors to account for products or services (deliverables) separately rather than as a combined unit. Vendors often provide multiple products or services to their customers. Those deliverables often are provided at different points in time or over different time periods. The current authoritative guidance establishes the accounting and reporting guidance for arrangements under which the vendor will perform multiple revenue-generating activities. Specifically, this guidance addresses how to separate deliverables and how to measure and allocate arrangement consideration to one or more units of accounting. This guidance will be effective prospectively for revenue arrangements entered into or materially modified in fiscal years beginning on or after June 15, 2010. Early adoption is permitted. The Company has not chosen early adoption and is evaluating the impact on the Company’s consolidated financial position, results of operations and cash flows.</w:t>
      </w:r>
    </w:p>
    <w:p>
      <w:pPr>
        <w:spacing w:after="0" w:line="17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October 2009, the FASB issued an update to authoritative guidance related to certain revenue arrangements that include software elements. The accounting guidance update addresses the accounting revenue arrangements that contain tangible products and software and it affects vendors that sell or lease tangible products in an arrangement that contains software that is more than incidental to the tangible product as a whole. The update clarifies what guidance should be used in allocating and measuring revenue. Tangible products containing software components and non-software components that function together to deliver the tangible product’s essential functionality are no longer within the scope of the software recognition guidance “Software – Revenue Recognition.” The amendment requires that hardware components of a tangible product containing software components always be excluded from the software revenue guidance. This guidance will be effective prospectively for revenue arrangements entered into or materially modified in fiscal years beginning on or after June 15, 2010. Early adoption is permitted. The Company has not chosen early adoption and is evaluating the impact on the Company’s consolidated financial position, results of operations and cash flows.</w:t>
      </w:r>
    </w:p>
    <w:p>
      <w:pPr>
        <w:spacing w:after="0" w:line="17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April 2010, the FASB issued an update to authoritative guidance on the milestone method of revenue recognition. The objective of this update is to provide guidance on defining a milestone and determining when it may be appropriate to apply the milestone method of revenue recognition for research or development transactions. Research or development arrangements frequently include payment provisions whereby a portion or all of the consideration is contingent upon milestone events such as a specific result from the research or development efforts. An entity often recognizes these milestone payments as revenue in their entirety upon achieving the related milestone, commonly referred to as the milestone method. The amendments in this update provide guidance on the criteria that should be met for determining whether the milestone method of revenue recognition is appropriate. The amendments in this update are effective on a prospective basis for milestones achieved in fiscal years, and interim periods within those years, beginning on or after June 15, 2010. Early adoption is permitted. The Company has not chosen early adoption and is evaluating the impact on the Company’s consolidated financial position, results of operations and cash flows.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3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During fiscal 2008, the Company determined to sell or shut down its domestic, Canadian and UK continuities businesses, and intends to sell a related warehousing and distribution facility located in Maumelle, Arkansas (the “Maumelle Facility”). During fiscal 2009, the Company also ceased its operations in Argentina and Mexico, its door-to-door selling operations in Puerto Rico as well as its continuities business in Australia and New Zealand, its corporate book fairs business and closed its Scarsdale, NY store. The Company also sold a trade magazine. Additionally, the Company sold a non-core market research business and a non-core on-line resource for teachers business. In fiscal 2010, the Company sold a previously discontinued non-core book distribution business. All of the above businesses are classified as discontinued operations in the Company’s financial statements.</w:t>
      </w:r>
    </w:p>
    <w:p>
      <w:pPr>
        <w:spacing w:after="0" w:line="17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continues to monitor the expected cash proceeds to be realized from the disposition of discontinued operations assets, and adjusts asset values accordingly.</w:t>
      </w:r>
    </w:p>
    <w:p>
      <w:pPr>
        <w:spacing w:after="0" w:line="18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 continuously evaluates its portfolio of businesses for both impairment and economic viability. The Company did not cease any additional operations or classify any additional operations as “held for sale” during the three-month period ended August 31, 2010. During the three months ended August 31, 2010, the Company determined that the Danbury Facility was no longer “held for sale”. Accordingly, the assets, liabilities and results of operations of the Danbury Facility are included in Continuing Operations for all periods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operating results of the discontinued operations for the periods indicated:</w:t>
      </w:r>
    </w:p>
    <w:p>
      <w:pPr>
        <w:spacing w:after="0" w:line="239"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i w:val="1"/>
          <w:iCs w:val="1"/>
          <w:color w:val="auto"/>
        </w:rPr>
        <w:t>Three months ended</w:t>
      </w:r>
    </w:p>
    <w:p>
      <w:pPr>
        <w:spacing w:after="0" w:line="15"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i w:val="1"/>
          <w:iCs w:val="1"/>
          <w:color w:val="auto"/>
        </w:rPr>
        <w:t>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80" w:type="dxa"/>
            <w:vAlign w:val="bottom"/>
          </w:tcPr>
          <w:p>
            <w:pPr>
              <w:spacing w:after="0"/>
              <w:rPr>
                <w:sz w:val="19"/>
                <w:szCs w:val="19"/>
                <w:color w:val="auto"/>
              </w:rPr>
            </w:pPr>
          </w:p>
        </w:tc>
        <w:tc>
          <w:tcPr>
            <w:tcW w:w="2880" w:type="dxa"/>
            <w:vAlign w:val="bottom"/>
          </w:tcPr>
          <w:p>
            <w:pPr>
              <w:jc w:val="right"/>
              <w:ind w:right="12"/>
              <w:spacing w:after="0"/>
              <w:rPr>
                <w:sz w:val="20"/>
                <w:szCs w:val="20"/>
                <w:color w:val="auto"/>
              </w:rPr>
            </w:pPr>
            <w:r>
              <w:rPr>
                <w:rFonts w:ascii="Arial" w:cs="Arial" w:eastAsia="Arial" w:hAnsi="Arial"/>
                <w:sz w:val="18"/>
                <w:szCs w:val="18"/>
                <w:b w:val="1"/>
                <w:bCs w:val="1"/>
                <w:color w:val="auto"/>
              </w:rPr>
              <w:t>2010</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ind w:right="632"/>
              <w:spacing w:after="0"/>
              <w:rPr>
                <w:sz w:val="20"/>
                <w:szCs w:val="20"/>
                <w:color w:val="auto"/>
              </w:rPr>
            </w:pPr>
            <w:r>
              <w:rPr>
                <w:rFonts w:ascii="Arial" w:cs="Arial" w:eastAsia="Arial" w:hAnsi="Arial"/>
                <w:sz w:val="18"/>
                <w:szCs w:val="18"/>
                <w:b w:val="1"/>
                <w:bCs w:val="1"/>
                <w:color w:val="auto"/>
              </w:rPr>
              <w:t>2009</w:t>
            </w:r>
          </w:p>
        </w:tc>
      </w:tr>
      <w:tr>
        <w:trPr>
          <w:trHeight w:val="110"/>
        </w:trPr>
        <w:tc>
          <w:tcPr>
            <w:tcW w:w="618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316"/>
        </w:trPr>
        <w:tc>
          <w:tcPr>
            <w:tcW w:w="6180" w:type="dxa"/>
            <w:vAlign w:val="bottom"/>
          </w:tcPr>
          <w:p>
            <w:pPr>
              <w:spacing w:after="0"/>
              <w:rPr>
                <w:sz w:val="20"/>
                <w:szCs w:val="20"/>
                <w:color w:val="auto"/>
              </w:rPr>
            </w:pPr>
            <w:r>
              <w:rPr>
                <w:rFonts w:ascii="Arial" w:cs="Arial" w:eastAsia="Arial" w:hAnsi="Arial"/>
                <w:sz w:val="18"/>
                <w:szCs w:val="18"/>
                <w:color w:val="auto"/>
              </w:rPr>
              <w:t>Revenues</w:t>
            </w:r>
          </w:p>
        </w:tc>
        <w:tc>
          <w:tcPr>
            <w:tcW w:w="2880" w:type="dxa"/>
            <w:vAlign w:val="bottom"/>
          </w:tcPr>
          <w:p>
            <w:pPr>
              <w:jc w:val="right"/>
              <w:ind w:right="73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1.3</w:t>
            </w:r>
          </w:p>
        </w:tc>
      </w:tr>
      <w:tr>
        <w:trPr>
          <w:trHeight w:val="358"/>
        </w:trPr>
        <w:tc>
          <w:tcPr>
            <w:tcW w:w="6180" w:type="dxa"/>
            <w:vAlign w:val="bottom"/>
          </w:tcPr>
          <w:p>
            <w:pPr>
              <w:spacing w:after="0"/>
              <w:rPr>
                <w:sz w:val="20"/>
                <w:szCs w:val="20"/>
                <w:color w:val="auto"/>
              </w:rPr>
            </w:pPr>
            <w:r>
              <w:rPr>
                <w:rFonts w:ascii="Arial" w:cs="Arial" w:eastAsia="Arial" w:hAnsi="Arial"/>
                <w:sz w:val="18"/>
                <w:szCs w:val="18"/>
                <w:color w:val="auto"/>
              </w:rPr>
              <w:t>(Loss) earnings before income taxes</w:t>
            </w:r>
          </w:p>
        </w:tc>
        <w:tc>
          <w:tcPr>
            <w:tcW w:w="2880" w:type="dxa"/>
            <w:vAlign w:val="bottom"/>
          </w:tcPr>
          <w:p>
            <w:pPr>
              <w:spacing w:after="0"/>
              <w:rPr>
                <w:sz w:val="24"/>
                <w:szCs w:val="24"/>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24"/>
                <w:szCs w:val="24"/>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1.9</w:t>
            </w: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880" w:type="dxa"/>
            <w:vAlign w:val="bottom"/>
          </w:tcPr>
          <w:p>
            <w:pPr>
              <w:spacing w:after="0"/>
              <w:rPr>
                <w:sz w:val="19"/>
                <w:szCs w:val="19"/>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(0.3)</w:t>
            </w:r>
          </w:p>
        </w:tc>
      </w:tr>
      <w:tr>
        <w:trPr>
          <w:trHeight w:val="110"/>
        </w:trPr>
        <w:tc>
          <w:tcPr>
            <w:tcW w:w="618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464"/>
        </w:trPr>
        <w:tc>
          <w:tcPr>
            <w:tcW w:w="6180" w:type="dxa"/>
            <w:vAlign w:val="bottom"/>
          </w:tcPr>
          <w:p>
            <w:pPr>
              <w:spacing w:after="0"/>
              <w:rPr>
                <w:sz w:val="20"/>
                <w:szCs w:val="20"/>
                <w:color w:val="auto"/>
              </w:rPr>
            </w:pPr>
            <w:r>
              <w:rPr>
                <w:rFonts w:ascii="Arial" w:cs="Arial" w:eastAsia="Arial" w:hAnsi="Arial"/>
                <w:sz w:val="18"/>
                <w:szCs w:val="18"/>
                <w:b w:val="1"/>
                <w:bCs w:val="1"/>
                <w:color w:val="auto"/>
              </w:rPr>
              <w:t>(Loss) earnings from discontinued operations, net of tax</w:t>
            </w:r>
          </w:p>
        </w:tc>
        <w:tc>
          <w:tcPr>
            <w:tcW w:w="2880" w:type="dxa"/>
            <w:vAlign w:val="bottom"/>
          </w:tcPr>
          <w:p>
            <w:pPr>
              <w:jc w:val="right"/>
              <w:ind w:right="732"/>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12"/>
              <w:spacing w:after="0"/>
              <w:rPr>
                <w:sz w:val="20"/>
                <w:szCs w:val="20"/>
                <w:color w:val="auto"/>
              </w:rPr>
            </w:pPr>
            <w:r>
              <w:rPr>
                <w:rFonts w:ascii="Arial" w:cs="Arial" w:eastAsia="Arial" w:hAnsi="Arial"/>
                <w:sz w:val="18"/>
                <w:szCs w:val="18"/>
                <w:b w:val="1"/>
                <w:bCs w:val="1"/>
                <w:color w:val="auto"/>
              </w:rPr>
              <w:t>(1.0)</w:t>
            </w:r>
          </w:p>
        </w:tc>
        <w:tc>
          <w:tcPr>
            <w:tcW w:w="48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52"/>
              <w:spacing w:after="0"/>
              <w:rPr>
                <w:sz w:val="20"/>
                <w:szCs w:val="20"/>
                <w:color w:val="auto"/>
              </w:rPr>
            </w:pPr>
            <w:r>
              <w:rPr>
                <w:rFonts w:ascii="Arial" w:cs="Arial" w:eastAsia="Arial" w:hAnsi="Arial"/>
                <w:sz w:val="18"/>
                <w:szCs w:val="18"/>
                <w:b w:val="1"/>
                <w:bCs w:val="1"/>
                <w:color w:val="auto"/>
              </w:rPr>
              <w:t>1.6</w:t>
            </w:r>
          </w:p>
        </w:tc>
      </w:tr>
      <w:tr>
        <w:trPr>
          <w:trHeight w:val="110"/>
        </w:trPr>
        <w:tc>
          <w:tcPr>
            <w:tcW w:w="618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sets forth the assets and liabilities of the discontinued operations included in the condensed consolidated balance sheets of the Company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sz w:val="19"/>
                <w:szCs w:val="19"/>
                <w:color w:val="auto"/>
              </w:rPr>
            </w:pPr>
          </w:p>
        </w:tc>
        <w:tc>
          <w:tcPr>
            <w:tcW w:w="3740" w:type="dxa"/>
            <w:vAlign w:val="bottom"/>
            <w:gridSpan w:val="2"/>
          </w:tcPr>
          <w:p>
            <w:pPr>
              <w:jc w:val="right"/>
              <w:ind w:right="192"/>
              <w:spacing w:after="0"/>
              <w:rPr>
                <w:sz w:val="20"/>
                <w:szCs w:val="20"/>
                <w:color w:val="auto"/>
              </w:rPr>
            </w:pPr>
            <w:r>
              <w:rPr>
                <w:rFonts w:ascii="Arial" w:cs="Arial" w:eastAsia="Arial" w:hAnsi="Arial"/>
                <w:sz w:val="18"/>
                <w:szCs w:val="18"/>
                <w:b w:val="1"/>
                <w:bCs w:val="1"/>
                <w:i w:val="1"/>
                <w:iCs w:val="1"/>
                <w:color w:val="auto"/>
              </w:rPr>
              <w:t>August 31, 2010</w:t>
            </w:r>
          </w:p>
        </w:tc>
        <w:tc>
          <w:tcPr>
            <w:tcW w:w="1500" w:type="dxa"/>
            <w:vAlign w:val="bottom"/>
            <w:gridSpan w:val="2"/>
          </w:tcPr>
          <w:p>
            <w:pPr>
              <w:jc w:val="right"/>
              <w:ind w:right="172"/>
              <w:spacing w:after="0"/>
              <w:rPr>
                <w:sz w:val="20"/>
                <w:szCs w:val="20"/>
                <w:color w:val="auto"/>
              </w:rPr>
            </w:pPr>
            <w:r>
              <w:rPr>
                <w:rFonts w:ascii="Arial" w:cs="Arial" w:eastAsia="Arial" w:hAnsi="Arial"/>
                <w:sz w:val="18"/>
                <w:szCs w:val="18"/>
                <w:b w:val="1"/>
                <w:bCs w:val="1"/>
                <w:i w:val="1"/>
                <w:iCs w:val="1"/>
                <w:color w:val="auto"/>
              </w:rPr>
              <w:t>May 31, 2010</w:t>
            </w:r>
          </w:p>
        </w:tc>
        <w:tc>
          <w:tcPr>
            <w:tcW w:w="1680" w:type="dxa"/>
            <w:vAlign w:val="bottom"/>
            <w:gridSpan w:val="2"/>
          </w:tcPr>
          <w:p>
            <w:pPr>
              <w:jc w:val="right"/>
              <w:ind w:right="152"/>
              <w:spacing w:after="0"/>
              <w:rPr>
                <w:sz w:val="20"/>
                <w:szCs w:val="20"/>
                <w:color w:val="auto"/>
              </w:rPr>
            </w:pPr>
            <w:r>
              <w:rPr>
                <w:rFonts w:ascii="Arial" w:cs="Arial" w:eastAsia="Arial" w:hAnsi="Arial"/>
                <w:sz w:val="18"/>
                <w:szCs w:val="18"/>
                <w:b w:val="1"/>
                <w:bCs w:val="1"/>
                <w:i w:val="1"/>
                <w:iCs w:val="1"/>
                <w:color w:val="auto"/>
              </w:rPr>
              <w:t>August 31, 2009</w:t>
            </w:r>
          </w:p>
        </w:tc>
        <w:tc>
          <w:tcPr>
            <w:tcW w:w="20" w:type="dxa"/>
            <w:vAlign w:val="bottom"/>
          </w:tcPr>
          <w:p>
            <w:pPr>
              <w:spacing w:after="0"/>
              <w:rPr>
                <w:sz w:val="19"/>
                <w:szCs w:val="19"/>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5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7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52"/>
              <w:spacing w:after="0"/>
              <w:rPr>
                <w:sz w:val="20"/>
                <w:szCs w:val="20"/>
                <w:color w:val="auto"/>
              </w:rPr>
            </w:pPr>
            <w:r>
              <w:rPr>
                <w:rFonts w:ascii="Arial" w:cs="Arial" w:eastAsia="Arial" w:hAnsi="Arial"/>
                <w:sz w:val="18"/>
                <w:szCs w:val="18"/>
                <w:color w:val="auto"/>
              </w:rPr>
              <w:t>3.4</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92"/>
              <w:spacing w:after="0"/>
              <w:rPr>
                <w:sz w:val="20"/>
                <w:szCs w:val="20"/>
                <w:color w:val="auto"/>
              </w:rPr>
            </w:pPr>
            <w:r>
              <w:rPr>
                <w:rFonts w:ascii="Arial" w:cs="Arial" w:eastAsia="Arial" w:hAnsi="Arial"/>
                <w:sz w:val="18"/>
                <w:szCs w:val="18"/>
                <w:color w:val="auto"/>
              </w:rPr>
              <w:t>3.7</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2"/>
              <w:spacing w:after="0"/>
              <w:rPr>
                <w:sz w:val="20"/>
                <w:szCs w:val="20"/>
                <w:color w:val="auto"/>
              </w:rPr>
            </w:pPr>
            <w:r>
              <w:rPr>
                <w:rFonts w:ascii="Arial" w:cs="Arial" w:eastAsia="Arial" w:hAnsi="Arial"/>
                <w:sz w:val="18"/>
                <w:szCs w:val="18"/>
                <w:color w:val="auto"/>
                <w:w w:val="96"/>
              </w:rPr>
              <w:t>11.8</w:t>
            </w:r>
          </w:p>
        </w:tc>
        <w:tc>
          <w:tcPr>
            <w:tcW w:w="20" w:type="dxa"/>
            <w:vAlign w:val="bottom"/>
          </w:tcPr>
          <w:p>
            <w:pPr>
              <w:spacing w:after="0"/>
              <w:rPr>
                <w:sz w:val="24"/>
                <w:szCs w:val="24"/>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Inventories, net</w:t>
            </w:r>
          </w:p>
        </w:tc>
        <w:tc>
          <w:tcPr>
            <w:tcW w:w="2760" w:type="dxa"/>
            <w:vAlign w:val="bottom"/>
          </w:tcPr>
          <w:p>
            <w:pPr>
              <w:spacing w:after="0"/>
              <w:rPr>
                <w:sz w:val="18"/>
                <w:szCs w:val="18"/>
                <w:color w:val="auto"/>
              </w:rPr>
            </w:pPr>
          </w:p>
        </w:tc>
        <w:tc>
          <w:tcPr>
            <w:tcW w:w="98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0" w:type="dxa"/>
            <w:vAlign w:val="bottom"/>
          </w:tcPr>
          <w:p>
            <w:pPr>
              <w:jc w:val="right"/>
              <w:ind w:right="552"/>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Other assets</w:t>
            </w:r>
          </w:p>
        </w:tc>
        <w:tc>
          <w:tcPr>
            <w:tcW w:w="2760" w:type="dxa"/>
            <w:vAlign w:val="bottom"/>
          </w:tcPr>
          <w:p>
            <w:pPr>
              <w:spacing w:after="0"/>
              <w:rPr>
                <w:sz w:val="19"/>
                <w:szCs w:val="19"/>
                <w:color w:val="auto"/>
              </w:rPr>
            </w:pPr>
          </w:p>
        </w:tc>
        <w:tc>
          <w:tcPr>
            <w:tcW w:w="980" w:type="dxa"/>
            <w:vAlign w:val="bottom"/>
          </w:tcPr>
          <w:p>
            <w:pPr>
              <w:jc w:val="right"/>
              <w:ind w:right="552"/>
              <w:spacing w:after="0"/>
              <w:rPr>
                <w:sz w:val="20"/>
                <w:szCs w:val="20"/>
                <w:color w:val="auto"/>
              </w:rPr>
            </w:pPr>
            <w:r>
              <w:rPr>
                <w:rFonts w:ascii="Arial" w:cs="Arial" w:eastAsia="Arial" w:hAnsi="Arial"/>
                <w:sz w:val="18"/>
                <w:szCs w:val="18"/>
                <w:color w:val="auto"/>
              </w:rPr>
              <w:t>9.2</w:t>
            </w:r>
          </w:p>
        </w:tc>
        <w:tc>
          <w:tcPr>
            <w:tcW w:w="580" w:type="dxa"/>
            <w:vAlign w:val="bottom"/>
          </w:tcPr>
          <w:p>
            <w:pPr>
              <w:spacing w:after="0"/>
              <w:rPr>
                <w:sz w:val="19"/>
                <w:szCs w:val="19"/>
                <w:color w:val="auto"/>
              </w:rPr>
            </w:pPr>
          </w:p>
        </w:tc>
        <w:tc>
          <w:tcPr>
            <w:tcW w:w="920" w:type="dxa"/>
            <w:vAlign w:val="bottom"/>
          </w:tcPr>
          <w:p>
            <w:pPr>
              <w:jc w:val="right"/>
              <w:ind w:right="492"/>
              <w:spacing w:after="0"/>
              <w:rPr>
                <w:sz w:val="20"/>
                <w:szCs w:val="20"/>
                <w:color w:val="auto"/>
              </w:rPr>
            </w:pPr>
            <w:r>
              <w:rPr>
                <w:rFonts w:ascii="Arial" w:cs="Arial" w:eastAsia="Arial" w:hAnsi="Arial"/>
                <w:sz w:val="18"/>
                <w:szCs w:val="18"/>
                <w:color w:val="auto"/>
              </w:rPr>
              <w:t>9.2</w:t>
            </w:r>
          </w:p>
        </w:tc>
        <w:tc>
          <w:tcPr>
            <w:tcW w:w="680" w:type="dxa"/>
            <w:vAlign w:val="bottom"/>
          </w:tcPr>
          <w:p>
            <w:pPr>
              <w:spacing w:after="0"/>
              <w:rPr>
                <w:sz w:val="19"/>
                <w:szCs w:val="19"/>
                <w:color w:val="auto"/>
              </w:rPr>
            </w:pPr>
          </w:p>
        </w:tc>
        <w:tc>
          <w:tcPr>
            <w:tcW w:w="1000" w:type="dxa"/>
            <w:vAlign w:val="bottom"/>
          </w:tcPr>
          <w:p>
            <w:pPr>
              <w:jc w:val="right"/>
              <w:ind w:right="552"/>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520" w:type="dxa"/>
            <w:vAlign w:val="bottom"/>
          </w:tcPr>
          <w:p>
            <w:pPr>
              <w:spacing w:after="0"/>
              <w:rPr>
                <w:sz w:val="20"/>
                <w:szCs w:val="20"/>
                <w:color w:val="auto"/>
              </w:rPr>
            </w:pPr>
            <w:r>
              <w:rPr>
                <w:rFonts w:ascii="Arial" w:cs="Arial" w:eastAsia="Arial" w:hAnsi="Arial"/>
                <w:sz w:val="18"/>
                <w:szCs w:val="18"/>
                <w:b w:val="1"/>
                <w:bCs w:val="1"/>
                <w:color w:val="auto"/>
              </w:rPr>
              <w:t>Current assets of discontinued operations</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52"/>
              <w:spacing w:after="0"/>
              <w:rPr>
                <w:sz w:val="20"/>
                <w:szCs w:val="20"/>
                <w:color w:val="auto"/>
              </w:rPr>
            </w:pPr>
            <w:r>
              <w:rPr>
                <w:rFonts w:ascii="Arial" w:cs="Arial" w:eastAsia="Arial" w:hAnsi="Arial"/>
                <w:sz w:val="18"/>
                <w:szCs w:val="18"/>
                <w:b w:val="1"/>
                <w:bCs w:val="1"/>
                <w:color w:val="auto"/>
                <w:w w:val="91"/>
              </w:rPr>
              <w:t>12.6</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492"/>
              <w:spacing w:after="0"/>
              <w:rPr>
                <w:sz w:val="20"/>
                <w:szCs w:val="20"/>
                <w:color w:val="auto"/>
              </w:rPr>
            </w:pPr>
            <w:r>
              <w:rPr>
                <w:rFonts w:ascii="Arial" w:cs="Arial" w:eastAsia="Arial" w:hAnsi="Arial"/>
                <w:sz w:val="18"/>
                <w:szCs w:val="18"/>
                <w:b w:val="1"/>
                <w:bCs w:val="1"/>
                <w:color w:val="auto"/>
                <w:w w:val="91"/>
              </w:rPr>
              <w:t>12.9</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52"/>
              <w:spacing w:after="0"/>
              <w:rPr>
                <w:sz w:val="20"/>
                <w:szCs w:val="20"/>
                <w:color w:val="auto"/>
              </w:rPr>
            </w:pPr>
            <w:r>
              <w:rPr>
                <w:rFonts w:ascii="Arial" w:cs="Arial" w:eastAsia="Arial" w:hAnsi="Arial"/>
                <w:sz w:val="18"/>
                <w:szCs w:val="18"/>
                <w:b w:val="1"/>
                <w:bCs w:val="1"/>
                <w:color w:val="auto"/>
                <w:w w:val="96"/>
              </w:rPr>
              <w:t>21.9</w:t>
            </w:r>
          </w:p>
        </w:tc>
        <w:tc>
          <w:tcPr>
            <w:tcW w:w="20" w:type="dxa"/>
            <w:vAlign w:val="bottom"/>
          </w:tcPr>
          <w:p>
            <w:pPr>
              <w:spacing w:after="0"/>
              <w:rPr>
                <w:sz w:val="24"/>
                <w:szCs w:val="24"/>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520" w:type="dxa"/>
            <w:vAlign w:val="bottom"/>
          </w:tcPr>
          <w:p>
            <w:pPr>
              <w:spacing w:after="0"/>
              <w:rPr>
                <w:sz w:val="20"/>
                <w:szCs w:val="20"/>
                <w:color w:val="auto"/>
              </w:rPr>
            </w:pPr>
            <w:r>
              <w:rPr>
                <w:rFonts w:ascii="Arial" w:cs="Arial" w:eastAsia="Arial" w:hAnsi="Arial"/>
                <w:sz w:val="18"/>
                <w:szCs w:val="18"/>
                <w:color w:val="auto"/>
              </w:rPr>
              <w:t>Accounts payable</w:t>
            </w:r>
          </w:p>
        </w:tc>
        <w:tc>
          <w:tcPr>
            <w:tcW w:w="27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760" w:type="dxa"/>
            <w:vAlign w:val="bottom"/>
          </w:tcPr>
          <w:p>
            <w:pPr>
              <w:spacing w:after="0"/>
              <w:rPr>
                <w:sz w:val="19"/>
                <w:szCs w:val="19"/>
                <w:color w:val="auto"/>
              </w:rPr>
            </w:pPr>
          </w:p>
        </w:tc>
        <w:tc>
          <w:tcPr>
            <w:tcW w:w="980" w:type="dxa"/>
            <w:vAlign w:val="bottom"/>
          </w:tcPr>
          <w:p>
            <w:pPr>
              <w:jc w:val="right"/>
              <w:ind w:right="552"/>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19"/>
                <w:szCs w:val="19"/>
                <w:color w:val="auto"/>
              </w:rPr>
            </w:pPr>
          </w:p>
        </w:tc>
        <w:tc>
          <w:tcPr>
            <w:tcW w:w="920" w:type="dxa"/>
            <w:vAlign w:val="bottom"/>
          </w:tcPr>
          <w:p>
            <w:pPr>
              <w:jc w:val="right"/>
              <w:ind w:right="492"/>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19"/>
                <w:szCs w:val="19"/>
                <w:color w:val="auto"/>
              </w:rPr>
            </w:pPr>
          </w:p>
        </w:tc>
        <w:tc>
          <w:tcPr>
            <w:tcW w:w="1000" w:type="dxa"/>
            <w:vAlign w:val="bottom"/>
          </w:tcPr>
          <w:p>
            <w:pPr>
              <w:jc w:val="right"/>
              <w:ind w:right="552"/>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520" w:type="dxa"/>
            <w:vAlign w:val="bottom"/>
          </w:tcPr>
          <w:p>
            <w:pPr>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52"/>
              <w:spacing w:after="0"/>
              <w:rPr>
                <w:sz w:val="20"/>
                <w:szCs w:val="20"/>
                <w:color w:val="auto"/>
              </w:rPr>
            </w:pPr>
            <w:r>
              <w:rPr>
                <w:rFonts w:ascii="Arial" w:cs="Arial" w:eastAsia="Arial" w:hAnsi="Arial"/>
                <w:sz w:val="18"/>
                <w:szCs w:val="18"/>
                <w:b w:val="1"/>
                <w:bCs w:val="1"/>
                <w:color w:val="auto"/>
              </w:rPr>
              <w:t>2.9</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492"/>
              <w:spacing w:after="0"/>
              <w:rPr>
                <w:sz w:val="20"/>
                <w:szCs w:val="20"/>
                <w:color w:val="auto"/>
              </w:rPr>
            </w:pPr>
            <w:r>
              <w:rPr>
                <w:rFonts w:ascii="Arial" w:cs="Arial" w:eastAsia="Arial" w:hAnsi="Arial"/>
                <w:sz w:val="18"/>
                <w:szCs w:val="18"/>
                <w:b w:val="1"/>
                <w:bCs w:val="1"/>
                <w:color w:val="auto"/>
              </w:rPr>
              <w:t>2.9</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52"/>
              <w:spacing w:after="0"/>
              <w:rPr>
                <w:sz w:val="20"/>
                <w:szCs w:val="20"/>
                <w:color w:val="auto"/>
              </w:rPr>
            </w:pPr>
            <w:r>
              <w:rPr>
                <w:rFonts w:ascii="Arial" w:cs="Arial" w:eastAsia="Arial" w:hAnsi="Arial"/>
                <w:sz w:val="18"/>
                <w:szCs w:val="18"/>
                <w:b w:val="1"/>
                <w:bCs w:val="1"/>
                <w:color w:val="auto"/>
              </w:rPr>
              <w:t>4.9</w:t>
            </w:r>
          </w:p>
        </w:tc>
        <w:tc>
          <w:tcPr>
            <w:tcW w:w="20" w:type="dxa"/>
            <w:vAlign w:val="bottom"/>
          </w:tcPr>
          <w:p>
            <w:pPr>
              <w:spacing w:after="0"/>
              <w:rPr>
                <w:sz w:val="24"/>
                <w:szCs w:val="24"/>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520" w:type="dxa"/>
            <w:vAlign w:val="bottom"/>
          </w:tcPr>
          <w:p>
            <w:pPr>
              <w:spacing w:after="0"/>
              <w:rPr>
                <w:sz w:val="24"/>
                <w:szCs w:val="24"/>
                <w:color w:val="auto"/>
              </w:rPr>
            </w:pPr>
          </w:p>
        </w:tc>
        <w:tc>
          <w:tcPr>
            <w:tcW w:w="2760" w:type="dxa"/>
            <w:vAlign w:val="bottom"/>
          </w:tcPr>
          <w:p>
            <w:pPr>
              <w:jc w:val="right"/>
              <w:ind w:right="1432"/>
              <w:spacing w:after="0"/>
              <w:rPr>
                <w:sz w:val="20"/>
                <w:szCs w:val="20"/>
                <w:color w:val="auto"/>
              </w:rPr>
            </w:pPr>
            <w:r>
              <w:rPr>
                <w:rFonts w:ascii="Arial" w:cs="Arial" w:eastAsia="Arial" w:hAnsi="Arial"/>
                <w:sz w:val="18"/>
                <w:szCs w:val="18"/>
                <w:color w:val="auto"/>
              </w:rPr>
              <w:t>7</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520" w:type="dxa"/>
            <w:vAlign w:val="bottom"/>
            <w:shd w:val="clear" w:color="auto" w:fill="808080"/>
          </w:tcPr>
          <w:p>
            <w:pPr>
              <w:spacing w:after="0"/>
              <w:rPr>
                <w:sz w:val="5"/>
                <w:szCs w:val="5"/>
                <w:color w:val="auto"/>
              </w:rPr>
            </w:pPr>
          </w:p>
        </w:tc>
        <w:tc>
          <w:tcPr>
            <w:tcW w:w="27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Company categorizes its businesses into four reportable segments: </w:t>
      </w:r>
      <w:r>
        <w:rPr>
          <w:rFonts w:ascii="Arial" w:cs="Arial" w:eastAsia="Arial" w:hAnsi="Arial"/>
          <w:sz w:val="18"/>
          <w:szCs w:val="18"/>
          <w:i w:val="1"/>
          <w:iCs w:val="1"/>
          <w:color w:val="auto"/>
        </w:rPr>
        <w:t>Children’s Book Publishing and Distribution; Educational Publishing; Media, Licensing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Advertising; </w:t>
      </w:r>
      <w:r>
        <w:rPr>
          <w:rFonts w:ascii="Arial" w:cs="Arial" w:eastAsia="Arial" w:hAnsi="Arial"/>
          <w:sz w:val="18"/>
          <w:szCs w:val="18"/>
          <w:color w:val="auto"/>
        </w:rPr>
        <w:t>and</w:t>
      </w:r>
      <w:r>
        <w:rPr>
          <w:rFonts w:ascii="Arial" w:cs="Arial" w:eastAsia="Arial" w:hAnsi="Arial"/>
          <w:sz w:val="18"/>
          <w:szCs w:val="18"/>
          <w:i w:val="1"/>
          <w:iCs w:val="1"/>
          <w:color w:val="auto"/>
        </w:rPr>
        <w:t xml:space="preserve"> International</w:t>
      </w:r>
      <w:r>
        <w:rPr>
          <w:rFonts w:ascii="Arial" w:cs="Arial" w:eastAsia="Arial" w:hAnsi="Arial"/>
          <w:sz w:val="18"/>
          <w:szCs w:val="18"/>
          <w:color w:val="auto"/>
        </w:rPr>
        <w:t>. This classification reflects the nature of products and services consistent with the method by which the Company’s chief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decision-maker assesses operating performance and allocates resources.</w:t>
      </w:r>
    </w:p>
    <w:p>
      <w:pPr>
        <w:spacing w:after="0" w:line="194" w:lineRule="exact"/>
        <w:rPr>
          <w:sz w:val="20"/>
          <w:szCs w:val="20"/>
          <w:color w:val="auto"/>
        </w:rPr>
      </w:pPr>
    </w:p>
    <w:p>
      <w:pPr>
        <w:ind w:right="220" w:firstLine="8"/>
        <w:spacing w:after="0" w:line="259"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operates as an integrated business which includes the publication and distribution of children’s books, media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interactive products in the United States through school-based book clubs and book fairs and the trade channel. This segment is comprised of three operating segments.</w:t>
      </w:r>
    </w:p>
    <w:p>
      <w:pPr>
        <w:spacing w:after="0" w:line="194" w:lineRule="exact"/>
        <w:rPr>
          <w:rFonts w:ascii="Arial" w:cs="Arial" w:eastAsia="Arial" w:hAnsi="Arial"/>
          <w:sz w:val="18"/>
          <w:szCs w:val="18"/>
          <w:color w:val="auto"/>
        </w:rPr>
      </w:pPr>
    </w:p>
    <w:p>
      <w:pPr>
        <w:jc w:val="both"/>
        <w:ind w:right="360" w:firstLine="8"/>
        <w:spacing w:after="0" w:line="259"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Educational Publishing </w:t>
      </w:r>
      <w:r>
        <w:rPr>
          <w:rFonts w:ascii="Arial" w:cs="Arial" w:eastAsia="Arial" w:hAnsi="Arial"/>
          <w:sz w:val="18"/>
          <w:szCs w:val="18"/>
          <w:color w:val="auto"/>
        </w:rPr>
        <w:t>includes the production and/or publication and distribution to schools and libraries of educational technology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curriculum materials, children’s books, classroom magazines and print and on-line reference and non-fiction products for grades pre-kindergarten to 12 in the United States. This segment is comprised of two operating segments.</w:t>
      </w:r>
    </w:p>
    <w:p>
      <w:pPr>
        <w:spacing w:after="0" w:line="194" w:lineRule="exact"/>
        <w:rPr>
          <w:rFonts w:ascii="Arial" w:cs="Arial" w:eastAsia="Arial" w:hAnsi="Arial"/>
          <w:sz w:val="18"/>
          <w:szCs w:val="18"/>
          <w:color w:val="auto"/>
        </w:rPr>
      </w:pPr>
    </w:p>
    <w:p>
      <w:pPr>
        <w:ind w:right="500" w:firstLine="8"/>
        <w:spacing w:after="0" w:line="268"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Media, Licensing and Advertising </w:t>
      </w:r>
      <w:r>
        <w:rPr>
          <w:rFonts w:ascii="Arial" w:cs="Arial" w:eastAsia="Arial" w:hAnsi="Arial"/>
          <w:sz w:val="18"/>
          <w:szCs w:val="18"/>
          <w:color w:val="auto"/>
        </w:rPr>
        <w:t>includes the production and/or distribution of media, consumer promotions and merchandising and advertising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sponsorship programs. This segment is comprised of three operating segments.</w:t>
      </w:r>
    </w:p>
    <w:p>
      <w:pPr>
        <w:spacing w:after="0" w:line="185" w:lineRule="exact"/>
        <w:rPr>
          <w:rFonts w:ascii="Arial" w:cs="Arial" w:eastAsia="Arial" w:hAnsi="Arial"/>
          <w:sz w:val="18"/>
          <w:szCs w:val="18"/>
          <w:color w:val="auto"/>
        </w:rPr>
      </w:pPr>
    </w:p>
    <w:p>
      <w:pPr>
        <w:ind w:right="400" w:firstLine="8"/>
        <w:spacing w:after="0" w:line="268"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 international operations,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export and foreign rights businesses. This segment is comprised of two operating segments.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34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7"/>
              </w:rPr>
              <w:t>Children’s Book</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92"/>
              <w:spacing w:after="0"/>
              <w:rPr>
                <w:sz w:val="20"/>
                <w:szCs w:val="20"/>
                <w:color w:val="auto"/>
              </w:rPr>
            </w:pPr>
            <w:r>
              <w:rPr>
                <w:rFonts w:ascii="Arial" w:cs="Arial" w:eastAsia="Arial" w:hAnsi="Arial"/>
                <w:sz w:val="14"/>
                <w:szCs w:val="14"/>
                <w:b w:val="1"/>
                <w:bCs w:val="1"/>
                <w:color w:val="auto"/>
              </w:rPr>
              <w:t>Media,</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34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Publishing and</w:t>
            </w:r>
          </w:p>
        </w:tc>
        <w:tc>
          <w:tcPr>
            <w:tcW w:w="104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Educational</w:t>
            </w: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9"/>
              </w:rPr>
              <w:t>Licensing and</w:t>
            </w:r>
          </w:p>
        </w:tc>
        <w:tc>
          <w:tcPr>
            <w:tcW w:w="1060" w:type="dxa"/>
            <w:vAlign w:val="bottom"/>
            <w:gridSpan w:val="2"/>
            <w:vMerge w:val="restart"/>
          </w:tcPr>
          <w:p>
            <w:pPr>
              <w:jc w:val="right"/>
              <w:ind w:right="132"/>
              <w:spacing w:after="0"/>
              <w:rPr>
                <w:sz w:val="20"/>
                <w:szCs w:val="20"/>
                <w:color w:val="auto"/>
              </w:rPr>
            </w:pPr>
            <w:r>
              <w:rPr>
                <w:rFonts w:ascii="Arial" w:cs="Arial" w:eastAsia="Arial" w:hAnsi="Arial"/>
                <w:sz w:val="14"/>
                <w:szCs w:val="14"/>
                <w:b w:val="1"/>
                <w:bCs w:val="1"/>
                <w:color w:val="auto"/>
              </w:rPr>
              <w:t>Overhead</w:t>
            </w:r>
            <w:r>
              <w:rPr>
                <w:rFonts w:ascii="Arial" w:cs="Arial" w:eastAsia="Arial" w:hAnsi="Arial"/>
                <w:sz w:val="22"/>
                <w:szCs w:val="22"/>
                <w:b w:val="1"/>
                <w:bCs w:val="1"/>
                <w:color w:val="auto"/>
                <w:vertAlign w:val="superscript"/>
              </w:rPr>
              <w:t>(1)</w:t>
            </w:r>
          </w:p>
        </w:tc>
        <w:tc>
          <w:tcPr>
            <w:tcW w:w="200" w:type="dxa"/>
            <w:vAlign w:val="bottom"/>
          </w:tcPr>
          <w:p>
            <w:pPr>
              <w:spacing w:after="0"/>
              <w:rPr>
                <w:sz w:val="12"/>
                <w:szCs w:val="12"/>
                <w:color w:val="auto"/>
              </w:rPr>
            </w:pPr>
          </w:p>
        </w:tc>
        <w:tc>
          <w:tcPr>
            <w:tcW w:w="84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372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1020" w:type="dxa"/>
            <w:vAlign w:val="bottom"/>
            <w:tcBorders>
              <w:bottom w:val="single" w:sz="8" w:color="808080"/>
            </w:tcBorders>
          </w:tcPr>
          <w:p>
            <w:pPr>
              <w:jc w:val="center"/>
              <w:ind w:right="172"/>
              <w:spacing w:after="0"/>
              <w:rPr>
                <w:sz w:val="20"/>
                <w:szCs w:val="20"/>
                <w:color w:val="auto"/>
              </w:rPr>
            </w:pPr>
            <w:r>
              <w:rPr>
                <w:rFonts w:ascii="Arial" w:cs="Arial" w:eastAsia="Arial" w:hAnsi="Arial"/>
                <w:sz w:val="14"/>
                <w:szCs w:val="14"/>
                <w:b w:val="1"/>
                <w:bCs w:val="1"/>
                <w:color w:val="auto"/>
                <w:w w:val="89"/>
              </w:rPr>
              <w:t>Distribution</w:t>
            </w:r>
          </w:p>
        </w:tc>
        <w:tc>
          <w:tcPr>
            <w:tcW w:w="18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jc w:val="right"/>
              <w:ind w:right="152"/>
              <w:spacing w:after="0"/>
              <w:rPr>
                <w:sz w:val="20"/>
                <w:szCs w:val="20"/>
                <w:color w:val="auto"/>
              </w:rPr>
            </w:pPr>
            <w:r>
              <w:rPr>
                <w:rFonts w:ascii="Arial" w:cs="Arial" w:eastAsia="Arial" w:hAnsi="Arial"/>
                <w:sz w:val="14"/>
                <w:szCs w:val="14"/>
                <w:b w:val="1"/>
                <w:bCs w:val="1"/>
                <w:color w:val="auto"/>
                <w:w w:val="86"/>
              </w:rPr>
              <w:t>Publishing</w:t>
            </w:r>
          </w:p>
        </w:tc>
        <w:tc>
          <w:tcPr>
            <w:tcW w:w="180" w:type="dxa"/>
            <w:vAlign w:val="bottom"/>
            <w:tcBorders>
              <w:bottom w:val="single" w:sz="8" w:color="808080"/>
            </w:tcBorders>
          </w:tcPr>
          <w:p>
            <w:pPr>
              <w:spacing w:after="0"/>
              <w:rPr>
                <w:sz w:val="23"/>
                <w:szCs w:val="23"/>
                <w:color w:val="auto"/>
              </w:rPr>
            </w:pPr>
          </w:p>
        </w:tc>
        <w:tc>
          <w:tcPr>
            <w:tcW w:w="900" w:type="dxa"/>
            <w:vAlign w:val="bottom"/>
            <w:tcBorders>
              <w:bottom w:val="single" w:sz="8" w:color="808080"/>
            </w:tcBorders>
          </w:tcPr>
          <w:p>
            <w:pPr>
              <w:jc w:val="right"/>
              <w:ind w:right="152"/>
              <w:spacing w:after="0"/>
              <w:rPr>
                <w:sz w:val="20"/>
                <w:szCs w:val="20"/>
                <w:color w:val="auto"/>
              </w:rPr>
            </w:pPr>
            <w:r>
              <w:rPr>
                <w:rFonts w:ascii="Arial" w:cs="Arial" w:eastAsia="Arial" w:hAnsi="Arial"/>
                <w:sz w:val="14"/>
                <w:szCs w:val="14"/>
                <w:b w:val="1"/>
                <w:bCs w:val="1"/>
                <w:color w:val="auto"/>
                <w:w w:val="85"/>
              </w:rPr>
              <w:t>Advertising</w:t>
            </w:r>
          </w:p>
        </w:tc>
        <w:tc>
          <w:tcPr>
            <w:tcW w:w="1060" w:type="dxa"/>
            <w:vAlign w:val="bottom"/>
            <w:tcBorders>
              <w:bottom w:val="single" w:sz="8" w:color="808080"/>
            </w:tcBorders>
            <w:gridSpan w:val="2"/>
            <w:vMerge w:val="continue"/>
          </w:tcPr>
          <w:p>
            <w:pPr>
              <w:spacing w:after="0"/>
              <w:rPr>
                <w:sz w:val="23"/>
                <w:szCs w:val="23"/>
                <w:color w:val="auto"/>
              </w:rPr>
            </w:pPr>
          </w:p>
        </w:tc>
        <w:tc>
          <w:tcPr>
            <w:tcW w:w="200" w:type="dxa"/>
            <w:vAlign w:val="bottom"/>
            <w:tcBorders>
              <w:bottom w:val="single" w:sz="8" w:color="808080"/>
            </w:tcBorders>
          </w:tcPr>
          <w:p>
            <w:pPr>
              <w:spacing w:after="0"/>
              <w:rPr>
                <w:sz w:val="23"/>
                <w:szCs w:val="23"/>
                <w:color w:val="auto"/>
              </w:rPr>
            </w:pPr>
          </w:p>
        </w:tc>
        <w:tc>
          <w:tcPr>
            <w:tcW w:w="840" w:type="dxa"/>
            <w:vAlign w:val="bottom"/>
            <w:tcBorders>
              <w:bottom w:val="single" w:sz="8" w:color="808080"/>
            </w:tcBorders>
          </w:tcPr>
          <w:p>
            <w:pPr>
              <w:jc w:val="right"/>
              <w:ind w:right="212"/>
              <w:spacing w:after="0"/>
              <w:rPr>
                <w:sz w:val="20"/>
                <w:szCs w:val="20"/>
                <w:color w:val="auto"/>
              </w:rPr>
            </w:pPr>
            <w:r>
              <w:rPr>
                <w:rFonts w:ascii="Arial" w:cs="Arial" w:eastAsia="Arial" w:hAnsi="Arial"/>
                <w:sz w:val="14"/>
                <w:szCs w:val="14"/>
                <w:b w:val="1"/>
                <w:bCs w:val="1"/>
                <w:color w:val="auto"/>
                <w:w w:val="85"/>
              </w:rPr>
              <w:t>Domestic</w:t>
            </w:r>
          </w:p>
        </w:tc>
        <w:tc>
          <w:tcPr>
            <w:tcW w:w="1080" w:type="dxa"/>
            <w:vAlign w:val="bottom"/>
            <w:tcBorders>
              <w:bottom w:val="single" w:sz="8" w:color="808080"/>
            </w:tcBorders>
            <w:gridSpan w:val="2"/>
          </w:tcPr>
          <w:p>
            <w:pPr>
              <w:jc w:val="right"/>
              <w:ind w:right="112"/>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1"/>
        </w:trPr>
        <w:tc>
          <w:tcPr>
            <w:tcW w:w="372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720" w:type="dxa"/>
            <w:vAlign w:val="bottom"/>
          </w:tcPr>
          <w:p>
            <w:pPr>
              <w:spacing w:after="0"/>
              <w:rPr>
                <w:sz w:val="20"/>
                <w:szCs w:val="20"/>
                <w:color w:val="auto"/>
              </w:rPr>
            </w:pPr>
            <w:r>
              <w:rPr>
                <w:rFonts w:ascii="Arial" w:cs="Arial" w:eastAsia="Arial" w:hAnsi="Arial"/>
                <w:sz w:val="14"/>
                <w:szCs w:val="14"/>
                <w:b w:val="1"/>
                <w:bCs w:val="1"/>
                <w:color w:val="auto"/>
              </w:rPr>
              <w:t>August 31, 2010</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3720" w:type="dxa"/>
            <w:vAlign w:val="bottom"/>
          </w:tcPr>
          <w:p>
            <w:pPr>
              <w:ind w:left="160"/>
              <w:spacing w:after="0"/>
              <w:rPr>
                <w:sz w:val="20"/>
                <w:szCs w:val="20"/>
                <w:color w:val="auto"/>
              </w:rPr>
            </w:pPr>
            <w:r>
              <w:rPr>
                <w:rFonts w:ascii="Arial" w:cs="Arial" w:eastAsia="Arial" w:hAnsi="Arial"/>
                <w:sz w:val="14"/>
                <w:szCs w:val="14"/>
                <w:color w:val="auto"/>
              </w:rPr>
              <w:t>Revenues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72.8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118.6</w:t>
            </w:r>
          </w:p>
        </w:tc>
        <w:tc>
          <w:tcPr>
            <w:tcW w:w="180" w:type="dxa"/>
            <w:vAlign w:val="bottom"/>
          </w:tcPr>
          <w:p>
            <w:pPr>
              <w:ind w:left="10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17.6</w:t>
            </w:r>
          </w:p>
        </w:tc>
        <w:tc>
          <w:tcPr>
            <w:tcW w:w="38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209.0</w:t>
            </w:r>
          </w:p>
        </w:tc>
        <w:tc>
          <w:tcPr>
            <w:tcW w:w="4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81.9</w:t>
            </w: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290.9</w:t>
            </w:r>
          </w:p>
        </w:tc>
        <w:tc>
          <w:tcPr>
            <w:tcW w:w="0" w:type="dxa"/>
            <w:vAlign w:val="bottom"/>
          </w:tcPr>
          <w:p>
            <w:pPr>
              <w:spacing w:after="0"/>
              <w:rPr>
                <w:sz w:val="1"/>
                <w:szCs w:val="1"/>
                <w:color w:val="auto"/>
              </w:rPr>
            </w:pPr>
          </w:p>
        </w:tc>
      </w:tr>
      <w:tr>
        <w:trPr>
          <w:trHeight w:val="144"/>
        </w:trPr>
        <w:tc>
          <w:tcPr>
            <w:tcW w:w="3720" w:type="dxa"/>
            <w:vAlign w:val="bottom"/>
          </w:tcPr>
          <w:p>
            <w:pPr>
              <w:ind w:left="160"/>
              <w:spacing w:after="0" w:line="144" w:lineRule="exact"/>
              <w:rPr>
                <w:sz w:val="20"/>
                <w:szCs w:val="20"/>
                <w:color w:val="auto"/>
              </w:rPr>
            </w:pPr>
            <w:r>
              <w:rPr>
                <w:rFonts w:ascii="Arial" w:cs="Arial" w:eastAsia="Arial" w:hAnsi="Arial"/>
                <w:sz w:val="14"/>
                <w:szCs w:val="14"/>
                <w:color w:val="auto"/>
              </w:rPr>
              <w:t>Bad debts</w:t>
            </w:r>
          </w:p>
        </w:tc>
        <w:tc>
          <w:tcPr>
            <w:tcW w:w="320" w:type="dxa"/>
            <w:vAlign w:val="bottom"/>
          </w:tcPr>
          <w:p>
            <w:pPr>
              <w:spacing w:after="0"/>
              <w:rPr>
                <w:sz w:val="12"/>
                <w:szCs w:val="12"/>
                <w:color w:val="auto"/>
              </w:rPr>
            </w:pPr>
          </w:p>
        </w:tc>
        <w:tc>
          <w:tcPr>
            <w:tcW w:w="10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2"/>
                <w:szCs w:val="12"/>
                <w:color w:val="auto"/>
              </w:rPr>
            </w:pPr>
          </w:p>
        </w:tc>
        <w:tc>
          <w:tcPr>
            <w:tcW w:w="860" w:type="dxa"/>
            <w:vAlign w:val="bottom"/>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8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2.0</w:t>
            </w:r>
          </w:p>
        </w:tc>
        <w:tc>
          <w:tcPr>
            <w:tcW w:w="400" w:type="dxa"/>
            <w:vAlign w:val="bottom"/>
          </w:tcPr>
          <w:p>
            <w:pPr>
              <w:spacing w:after="0"/>
              <w:rPr>
                <w:sz w:val="12"/>
                <w:szCs w:val="12"/>
                <w:color w:val="auto"/>
              </w:rPr>
            </w:pPr>
          </w:p>
        </w:tc>
        <w:tc>
          <w:tcPr>
            <w:tcW w:w="68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0.9</w:t>
            </w:r>
          </w:p>
        </w:tc>
        <w:tc>
          <w:tcPr>
            <w:tcW w:w="260" w:type="dxa"/>
            <w:vAlign w:val="bottom"/>
          </w:tcPr>
          <w:p>
            <w:pPr>
              <w:spacing w:after="0"/>
              <w:rPr>
                <w:sz w:val="12"/>
                <w:szCs w:val="12"/>
                <w:color w:val="auto"/>
              </w:rPr>
            </w:pPr>
          </w:p>
        </w:tc>
        <w:tc>
          <w:tcPr>
            <w:tcW w:w="8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6"/>
        </w:trPr>
        <w:tc>
          <w:tcPr>
            <w:tcW w:w="372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(2)</w:t>
            </w:r>
          </w:p>
        </w:tc>
        <w:tc>
          <w:tcPr>
            <w:tcW w:w="320" w:type="dxa"/>
            <w:vAlign w:val="bottom"/>
          </w:tcPr>
          <w:p>
            <w:pPr>
              <w:spacing w:after="0"/>
              <w:rPr>
                <w:sz w:val="15"/>
                <w:szCs w:val="15"/>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0.6</w:t>
            </w:r>
          </w:p>
        </w:tc>
        <w:tc>
          <w:tcPr>
            <w:tcW w:w="180" w:type="dxa"/>
            <w:vAlign w:val="bottom"/>
          </w:tcPr>
          <w:p>
            <w:pPr>
              <w:spacing w:after="0"/>
              <w:rPr>
                <w:sz w:val="15"/>
                <w:szCs w:val="15"/>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0.5</w:t>
            </w:r>
          </w:p>
        </w:tc>
        <w:tc>
          <w:tcPr>
            <w:tcW w:w="38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8.4</w:t>
            </w:r>
          </w:p>
        </w:tc>
        <w:tc>
          <w:tcPr>
            <w:tcW w:w="20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13.1</w:t>
            </w:r>
          </w:p>
        </w:tc>
        <w:tc>
          <w:tcPr>
            <w:tcW w:w="40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80"/>
        </w:trPr>
        <w:tc>
          <w:tcPr>
            <w:tcW w:w="372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(3)</w:t>
            </w:r>
          </w:p>
        </w:tc>
        <w:tc>
          <w:tcPr>
            <w:tcW w:w="320" w:type="dxa"/>
            <w:vAlign w:val="bottom"/>
          </w:tcPr>
          <w:p>
            <w:pPr>
              <w:spacing w:after="0"/>
              <w:rPr>
                <w:sz w:val="15"/>
                <w:szCs w:val="15"/>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6.5</w:t>
            </w:r>
          </w:p>
        </w:tc>
        <w:tc>
          <w:tcPr>
            <w:tcW w:w="180" w:type="dxa"/>
            <w:vAlign w:val="bottom"/>
          </w:tcPr>
          <w:p>
            <w:pPr>
              <w:spacing w:after="0"/>
              <w:rPr>
                <w:sz w:val="15"/>
                <w:szCs w:val="15"/>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1.7</w:t>
            </w:r>
          </w:p>
        </w:tc>
        <w:tc>
          <w:tcPr>
            <w:tcW w:w="38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11.5</w:t>
            </w:r>
          </w:p>
        </w:tc>
        <w:tc>
          <w:tcPr>
            <w:tcW w:w="40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0.6</w:t>
            </w:r>
          </w:p>
        </w:tc>
        <w:tc>
          <w:tcPr>
            <w:tcW w:w="26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320" w:type="dxa"/>
            <w:vAlign w:val="bottom"/>
          </w:tcPr>
          <w:p>
            <w:pPr>
              <w:spacing w:after="0"/>
              <w:rPr>
                <w:sz w:val="12"/>
                <w:szCs w:val="12"/>
                <w:color w:val="auto"/>
              </w:rPr>
            </w:pPr>
          </w:p>
        </w:tc>
        <w:tc>
          <w:tcPr>
            <w:tcW w:w="10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5.1</w:t>
            </w:r>
          </w:p>
        </w:tc>
        <w:tc>
          <w:tcPr>
            <w:tcW w:w="18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0.1</w:t>
            </w:r>
          </w:p>
        </w:tc>
        <w:tc>
          <w:tcPr>
            <w:tcW w:w="38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w:t>
            </w:r>
          </w:p>
        </w:tc>
        <w:tc>
          <w:tcPr>
            <w:tcW w:w="4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0.6</w:t>
            </w:r>
          </w:p>
        </w:tc>
        <w:tc>
          <w:tcPr>
            <w:tcW w:w="26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Segment operating (loss) income</w:t>
            </w:r>
          </w:p>
        </w:tc>
        <w:tc>
          <w:tcPr>
            <w:tcW w:w="3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(51.6)</w:t>
            </w:r>
          </w:p>
        </w:tc>
        <w:tc>
          <w:tcPr>
            <w:tcW w:w="18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28.5</w:t>
            </w:r>
          </w:p>
        </w:tc>
        <w:tc>
          <w:tcPr>
            <w:tcW w:w="1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(2.9)</w:t>
            </w:r>
          </w:p>
        </w:tc>
        <w:tc>
          <w:tcPr>
            <w:tcW w:w="38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(18.6)</w:t>
            </w:r>
          </w:p>
        </w:tc>
        <w:tc>
          <w:tcPr>
            <w:tcW w:w="20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(44.6)</w:t>
            </w:r>
          </w:p>
        </w:tc>
        <w:tc>
          <w:tcPr>
            <w:tcW w:w="40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w:t>
            </w:r>
          </w:p>
        </w:tc>
        <w:tc>
          <w:tcPr>
            <w:tcW w:w="26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49"/>
        </w:trPr>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Segment assets</w:t>
            </w:r>
          </w:p>
        </w:tc>
        <w:tc>
          <w:tcPr>
            <w:tcW w:w="320" w:type="dxa"/>
            <w:vAlign w:val="bottom"/>
          </w:tcPr>
          <w:p>
            <w:pPr>
              <w:spacing w:after="0"/>
              <w:rPr>
                <w:sz w:val="12"/>
                <w:szCs w:val="12"/>
                <w:color w:val="auto"/>
              </w:rPr>
            </w:pPr>
          </w:p>
        </w:tc>
        <w:tc>
          <w:tcPr>
            <w:tcW w:w="10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553.1</w:t>
            </w:r>
          </w:p>
        </w:tc>
        <w:tc>
          <w:tcPr>
            <w:tcW w:w="18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348.1</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57.3</w:t>
            </w:r>
          </w:p>
        </w:tc>
        <w:tc>
          <w:tcPr>
            <w:tcW w:w="38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384.0</w:t>
            </w:r>
          </w:p>
        </w:tc>
        <w:tc>
          <w:tcPr>
            <w:tcW w:w="2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1,342.5</w:t>
            </w:r>
          </w:p>
        </w:tc>
        <w:tc>
          <w:tcPr>
            <w:tcW w:w="4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288.2</w:t>
            </w:r>
          </w:p>
        </w:tc>
        <w:tc>
          <w:tcPr>
            <w:tcW w:w="26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1,630.7</w:t>
            </w:r>
          </w:p>
        </w:tc>
        <w:tc>
          <w:tcPr>
            <w:tcW w:w="0" w:type="dxa"/>
            <w:vAlign w:val="bottom"/>
          </w:tcPr>
          <w:p>
            <w:pPr>
              <w:spacing w:after="0"/>
              <w:rPr>
                <w:sz w:val="1"/>
                <w:szCs w:val="1"/>
                <w:color w:val="auto"/>
              </w:rPr>
            </w:pPr>
          </w:p>
        </w:tc>
      </w:tr>
      <w:tr>
        <w:trPr>
          <w:trHeight w:val="149"/>
        </w:trPr>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2"/>
                <w:szCs w:val="12"/>
                <w:color w:val="auto"/>
              </w:rPr>
            </w:pPr>
          </w:p>
        </w:tc>
        <w:tc>
          <w:tcPr>
            <w:tcW w:w="10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54.3</w:t>
            </w:r>
          </w:p>
        </w:tc>
        <w:tc>
          <w:tcPr>
            <w:tcW w:w="18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88.4</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w:t>
            </w:r>
          </w:p>
        </w:tc>
        <w:tc>
          <w:tcPr>
            <w:tcW w:w="38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148.1</w:t>
            </w:r>
          </w:p>
        </w:tc>
        <w:tc>
          <w:tcPr>
            <w:tcW w:w="4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8.5</w:t>
            </w:r>
          </w:p>
        </w:tc>
        <w:tc>
          <w:tcPr>
            <w:tcW w:w="26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r>
        <w:trPr>
          <w:trHeight w:val="149"/>
        </w:trPr>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w w:val="93"/>
              </w:rPr>
              <w:t>Expenditures for long-lived assets including royalty advances</w:t>
            </w:r>
          </w:p>
        </w:tc>
        <w:tc>
          <w:tcPr>
            <w:tcW w:w="320" w:type="dxa"/>
            <w:vAlign w:val="bottom"/>
          </w:tcPr>
          <w:p>
            <w:pPr>
              <w:spacing w:after="0"/>
              <w:rPr>
                <w:sz w:val="12"/>
                <w:szCs w:val="12"/>
                <w:color w:val="auto"/>
              </w:rPr>
            </w:pPr>
          </w:p>
        </w:tc>
        <w:tc>
          <w:tcPr>
            <w:tcW w:w="10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13.0</w:t>
            </w:r>
          </w:p>
        </w:tc>
        <w:tc>
          <w:tcPr>
            <w:tcW w:w="18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6.9</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2.0</w:t>
            </w:r>
          </w:p>
        </w:tc>
        <w:tc>
          <w:tcPr>
            <w:tcW w:w="38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5.5</w:t>
            </w:r>
          </w:p>
        </w:tc>
        <w:tc>
          <w:tcPr>
            <w:tcW w:w="2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27.4</w:t>
            </w:r>
          </w:p>
        </w:tc>
        <w:tc>
          <w:tcPr>
            <w:tcW w:w="4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3.1</w:t>
            </w:r>
          </w:p>
        </w:tc>
        <w:tc>
          <w:tcPr>
            <w:tcW w:w="26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72"/>
        </w:trPr>
        <w:tc>
          <w:tcPr>
            <w:tcW w:w="3720" w:type="dxa"/>
            <w:vAlign w:val="bottom"/>
          </w:tcPr>
          <w:p>
            <w:pPr>
              <w:ind w:left="160"/>
              <w:spacing w:after="0"/>
              <w:rPr>
                <w:sz w:val="20"/>
                <w:szCs w:val="20"/>
                <w:color w:val="auto"/>
              </w:rPr>
            </w:pPr>
            <w:r>
              <w:rPr>
                <w:rFonts w:ascii="Arial" w:cs="Arial" w:eastAsia="Arial" w:hAnsi="Arial"/>
                <w:sz w:val="14"/>
                <w:szCs w:val="14"/>
                <w:color w:val="auto"/>
              </w:rPr>
              <w:t>Long-lived assets</w:t>
            </w:r>
          </w:p>
        </w:tc>
        <w:tc>
          <w:tcPr>
            <w:tcW w:w="320" w:type="dxa"/>
            <w:vAlign w:val="bottom"/>
          </w:tcPr>
          <w:p>
            <w:pPr>
              <w:spacing w:after="0"/>
              <w:rPr>
                <w:sz w:val="14"/>
                <w:szCs w:val="14"/>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183.8</w:t>
            </w:r>
          </w:p>
        </w:tc>
        <w:tc>
          <w:tcPr>
            <w:tcW w:w="180" w:type="dxa"/>
            <w:vAlign w:val="bottom"/>
          </w:tcPr>
          <w:p>
            <w:pPr>
              <w:spacing w:after="0"/>
              <w:rPr>
                <w:sz w:val="14"/>
                <w:szCs w:val="14"/>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168.2</w:t>
            </w:r>
          </w:p>
        </w:tc>
        <w:tc>
          <w:tcPr>
            <w:tcW w:w="180" w:type="dxa"/>
            <w:vAlign w:val="bottom"/>
          </w:tcPr>
          <w:p>
            <w:pPr>
              <w:spacing w:after="0"/>
              <w:rPr>
                <w:sz w:val="14"/>
                <w:szCs w:val="14"/>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20.1</w:t>
            </w:r>
          </w:p>
        </w:tc>
        <w:tc>
          <w:tcPr>
            <w:tcW w:w="380" w:type="dxa"/>
            <w:vAlign w:val="bottom"/>
          </w:tcPr>
          <w:p>
            <w:pPr>
              <w:spacing w:after="0"/>
              <w:rPr>
                <w:sz w:val="14"/>
                <w:szCs w:val="14"/>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227.1</w:t>
            </w:r>
          </w:p>
        </w:tc>
        <w:tc>
          <w:tcPr>
            <w:tcW w:w="200" w:type="dxa"/>
            <w:vAlign w:val="bottom"/>
          </w:tcPr>
          <w:p>
            <w:pPr>
              <w:spacing w:after="0"/>
              <w:rPr>
                <w:sz w:val="14"/>
                <w:szCs w:val="14"/>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599.2</w:t>
            </w:r>
          </w:p>
        </w:tc>
        <w:tc>
          <w:tcPr>
            <w:tcW w:w="400" w:type="dxa"/>
            <w:vAlign w:val="bottom"/>
          </w:tcPr>
          <w:p>
            <w:pPr>
              <w:spacing w:after="0"/>
              <w:rPr>
                <w:sz w:val="14"/>
                <w:szCs w:val="14"/>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69.7</w:t>
            </w:r>
          </w:p>
        </w:tc>
        <w:tc>
          <w:tcPr>
            <w:tcW w:w="26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668.9</w:t>
            </w:r>
          </w:p>
        </w:tc>
        <w:tc>
          <w:tcPr>
            <w:tcW w:w="0" w:type="dxa"/>
            <w:vAlign w:val="bottom"/>
          </w:tcPr>
          <w:p>
            <w:pPr>
              <w:spacing w:after="0"/>
              <w:rPr>
                <w:sz w:val="1"/>
                <w:szCs w:val="1"/>
                <w:color w:val="auto"/>
              </w:rPr>
            </w:pPr>
          </w:p>
        </w:tc>
      </w:tr>
      <w:tr>
        <w:trPr>
          <w:trHeight w:val="271"/>
        </w:trPr>
        <w:tc>
          <w:tcPr>
            <w:tcW w:w="372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3720" w:type="dxa"/>
            <w:vAlign w:val="bottom"/>
          </w:tcPr>
          <w:p>
            <w:pPr>
              <w:spacing w:after="0"/>
              <w:rPr>
                <w:sz w:val="20"/>
                <w:szCs w:val="20"/>
                <w:color w:val="auto"/>
              </w:rPr>
            </w:pPr>
            <w:r>
              <w:rPr>
                <w:rFonts w:ascii="Arial" w:cs="Arial" w:eastAsia="Arial" w:hAnsi="Arial"/>
                <w:sz w:val="14"/>
                <w:szCs w:val="14"/>
                <w:b w:val="1"/>
                <w:bCs w:val="1"/>
                <w:color w:val="auto"/>
              </w:rPr>
              <w:t>August 31, 2009</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3720" w:type="dxa"/>
            <w:vAlign w:val="bottom"/>
          </w:tcPr>
          <w:p>
            <w:pPr>
              <w:ind w:left="160"/>
              <w:spacing w:after="0"/>
              <w:rPr>
                <w:sz w:val="20"/>
                <w:szCs w:val="20"/>
                <w:color w:val="auto"/>
              </w:rPr>
            </w:pPr>
            <w:r>
              <w:rPr>
                <w:rFonts w:ascii="Arial" w:cs="Arial" w:eastAsia="Arial" w:hAnsi="Arial"/>
                <w:sz w:val="14"/>
                <w:szCs w:val="14"/>
                <w:color w:val="auto"/>
              </w:rPr>
              <w:t>Revenues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76.2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148.7</w:t>
            </w:r>
          </w:p>
        </w:tc>
        <w:tc>
          <w:tcPr>
            <w:tcW w:w="180" w:type="dxa"/>
            <w:vAlign w:val="bottom"/>
          </w:tcPr>
          <w:p>
            <w:pPr>
              <w:ind w:left="10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15.1</w:t>
            </w:r>
          </w:p>
        </w:tc>
        <w:tc>
          <w:tcPr>
            <w:tcW w:w="38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240.0</w:t>
            </w:r>
          </w:p>
        </w:tc>
        <w:tc>
          <w:tcPr>
            <w:tcW w:w="4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75.6</w:t>
            </w: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315.6</w:t>
            </w:r>
          </w:p>
        </w:tc>
        <w:tc>
          <w:tcPr>
            <w:tcW w:w="0" w:type="dxa"/>
            <w:vAlign w:val="bottom"/>
          </w:tcPr>
          <w:p>
            <w:pPr>
              <w:spacing w:after="0"/>
              <w:rPr>
                <w:sz w:val="1"/>
                <w:szCs w:val="1"/>
                <w:color w:val="auto"/>
              </w:rPr>
            </w:pPr>
          </w:p>
        </w:tc>
      </w:tr>
      <w:tr>
        <w:trPr>
          <w:trHeight w:val="144"/>
        </w:trPr>
        <w:tc>
          <w:tcPr>
            <w:tcW w:w="3720" w:type="dxa"/>
            <w:vAlign w:val="bottom"/>
          </w:tcPr>
          <w:p>
            <w:pPr>
              <w:ind w:left="160"/>
              <w:spacing w:after="0" w:line="144" w:lineRule="exact"/>
              <w:rPr>
                <w:sz w:val="20"/>
                <w:szCs w:val="20"/>
                <w:color w:val="auto"/>
              </w:rPr>
            </w:pPr>
            <w:r>
              <w:rPr>
                <w:rFonts w:ascii="Arial" w:cs="Arial" w:eastAsia="Arial" w:hAnsi="Arial"/>
                <w:sz w:val="14"/>
                <w:szCs w:val="14"/>
                <w:color w:val="auto"/>
              </w:rPr>
              <w:t>Bad debts</w:t>
            </w:r>
          </w:p>
        </w:tc>
        <w:tc>
          <w:tcPr>
            <w:tcW w:w="320" w:type="dxa"/>
            <w:vAlign w:val="bottom"/>
          </w:tcPr>
          <w:p>
            <w:pPr>
              <w:spacing w:after="0"/>
              <w:rPr>
                <w:sz w:val="12"/>
                <w:szCs w:val="12"/>
                <w:color w:val="auto"/>
              </w:rPr>
            </w:pPr>
          </w:p>
        </w:tc>
        <w:tc>
          <w:tcPr>
            <w:tcW w:w="10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2"/>
                <w:szCs w:val="12"/>
                <w:color w:val="auto"/>
              </w:rPr>
            </w:pPr>
          </w:p>
        </w:tc>
        <w:tc>
          <w:tcPr>
            <w:tcW w:w="860" w:type="dxa"/>
            <w:vAlign w:val="bottom"/>
          </w:tcPr>
          <w:p>
            <w:pPr>
              <w:jc w:val="right"/>
              <w:ind w:right="52"/>
              <w:spacing w:after="0" w:line="144"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9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8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1.2</w:t>
            </w:r>
          </w:p>
        </w:tc>
        <w:tc>
          <w:tcPr>
            <w:tcW w:w="400" w:type="dxa"/>
            <w:vAlign w:val="bottom"/>
          </w:tcPr>
          <w:p>
            <w:pPr>
              <w:spacing w:after="0"/>
              <w:rPr>
                <w:sz w:val="12"/>
                <w:szCs w:val="12"/>
                <w:color w:val="auto"/>
              </w:rPr>
            </w:pPr>
          </w:p>
        </w:tc>
        <w:tc>
          <w:tcPr>
            <w:tcW w:w="68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0.9</w:t>
            </w:r>
          </w:p>
        </w:tc>
        <w:tc>
          <w:tcPr>
            <w:tcW w:w="260" w:type="dxa"/>
            <w:vAlign w:val="bottom"/>
          </w:tcPr>
          <w:p>
            <w:pPr>
              <w:spacing w:after="0"/>
              <w:rPr>
                <w:sz w:val="12"/>
                <w:szCs w:val="12"/>
                <w:color w:val="auto"/>
              </w:rPr>
            </w:pPr>
          </w:p>
        </w:tc>
        <w:tc>
          <w:tcPr>
            <w:tcW w:w="8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6"/>
        </w:trPr>
        <w:tc>
          <w:tcPr>
            <w:tcW w:w="372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(2)</w:t>
            </w:r>
          </w:p>
        </w:tc>
        <w:tc>
          <w:tcPr>
            <w:tcW w:w="320" w:type="dxa"/>
            <w:vAlign w:val="bottom"/>
          </w:tcPr>
          <w:p>
            <w:pPr>
              <w:spacing w:after="0"/>
              <w:rPr>
                <w:sz w:val="15"/>
                <w:szCs w:val="15"/>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0.9</w:t>
            </w:r>
          </w:p>
        </w:tc>
        <w:tc>
          <w:tcPr>
            <w:tcW w:w="180" w:type="dxa"/>
            <w:vAlign w:val="bottom"/>
          </w:tcPr>
          <w:p>
            <w:pPr>
              <w:spacing w:after="0"/>
              <w:rPr>
                <w:sz w:val="15"/>
                <w:szCs w:val="15"/>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0.2</w:t>
            </w:r>
          </w:p>
        </w:tc>
        <w:tc>
          <w:tcPr>
            <w:tcW w:w="38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8.8</w:t>
            </w:r>
          </w:p>
        </w:tc>
        <w:tc>
          <w:tcPr>
            <w:tcW w:w="20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13.2</w:t>
            </w:r>
          </w:p>
        </w:tc>
        <w:tc>
          <w:tcPr>
            <w:tcW w:w="40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80"/>
        </w:trPr>
        <w:tc>
          <w:tcPr>
            <w:tcW w:w="372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(3)</w:t>
            </w:r>
          </w:p>
        </w:tc>
        <w:tc>
          <w:tcPr>
            <w:tcW w:w="320" w:type="dxa"/>
            <w:vAlign w:val="bottom"/>
          </w:tcPr>
          <w:p>
            <w:pPr>
              <w:spacing w:after="0"/>
              <w:rPr>
                <w:sz w:val="15"/>
                <w:szCs w:val="15"/>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2.5</w:t>
            </w:r>
          </w:p>
        </w:tc>
        <w:tc>
          <w:tcPr>
            <w:tcW w:w="18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6.8</w:t>
            </w:r>
          </w:p>
        </w:tc>
        <w:tc>
          <w:tcPr>
            <w:tcW w:w="180" w:type="dxa"/>
            <w:vAlign w:val="bottom"/>
          </w:tcPr>
          <w:p>
            <w:pPr>
              <w:spacing w:after="0"/>
              <w:rPr>
                <w:sz w:val="15"/>
                <w:szCs w:val="15"/>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2.2</w:t>
            </w:r>
          </w:p>
        </w:tc>
        <w:tc>
          <w:tcPr>
            <w:tcW w:w="38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11.5</w:t>
            </w:r>
          </w:p>
        </w:tc>
        <w:tc>
          <w:tcPr>
            <w:tcW w:w="40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0.6</w:t>
            </w:r>
          </w:p>
        </w:tc>
        <w:tc>
          <w:tcPr>
            <w:tcW w:w="26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320" w:type="dxa"/>
            <w:vAlign w:val="bottom"/>
          </w:tcPr>
          <w:p>
            <w:pPr>
              <w:spacing w:after="0"/>
              <w:rPr>
                <w:sz w:val="12"/>
                <w:szCs w:val="12"/>
                <w:color w:val="auto"/>
              </w:rPr>
            </w:pPr>
          </w:p>
        </w:tc>
        <w:tc>
          <w:tcPr>
            <w:tcW w:w="10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5.1</w:t>
            </w:r>
          </w:p>
        </w:tc>
        <w:tc>
          <w:tcPr>
            <w:tcW w:w="18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0.1</w:t>
            </w:r>
          </w:p>
        </w:tc>
        <w:tc>
          <w:tcPr>
            <w:tcW w:w="38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w:t>
            </w:r>
          </w:p>
        </w:tc>
        <w:tc>
          <w:tcPr>
            <w:tcW w:w="4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w:t>
            </w:r>
          </w:p>
        </w:tc>
        <w:tc>
          <w:tcPr>
            <w:tcW w:w="26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Segment operating (loss) income</w:t>
            </w:r>
          </w:p>
        </w:tc>
        <w:tc>
          <w:tcPr>
            <w:tcW w:w="3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18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41.3</w:t>
            </w:r>
          </w:p>
        </w:tc>
        <w:tc>
          <w:tcPr>
            <w:tcW w:w="1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w:t>
            </w:r>
          </w:p>
        </w:tc>
        <w:tc>
          <w:tcPr>
            <w:tcW w:w="38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(23.5)</w:t>
            </w:r>
          </w:p>
        </w:tc>
        <w:tc>
          <w:tcPr>
            <w:tcW w:w="20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(33.4)</w:t>
            </w:r>
          </w:p>
        </w:tc>
        <w:tc>
          <w:tcPr>
            <w:tcW w:w="40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w:t>
            </w:r>
          </w:p>
        </w:tc>
        <w:tc>
          <w:tcPr>
            <w:tcW w:w="26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9"/>
        </w:trPr>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Segment assets</w:t>
            </w:r>
          </w:p>
        </w:tc>
        <w:tc>
          <w:tcPr>
            <w:tcW w:w="320" w:type="dxa"/>
            <w:vAlign w:val="bottom"/>
          </w:tcPr>
          <w:p>
            <w:pPr>
              <w:spacing w:after="0"/>
              <w:rPr>
                <w:sz w:val="12"/>
                <w:szCs w:val="12"/>
                <w:color w:val="auto"/>
              </w:rPr>
            </w:pPr>
          </w:p>
        </w:tc>
        <w:tc>
          <w:tcPr>
            <w:tcW w:w="10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512.3</w:t>
            </w:r>
          </w:p>
        </w:tc>
        <w:tc>
          <w:tcPr>
            <w:tcW w:w="18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393.7</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65.5</w:t>
            </w:r>
          </w:p>
        </w:tc>
        <w:tc>
          <w:tcPr>
            <w:tcW w:w="38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417.5</w:t>
            </w:r>
          </w:p>
        </w:tc>
        <w:tc>
          <w:tcPr>
            <w:tcW w:w="2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1,389.0</w:t>
            </w:r>
          </w:p>
        </w:tc>
        <w:tc>
          <w:tcPr>
            <w:tcW w:w="4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259.9</w:t>
            </w:r>
          </w:p>
        </w:tc>
        <w:tc>
          <w:tcPr>
            <w:tcW w:w="26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1,648.9</w:t>
            </w:r>
          </w:p>
        </w:tc>
        <w:tc>
          <w:tcPr>
            <w:tcW w:w="0" w:type="dxa"/>
            <w:vAlign w:val="bottom"/>
          </w:tcPr>
          <w:p>
            <w:pPr>
              <w:spacing w:after="0"/>
              <w:rPr>
                <w:sz w:val="1"/>
                <w:szCs w:val="1"/>
                <w:color w:val="auto"/>
              </w:rPr>
            </w:pPr>
          </w:p>
        </w:tc>
      </w:tr>
      <w:tr>
        <w:trPr>
          <w:trHeight w:val="149"/>
        </w:trPr>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2"/>
                <w:szCs w:val="12"/>
                <w:color w:val="auto"/>
              </w:rPr>
            </w:pPr>
          </w:p>
        </w:tc>
        <w:tc>
          <w:tcPr>
            <w:tcW w:w="10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54.3</w:t>
            </w:r>
          </w:p>
        </w:tc>
        <w:tc>
          <w:tcPr>
            <w:tcW w:w="18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88.4</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5.8</w:t>
            </w:r>
          </w:p>
        </w:tc>
        <w:tc>
          <w:tcPr>
            <w:tcW w:w="38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148.5</w:t>
            </w:r>
          </w:p>
        </w:tc>
        <w:tc>
          <w:tcPr>
            <w:tcW w:w="4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8.5</w:t>
            </w:r>
          </w:p>
        </w:tc>
        <w:tc>
          <w:tcPr>
            <w:tcW w:w="26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157.0</w:t>
            </w:r>
          </w:p>
        </w:tc>
        <w:tc>
          <w:tcPr>
            <w:tcW w:w="0" w:type="dxa"/>
            <w:vAlign w:val="bottom"/>
          </w:tcPr>
          <w:p>
            <w:pPr>
              <w:spacing w:after="0"/>
              <w:rPr>
                <w:sz w:val="1"/>
                <w:szCs w:val="1"/>
                <w:color w:val="auto"/>
              </w:rPr>
            </w:pPr>
          </w:p>
        </w:tc>
      </w:tr>
      <w:tr>
        <w:trPr>
          <w:trHeight w:val="149"/>
        </w:trPr>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w w:val="93"/>
              </w:rPr>
              <w:t>Expenditures for long-lived assets including royalty advances</w:t>
            </w:r>
          </w:p>
        </w:tc>
        <w:tc>
          <w:tcPr>
            <w:tcW w:w="320" w:type="dxa"/>
            <w:vAlign w:val="bottom"/>
          </w:tcPr>
          <w:p>
            <w:pPr>
              <w:spacing w:after="0"/>
              <w:rPr>
                <w:sz w:val="12"/>
                <w:szCs w:val="12"/>
                <w:color w:val="auto"/>
              </w:rPr>
            </w:pPr>
          </w:p>
        </w:tc>
        <w:tc>
          <w:tcPr>
            <w:tcW w:w="10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12.7</w:t>
            </w:r>
          </w:p>
        </w:tc>
        <w:tc>
          <w:tcPr>
            <w:tcW w:w="18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5.6</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w:t>
            </w:r>
          </w:p>
        </w:tc>
        <w:tc>
          <w:tcPr>
            <w:tcW w:w="38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w:t>
            </w:r>
          </w:p>
        </w:tc>
        <w:tc>
          <w:tcPr>
            <w:tcW w:w="2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22.8</w:t>
            </w:r>
          </w:p>
        </w:tc>
        <w:tc>
          <w:tcPr>
            <w:tcW w:w="4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w:t>
            </w:r>
          </w:p>
        </w:tc>
        <w:tc>
          <w:tcPr>
            <w:tcW w:w="26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72"/>
        </w:trPr>
        <w:tc>
          <w:tcPr>
            <w:tcW w:w="3720" w:type="dxa"/>
            <w:vAlign w:val="bottom"/>
          </w:tcPr>
          <w:p>
            <w:pPr>
              <w:ind w:left="160"/>
              <w:spacing w:after="0"/>
              <w:rPr>
                <w:sz w:val="20"/>
                <w:szCs w:val="20"/>
                <w:color w:val="auto"/>
              </w:rPr>
            </w:pPr>
            <w:r>
              <w:rPr>
                <w:rFonts w:ascii="Arial" w:cs="Arial" w:eastAsia="Arial" w:hAnsi="Arial"/>
                <w:sz w:val="14"/>
                <w:szCs w:val="14"/>
                <w:color w:val="auto"/>
              </w:rPr>
              <w:t>Long-lived assets</w:t>
            </w:r>
          </w:p>
        </w:tc>
        <w:tc>
          <w:tcPr>
            <w:tcW w:w="320" w:type="dxa"/>
            <w:vAlign w:val="bottom"/>
          </w:tcPr>
          <w:p>
            <w:pPr>
              <w:spacing w:after="0"/>
              <w:rPr>
                <w:sz w:val="14"/>
                <w:szCs w:val="14"/>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180.6</w:t>
            </w:r>
          </w:p>
        </w:tc>
        <w:tc>
          <w:tcPr>
            <w:tcW w:w="180" w:type="dxa"/>
            <w:vAlign w:val="bottom"/>
          </w:tcPr>
          <w:p>
            <w:pPr>
              <w:spacing w:after="0"/>
              <w:rPr>
                <w:sz w:val="14"/>
                <w:szCs w:val="14"/>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204.8</w:t>
            </w:r>
          </w:p>
        </w:tc>
        <w:tc>
          <w:tcPr>
            <w:tcW w:w="180" w:type="dxa"/>
            <w:vAlign w:val="bottom"/>
          </w:tcPr>
          <w:p>
            <w:pPr>
              <w:spacing w:after="0"/>
              <w:rPr>
                <w:sz w:val="14"/>
                <w:szCs w:val="14"/>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30.2</w:t>
            </w:r>
          </w:p>
        </w:tc>
        <w:tc>
          <w:tcPr>
            <w:tcW w:w="380" w:type="dxa"/>
            <w:vAlign w:val="bottom"/>
          </w:tcPr>
          <w:p>
            <w:pPr>
              <w:spacing w:after="0"/>
              <w:rPr>
                <w:sz w:val="14"/>
                <w:szCs w:val="14"/>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226.5</w:t>
            </w:r>
          </w:p>
        </w:tc>
        <w:tc>
          <w:tcPr>
            <w:tcW w:w="200" w:type="dxa"/>
            <w:vAlign w:val="bottom"/>
          </w:tcPr>
          <w:p>
            <w:pPr>
              <w:spacing w:after="0"/>
              <w:rPr>
                <w:sz w:val="14"/>
                <w:szCs w:val="14"/>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642.1</w:t>
            </w:r>
          </w:p>
        </w:tc>
        <w:tc>
          <w:tcPr>
            <w:tcW w:w="400" w:type="dxa"/>
            <w:vAlign w:val="bottom"/>
          </w:tcPr>
          <w:p>
            <w:pPr>
              <w:spacing w:after="0"/>
              <w:rPr>
                <w:sz w:val="14"/>
                <w:szCs w:val="14"/>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74.1</w:t>
            </w:r>
          </w:p>
        </w:tc>
        <w:tc>
          <w:tcPr>
            <w:tcW w:w="26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716.2</w:t>
            </w:r>
          </w:p>
        </w:tc>
        <w:tc>
          <w:tcPr>
            <w:tcW w:w="0" w:type="dxa"/>
            <w:vAlign w:val="bottom"/>
          </w:tcPr>
          <w:p>
            <w:pPr>
              <w:spacing w:after="0"/>
              <w:rPr>
                <w:sz w:val="1"/>
                <w:szCs w:val="1"/>
                <w:color w:val="auto"/>
              </w:rPr>
            </w:pPr>
          </w:p>
        </w:tc>
      </w:tr>
      <w:tr>
        <w:trPr>
          <w:trHeight w:val="95"/>
        </w:trPr>
        <w:tc>
          <w:tcPr>
            <w:tcW w:w="3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3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80" w:hanging="572"/>
        <w:spacing w:after="0" w:line="306"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its fulfillment and distribution facilities located in Missouri and the Danbury facility.</w:t>
      </w:r>
    </w:p>
    <w:p>
      <w:pPr>
        <w:spacing w:after="0" w:line="93" w:lineRule="exact"/>
        <w:rPr>
          <w:rFonts w:ascii="Arial" w:cs="Arial" w:eastAsia="Arial" w:hAnsi="Arial"/>
          <w:sz w:val="16"/>
          <w:szCs w:val="16"/>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Includes depreciation of property, plant and equipment and amortization of intangible assets.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Includes amortization of prepublication and production costs.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382"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12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Carrying</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w w:val="94"/>
              </w:rPr>
              <w:t>Carrying</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Carrying</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8"/>
        </w:trPr>
        <w:tc>
          <w:tcPr>
            <w:tcW w:w="4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b w:val="1"/>
                <w:bCs w:val="1"/>
                <w:color w:val="auto"/>
                <w:w w:val="95"/>
              </w:rPr>
              <w:t>Value</w:t>
            </w: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b w:val="1"/>
                <w:bCs w:val="1"/>
                <w:color w:val="auto"/>
              </w:rPr>
              <w:t>Value</w:t>
            </w: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b w:val="1"/>
                <w:bCs w:val="1"/>
                <w:color w:val="auto"/>
                <w:w w:val="95"/>
              </w:rPr>
              <w:t>Value</w:t>
            </w:r>
          </w:p>
        </w:tc>
        <w:tc>
          <w:tcPr>
            <w:tcW w:w="11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Fair Value</w:t>
            </w:r>
          </w:p>
        </w:tc>
      </w:tr>
      <w:tr>
        <w:trPr>
          <w:trHeight w:val="110"/>
        </w:trPr>
        <w:tc>
          <w:tcPr>
            <w:tcW w:w="48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gridSpan w:val="3"/>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gridSpan w:val="3"/>
          </w:tcPr>
          <w:p>
            <w:pPr>
              <w:spacing w:after="0"/>
              <w:rPr>
                <w:sz w:val="9"/>
                <w:szCs w:val="9"/>
                <w:color w:val="auto"/>
              </w:rPr>
            </w:pPr>
          </w:p>
        </w:tc>
      </w:tr>
      <w:tr>
        <w:trPr>
          <w:trHeight w:val="316"/>
        </w:trPr>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3"/>
          </w:tcPr>
          <w:p>
            <w:pPr>
              <w:jc w:val="right"/>
              <w:ind w:right="372"/>
              <w:spacing w:after="0"/>
              <w:rPr>
                <w:sz w:val="20"/>
                <w:szCs w:val="20"/>
                <w:color w:val="auto"/>
              </w:rPr>
            </w:pPr>
            <w:r>
              <w:rPr>
                <w:rFonts w:ascii="Arial" w:cs="Arial" w:eastAsia="Arial" w:hAnsi="Arial"/>
                <w:sz w:val="18"/>
                <w:szCs w:val="18"/>
                <w:b w:val="1"/>
                <w:bCs w:val="1"/>
                <w:i w:val="1"/>
                <w:iCs w:val="1"/>
                <w:color w:val="auto"/>
                <w:w w:val="99"/>
              </w:rPr>
              <w:t>August 31, 2010</w:t>
            </w:r>
          </w:p>
        </w:tc>
        <w:tc>
          <w:tcPr>
            <w:tcW w:w="220" w:type="dxa"/>
            <w:vAlign w:val="bottom"/>
          </w:tcPr>
          <w:p>
            <w:pPr>
              <w:spacing w:after="0"/>
              <w:rPr>
                <w:sz w:val="24"/>
                <w:szCs w:val="24"/>
                <w:color w:val="auto"/>
              </w:rPr>
            </w:pPr>
          </w:p>
        </w:tc>
        <w:tc>
          <w:tcPr>
            <w:tcW w:w="1440" w:type="dxa"/>
            <w:vAlign w:val="bottom"/>
            <w:gridSpan w:val="2"/>
          </w:tcPr>
          <w:p>
            <w:pPr>
              <w:ind w:left="400"/>
              <w:spacing w:after="0"/>
              <w:rPr>
                <w:sz w:val="20"/>
                <w:szCs w:val="20"/>
                <w:color w:val="auto"/>
              </w:rPr>
            </w:pPr>
            <w:r>
              <w:rPr>
                <w:rFonts w:ascii="Arial" w:cs="Arial" w:eastAsia="Arial" w:hAnsi="Arial"/>
                <w:sz w:val="18"/>
                <w:szCs w:val="18"/>
                <w:b w:val="1"/>
                <w:bCs w:val="1"/>
                <w:i w:val="1"/>
                <w:iCs w:val="1"/>
                <w:color w:val="auto"/>
                <w:w w:val="92"/>
              </w:rPr>
              <w:t>May 31, 2010</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gridSpan w:val="3"/>
          </w:tcPr>
          <w:p>
            <w:pPr>
              <w:jc w:val="right"/>
              <w:ind w:right="412"/>
              <w:spacing w:after="0"/>
              <w:rPr>
                <w:sz w:val="20"/>
                <w:szCs w:val="20"/>
                <w:color w:val="auto"/>
              </w:rPr>
            </w:pPr>
            <w:r>
              <w:rPr>
                <w:rFonts w:ascii="Arial" w:cs="Arial" w:eastAsia="Arial" w:hAnsi="Arial"/>
                <w:sz w:val="18"/>
                <w:szCs w:val="18"/>
                <w:b w:val="1"/>
                <w:bCs w:val="1"/>
                <w:i w:val="1"/>
                <w:iCs w:val="1"/>
                <w:color w:val="auto"/>
              </w:rPr>
              <w:t>August 31, 2009</w:t>
            </w:r>
          </w:p>
        </w:tc>
      </w:tr>
      <w:tr>
        <w:trPr>
          <w:trHeight w:val="110"/>
        </w:trPr>
        <w:tc>
          <w:tcPr>
            <w:tcW w:w="48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309"/>
        </w:trPr>
        <w:tc>
          <w:tcPr>
            <w:tcW w:w="4880" w:type="dxa"/>
            <w:vAlign w:val="bottom"/>
          </w:tcPr>
          <w:p>
            <w:pPr>
              <w:spacing w:after="0"/>
              <w:rPr>
                <w:sz w:val="20"/>
                <w:szCs w:val="20"/>
                <w:color w:val="auto"/>
              </w:rPr>
            </w:pPr>
            <w:r>
              <w:rPr>
                <w:rFonts w:ascii="Arial" w:cs="Arial" w:eastAsia="Arial" w:hAnsi="Arial"/>
                <w:sz w:val="18"/>
                <w:szCs w:val="18"/>
                <w:color w:val="auto"/>
              </w:rPr>
              <w:t>Lines of Credit (weighted average interest rates of 3.9%,</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3.9% and 2.9%, respectively)</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13.4</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Loan Agreement:</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880" w:type="dxa"/>
            <w:vAlign w:val="bottom"/>
          </w:tcPr>
          <w:p>
            <w:pPr>
              <w:ind w:left="160"/>
              <w:spacing w:after="0"/>
              <w:rPr>
                <w:sz w:val="20"/>
                <w:szCs w:val="20"/>
                <w:color w:val="auto"/>
              </w:rPr>
            </w:pPr>
            <w:r>
              <w:rPr>
                <w:rFonts w:ascii="Arial" w:cs="Arial" w:eastAsia="Arial" w:hAnsi="Arial"/>
                <w:sz w:val="18"/>
                <w:szCs w:val="18"/>
                <w:color w:val="auto"/>
              </w:rPr>
              <w:t>Revolving Loan</w:t>
            </w:r>
          </w:p>
        </w:tc>
        <w:tc>
          <w:tcPr>
            <w:tcW w:w="32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tcPr>
          <w:p>
            <w:pPr>
              <w:ind w:left="160"/>
              <w:spacing w:after="0"/>
              <w:rPr>
                <w:sz w:val="20"/>
                <w:szCs w:val="20"/>
                <w:color w:val="auto"/>
              </w:rPr>
            </w:pPr>
            <w:r>
              <w:rPr>
                <w:rFonts w:ascii="Arial" w:cs="Arial" w:eastAsia="Arial" w:hAnsi="Arial"/>
                <w:sz w:val="18"/>
                <w:szCs w:val="18"/>
                <w:color w:val="auto"/>
                <w:w w:val="91"/>
              </w:rPr>
              <w:t>Term Loan (interest rates of 1.1%, 1.1% and 1.2%, respectively)</w:t>
            </w:r>
          </w:p>
        </w:tc>
        <w:tc>
          <w:tcPr>
            <w:tcW w:w="32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82.3</w:t>
            </w:r>
          </w:p>
        </w:tc>
        <w:tc>
          <w:tcPr>
            <w:tcW w:w="36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82.3</w:t>
            </w:r>
          </w:p>
        </w:tc>
        <w:tc>
          <w:tcPr>
            <w:tcW w:w="2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93.0</w:t>
            </w:r>
          </w:p>
        </w:tc>
        <w:tc>
          <w:tcPr>
            <w:tcW w:w="4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93.0</w:t>
            </w:r>
          </w:p>
        </w:tc>
        <w:tc>
          <w:tcPr>
            <w:tcW w:w="26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125.1</w:t>
            </w:r>
          </w:p>
        </w:tc>
        <w:tc>
          <w:tcPr>
            <w:tcW w:w="38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125.1</w:t>
            </w: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5% Notes due 2013, net of discount</w:t>
            </w:r>
          </w:p>
        </w:tc>
        <w:tc>
          <w:tcPr>
            <w:tcW w:w="32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152.3</w:t>
            </w:r>
          </w:p>
        </w:tc>
        <w:tc>
          <w:tcPr>
            <w:tcW w:w="36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149.2</w:t>
            </w:r>
          </w:p>
        </w:tc>
        <w:tc>
          <w:tcPr>
            <w:tcW w:w="22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152.3</w:t>
            </w:r>
          </w:p>
        </w:tc>
        <w:tc>
          <w:tcPr>
            <w:tcW w:w="48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151.3</w:t>
            </w:r>
          </w:p>
        </w:tc>
        <w:tc>
          <w:tcPr>
            <w:tcW w:w="2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152.1</w:t>
            </w:r>
          </w:p>
        </w:tc>
        <w:tc>
          <w:tcPr>
            <w:tcW w:w="38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Total debt</w:t>
            </w:r>
          </w:p>
        </w:tc>
        <w:tc>
          <w:tcPr>
            <w:tcW w:w="54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b w:val="1"/>
                <w:bCs w:val="1"/>
                <w:color w:val="auto"/>
              </w:rPr>
              <w:t>242.3</w:t>
            </w:r>
          </w:p>
        </w:tc>
        <w:tc>
          <w:tcPr>
            <w:tcW w:w="34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b w:val="1"/>
                <w:bCs w:val="1"/>
                <w:color w:val="auto"/>
              </w:rPr>
              <w:t>239.2</w:t>
            </w:r>
          </w:p>
        </w:tc>
        <w:tc>
          <w:tcPr>
            <w:tcW w:w="42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b w:val="1"/>
                <w:bCs w:val="1"/>
                <w:color w:val="auto"/>
              </w:rPr>
              <w:t>252.8</w:t>
            </w:r>
          </w:p>
        </w:tc>
        <w:tc>
          <w:tcPr>
            <w:tcW w:w="34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b w:val="1"/>
                <w:bCs w:val="1"/>
                <w:color w:val="auto"/>
              </w:rPr>
              <w:t>251.8</w:t>
            </w:r>
          </w:p>
        </w:tc>
        <w:tc>
          <w:tcPr>
            <w:tcW w:w="36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b w:val="1"/>
                <w:bCs w:val="1"/>
                <w:color w:val="auto"/>
              </w:rPr>
              <w:t>290.6</w:t>
            </w:r>
          </w:p>
        </w:tc>
        <w:tc>
          <w:tcPr>
            <w:tcW w:w="34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b w:val="1"/>
                <w:bCs w:val="1"/>
                <w:color w:val="auto"/>
              </w:rPr>
              <w:t>268.6</w:t>
            </w:r>
          </w:p>
        </w:tc>
      </w:tr>
      <w:tr>
        <w:trPr>
          <w:trHeight w:val="358"/>
        </w:trPr>
        <w:tc>
          <w:tcPr>
            <w:tcW w:w="4780" w:type="dxa"/>
            <w:vAlign w:val="bottom"/>
          </w:tcPr>
          <w:p>
            <w:pPr>
              <w:spacing w:after="0"/>
              <w:rPr>
                <w:sz w:val="20"/>
                <w:szCs w:val="20"/>
                <w:color w:val="auto"/>
              </w:rPr>
            </w:pPr>
            <w:r>
              <w:rPr>
                <w:rFonts w:ascii="Arial" w:cs="Arial" w:eastAsia="Arial" w:hAnsi="Arial"/>
                <w:sz w:val="18"/>
                <w:szCs w:val="18"/>
                <w:color w:val="auto"/>
                <w:w w:val="94"/>
              </w:rPr>
              <w:t>Less lines of credit, short-term debt and current portion of long-</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2"/>
        </w:trPr>
        <w:tc>
          <w:tcPr>
            <w:tcW w:w="4780" w:type="dxa"/>
            <w:vAlign w:val="bottom"/>
          </w:tcPr>
          <w:p>
            <w:pPr>
              <w:ind w:left="160"/>
              <w:spacing w:after="0"/>
              <w:rPr>
                <w:sz w:val="20"/>
                <w:szCs w:val="20"/>
                <w:color w:val="auto"/>
              </w:rPr>
            </w:pPr>
            <w:r>
              <w:rPr>
                <w:rFonts w:ascii="Arial" w:cs="Arial" w:eastAsia="Arial" w:hAnsi="Arial"/>
                <w:sz w:val="18"/>
                <w:szCs w:val="18"/>
                <w:color w:val="auto"/>
              </w:rPr>
              <w:t>term debt</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w:t>
            </w:r>
          </w:p>
        </w:tc>
        <w:tc>
          <w:tcPr>
            <w:tcW w:w="42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(50.3)</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(56.2)</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110"/>
        </w:trPr>
        <w:tc>
          <w:tcPr>
            <w:tcW w:w="47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316"/>
        </w:trPr>
        <w:tc>
          <w:tcPr>
            <w:tcW w:w="4780" w:type="dxa"/>
            <w:vAlign w:val="bottom"/>
          </w:tcPr>
          <w:p>
            <w:pPr>
              <w:spacing w:after="0"/>
              <w:rPr>
                <w:sz w:val="20"/>
                <w:szCs w:val="20"/>
                <w:color w:val="auto"/>
              </w:rPr>
            </w:pPr>
            <w:r>
              <w:rPr>
                <w:rFonts w:ascii="Arial" w:cs="Arial" w:eastAsia="Arial" w:hAnsi="Arial"/>
                <w:sz w:val="18"/>
                <w:szCs w:val="18"/>
                <w:b w:val="1"/>
                <w:bCs w:val="1"/>
                <w:color w:val="auto"/>
              </w:rPr>
              <w:t>Total long-term debt</w:t>
            </w:r>
          </w:p>
        </w:tc>
        <w:tc>
          <w:tcPr>
            <w:tcW w:w="54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52"/>
              <w:spacing w:after="0"/>
              <w:rPr>
                <w:sz w:val="20"/>
                <w:szCs w:val="20"/>
                <w:color w:val="auto"/>
              </w:rPr>
            </w:pPr>
            <w:r>
              <w:rPr>
                <w:rFonts w:ascii="Arial" w:cs="Arial" w:eastAsia="Arial" w:hAnsi="Arial"/>
                <w:sz w:val="18"/>
                <w:szCs w:val="18"/>
                <w:b w:val="1"/>
                <w:bCs w:val="1"/>
                <w:color w:val="auto"/>
              </w:rPr>
              <w:t>191.8</w:t>
            </w:r>
          </w:p>
        </w:tc>
        <w:tc>
          <w:tcPr>
            <w:tcW w:w="3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52"/>
              <w:spacing w:after="0"/>
              <w:rPr>
                <w:sz w:val="20"/>
                <w:szCs w:val="20"/>
                <w:color w:val="auto"/>
              </w:rPr>
            </w:pPr>
            <w:r>
              <w:rPr>
                <w:rFonts w:ascii="Arial" w:cs="Arial" w:eastAsia="Arial" w:hAnsi="Arial"/>
                <w:sz w:val="18"/>
                <w:szCs w:val="18"/>
                <w:b w:val="1"/>
                <w:bCs w:val="1"/>
                <w:color w:val="auto"/>
              </w:rPr>
              <w:t>188.7</w:t>
            </w:r>
          </w:p>
        </w:tc>
        <w:tc>
          <w:tcPr>
            <w:tcW w:w="42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b w:val="1"/>
                <w:bCs w:val="1"/>
                <w:color w:val="auto"/>
              </w:rPr>
              <w:t>202.5</w:t>
            </w:r>
          </w:p>
        </w:tc>
        <w:tc>
          <w:tcPr>
            <w:tcW w:w="34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52"/>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b w:val="1"/>
                <w:bCs w:val="1"/>
                <w:color w:val="auto"/>
              </w:rPr>
              <w:t>234.4</w:t>
            </w:r>
          </w:p>
        </w:tc>
        <w:tc>
          <w:tcPr>
            <w:tcW w:w="34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b w:val="1"/>
                <w:bCs w:val="1"/>
                <w:color w:val="auto"/>
              </w:rPr>
              <w:t>212.4</w:t>
            </w:r>
          </w:p>
        </w:tc>
      </w:tr>
      <w:tr>
        <w:trPr>
          <w:trHeight w:val="110"/>
        </w:trPr>
        <w:tc>
          <w:tcPr>
            <w:tcW w:w="47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Short-term debt’s carrying value approximates fair value. Fair value of the Loan Agreement approximates its carrying value due to its variable interest rate and stable credit rating. Fair values of the Notes were estimated based on market quotes, where available, or dealer quotes.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maturities of the Company’s debt obligations as of August 31, 2010, for the remainder of fiscal 2011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4579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79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Nine-month period ending May 31:</w:t>
            </w:r>
          </w:p>
        </w:tc>
        <w:tc>
          <w:tcPr>
            <w:tcW w:w="2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2011</w:t>
            </w:r>
          </w:p>
        </w:tc>
        <w:tc>
          <w:tcPr>
            <w:tcW w:w="21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39.8</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Fiscal years ending May 31:</w:t>
            </w:r>
          </w:p>
        </w:tc>
        <w:tc>
          <w:tcPr>
            <w:tcW w:w="2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2012</w:t>
            </w:r>
          </w:p>
        </w:tc>
        <w:tc>
          <w:tcPr>
            <w:tcW w:w="21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42.8</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2013</w:t>
            </w:r>
          </w:p>
        </w:tc>
        <w:tc>
          <w:tcPr>
            <w:tcW w:w="21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159.7</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2014</w:t>
            </w:r>
          </w:p>
        </w:tc>
        <w:tc>
          <w:tcPr>
            <w:tcW w:w="21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2015</w:t>
            </w:r>
          </w:p>
        </w:tc>
        <w:tc>
          <w:tcPr>
            <w:tcW w:w="21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Thereafter</w:t>
            </w:r>
          </w:p>
        </w:tc>
        <w:tc>
          <w:tcPr>
            <w:tcW w:w="212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110"/>
        </w:trPr>
        <w:tc>
          <w:tcPr>
            <w:tcW w:w="428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464"/>
        </w:trPr>
        <w:tc>
          <w:tcPr>
            <w:tcW w:w="428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212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b w:val="1"/>
                <w:bCs w:val="1"/>
                <w:color w:val="auto"/>
              </w:rPr>
              <w:t>242.3</w:t>
            </w:r>
          </w:p>
        </w:tc>
      </w:tr>
      <w:tr>
        <w:trPr>
          <w:trHeight w:val="110"/>
        </w:trPr>
        <w:tc>
          <w:tcPr>
            <w:tcW w:w="428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August 31, 2010, the Company’s domestic credit lines available under unsecured money market bid rate credit lines totaled $20.0. There were no outstanding borrowings under these credit lines at August 31, 2010, May 31, 2010 and August 31, 2009. All loans made under these credit lines are at the sole discretion of the lender and at an interest rate and term agreed to at the time each loan is made, but not to exceed 180 days. These credit lines may be renewed, if requested by the Company, at the option of the lender.</w:t>
      </w:r>
    </w:p>
    <w:p>
      <w:pPr>
        <w:spacing w:after="0" w:line="19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of August 31, 2010, the Company had various local currency credit lines, with maximum available borrowings in amounts equivalent to $28.3,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international facilities equivalent to $7.7 at August 31, 2010, at a weighted average interest rate of 3.9%; $7.5 at May 31, 2010 at a weighted average interest rate of 3.9%; and $13.4 at August 31, 2009 at a weighted average interest rate of 2.9%.</w:t>
      </w:r>
    </w:p>
    <w:p>
      <w:pPr>
        <w:sectPr>
          <w:pgSz w:w="11900" w:h="16838" w:orient="portrait"/>
          <w:cols w:equalWidth="0" w:num="1">
            <w:col w:w="11440"/>
          </w:cols>
          <w:pgMar w:left="240" w:top="382" w:right="219" w:bottom="1440" w:gutter="0" w:footer="0" w:header="0"/>
        </w:sectPr>
      </w:pP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June 1, 2007, Scholastic Corporation and Scholastic Inc. (each, a “Borrower” and together, the “Borrowers”) entered into a $525.0 credit facility with certain banks (the “Loan Agreement”), consisting of a $325.0 revolving credit component (the “Revolving Loan”) and a $200.0 amortizing term loan component (the “Term Loan”). The Loan Agreement is a contractually committed unsecured credit facility that is scheduled to expire on June 1, 2012. The $325.0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The Term Loan, which may be prepaid at any time without penalty, requires quarterly principal payments of $10.7, with the first payment on December 31, 2007, and a final payment of $7.4 due on June 1, 2012.</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On August 16, 2010, the Borrowers entered into an amendment to the Loan Agreement, which added certain provisions related to covenants and interest.</w:t>
      </w:r>
    </w:p>
    <w:p>
      <w:pPr>
        <w:spacing w:after="0" w:line="24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as amended, is based on (1) a rate equal to the higher of (i) the prime rate, (ii) the prevailing Federal Funds rate plus 0.500% or (iii) the Eurodollar Rate for a one month interest period plus 1%; or (2) an adjusted LIBOR rate plus an applicable margin, ranging from 0.500% to 1.250% based upon the Company’s prevailing consolidated debt to total capital ratio. As of August 31, 2010, there were no borrowings outstanding under the Revolving Loan.</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August 31, 2010, the applicable margin on the Term Loan was 0.750% and the applicable margin on the Revolving Loan was 0.600%. The Loan Agreement also provides for the payment of a facility fee ranging from 0.125% to 0.250% per annum on the Revolving Loan only, which at August 31, 2010, was 0.150%. As of August 31, 2010, $82.3 was outstanding under the Term Loan at an interest rate of 1.1%.</w:t>
      </w:r>
    </w:p>
    <w:p>
      <w:pPr>
        <w:spacing w:after="0" w:line="19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As of August 31, 2010, standby letters of credit outstanding under the Loan Agreement totaled $7.2. The Loan Agreement contains certain covenants, including interest coverage and leverage ratio tests and certain limitations on the amount of dividends and other distributions, and at August 31, 2010, the Company was in compliance with these covenants.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w:t>
      </w:r>
    </w:p>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repurchased $5.0 of the 5% Notes on the open market in fiscal 2010. The Company did not make any additional purchases during the three-month period ended August 31,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Loss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comprehensive loss for the periods indicated:</w:t>
      </w:r>
    </w:p>
    <w:p>
      <w:pPr>
        <w:spacing w:after="0" w:line="239" w:lineRule="exact"/>
        <w:rPr>
          <w:sz w:val="20"/>
          <w:szCs w:val="20"/>
          <w:color w:val="auto"/>
        </w:rPr>
      </w:pPr>
    </w:p>
    <w:p>
      <w:pPr>
        <w:ind w:left="8680"/>
        <w:spacing w:after="0"/>
        <w:rPr>
          <w:sz w:val="20"/>
          <w:szCs w:val="20"/>
          <w:color w:val="auto"/>
        </w:rPr>
      </w:pPr>
      <w:r>
        <w:rPr>
          <w:rFonts w:ascii="Arial" w:cs="Arial" w:eastAsia="Arial" w:hAnsi="Arial"/>
          <w:sz w:val="18"/>
          <w:szCs w:val="18"/>
          <w:b w:val="1"/>
          <w:bCs w:val="1"/>
          <w:i w:val="1"/>
          <w:i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b w:val="1"/>
                <w:bCs w:val="1"/>
                <w:color w:val="auto"/>
                <w:w w:val="89"/>
              </w:rPr>
              <w:t>2010</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2009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4320" w:type="dxa"/>
            <w:vAlign w:val="bottom"/>
            <w:tcBorders>
              <w:bottom w:val="single" w:sz="8" w:color="808080"/>
            </w:tcBorders>
          </w:tcPr>
          <w:p>
            <w:pPr>
              <w:spacing w:after="0"/>
              <w:rPr>
                <w:sz w:val="9"/>
                <w:szCs w:val="9"/>
                <w:color w:val="auto"/>
              </w:rPr>
            </w:pPr>
          </w:p>
        </w:tc>
        <w:tc>
          <w:tcPr>
            <w:tcW w:w="4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320" w:type="dxa"/>
            <w:vAlign w:val="bottom"/>
          </w:tcPr>
          <w:p>
            <w:pPr>
              <w:spacing w:after="0"/>
              <w:rPr>
                <w:sz w:val="20"/>
                <w:szCs w:val="20"/>
                <w:color w:val="auto"/>
              </w:rPr>
            </w:pPr>
            <w:r>
              <w:rPr>
                <w:rFonts w:ascii="Arial" w:cs="Arial" w:eastAsia="Arial" w:hAnsi="Arial"/>
                <w:sz w:val="18"/>
                <w:szCs w:val="18"/>
                <w:color w:val="auto"/>
              </w:rPr>
              <w:t>Net loss</w:t>
            </w:r>
          </w:p>
        </w:tc>
        <w:tc>
          <w:tcPr>
            <w:tcW w:w="4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480"/>
              <w:spacing w:after="0"/>
              <w:rPr>
                <w:sz w:val="20"/>
                <w:szCs w:val="20"/>
                <w:color w:val="auto"/>
              </w:rPr>
            </w:pPr>
            <w:r>
              <w:rPr>
                <w:rFonts w:ascii="Arial" w:cs="Arial" w:eastAsia="Arial" w:hAnsi="Arial"/>
                <w:sz w:val="18"/>
                <w:szCs w:val="18"/>
                <w:color w:val="auto"/>
              </w:rPr>
              <w:t>(35.2)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24"/>
                <w:szCs w:val="24"/>
                <w:color w:val="auto"/>
              </w:rPr>
            </w:pPr>
          </w:p>
        </w:tc>
      </w:tr>
      <w:tr>
        <w:trPr>
          <w:trHeight w:val="358"/>
        </w:trPr>
        <w:tc>
          <w:tcPr>
            <w:tcW w:w="4320" w:type="dxa"/>
            <w:vAlign w:val="bottom"/>
          </w:tcPr>
          <w:p>
            <w:pPr>
              <w:spacing w:after="0"/>
              <w:rPr>
                <w:sz w:val="20"/>
                <w:szCs w:val="20"/>
                <w:color w:val="auto"/>
              </w:rPr>
            </w:pPr>
            <w:r>
              <w:rPr>
                <w:rFonts w:ascii="Arial" w:cs="Arial" w:eastAsia="Arial" w:hAnsi="Arial"/>
                <w:sz w:val="18"/>
                <w:szCs w:val="18"/>
                <w:color w:val="auto"/>
              </w:rPr>
              <w:t>Other comprehensive income, net:</w:t>
            </w: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320" w:type="dxa"/>
            <w:vAlign w:val="bottom"/>
          </w:tcPr>
          <w:p>
            <w:pPr>
              <w:ind w:left="160"/>
              <w:spacing w:after="0"/>
              <w:rPr>
                <w:sz w:val="20"/>
                <w:szCs w:val="20"/>
                <w:color w:val="auto"/>
              </w:rPr>
            </w:pPr>
            <w:r>
              <w:rPr>
                <w:rFonts w:ascii="Arial" w:cs="Arial" w:eastAsia="Arial" w:hAnsi="Arial"/>
                <w:sz w:val="18"/>
                <w:szCs w:val="18"/>
                <w:color w:val="auto"/>
              </w:rPr>
              <w:t>Pension and post-retirement adjustments</w:t>
            </w: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43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320" w:type="dxa"/>
            <w:vAlign w:val="bottom"/>
          </w:tcPr>
          <w:p>
            <w:pPr>
              <w:spacing w:after="0"/>
              <w:rPr>
                <w:sz w:val="20"/>
                <w:szCs w:val="20"/>
                <w:color w:val="auto"/>
              </w:rPr>
            </w:pPr>
            <w:r>
              <w:rPr>
                <w:rFonts w:ascii="Arial" w:cs="Arial" w:eastAsia="Arial" w:hAnsi="Arial"/>
                <w:sz w:val="18"/>
                <w:szCs w:val="18"/>
                <w:color w:val="auto"/>
              </w:rPr>
              <w:t>Total other comprehensive income, net:</w:t>
            </w: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9"/>
        </w:trPr>
        <w:tc>
          <w:tcPr>
            <w:tcW w:w="4320" w:type="dxa"/>
            <w:vAlign w:val="bottom"/>
            <w:tcBorders>
              <w:bottom w:val="single" w:sz="8" w:color="808080"/>
            </w:tcBorders>
          </w:tcPr>
          <w:p>
            <w:pPr>
              <w:spacing w:after="0"/>
              <w:rPr>
                <w:sz w:val="22"/>
                <w:szCs w:val="22"/>
                <w:color w:val="auto"/>
              </w:rPr>
            </w:pPr>
          </w:p>
        </w:tc>
        <w:tc>
          <w:tcPr>
            <w:tcW w:w="4180" w:type="dxa"/>
            <w:vAlign w:val="bottom"/>
            <w:tcBorders>
              <w:bottom w:val="single" w:sz="8" w:color="808080"/>
            </w:tcBorders>
            <w:gridSpan w:val="2"/>
          </w:tcPr>
          <w:p>
            <w:pPr>
              <w:spacing w:after="0"/>
              <w:rPr>
                <w:sz w:val="22"/>
                <w:szCs w:val="22"/>
                <w:color w:val="auto"/>
              </w:rPr>
            </w:pPr>
          </w:p>
        </w:tc>
        <w:tc>
          <w:tcPr>
            <w:tcW w:w="580" w:type="dxa"/>
            <w:vAlign w:val="bottom"/>
            <w:tcBorders>
              <w:bottom w:val="single" w:sz="8" w:color="808080"/>
            </w:tcBorders>
          </w:tcPr>
          <w:p>
            <w:pPr>
              <w:spacing w:after="0"/>
              <w:rPr>
                <w:sz w:val="22"/>
                <w:szCs w:val="22"/>
                <w:color w:val="auto"/>
              </w:rPr>
            </w:pPr>
          </w:p>
        </w:tc>
        <w:tc>
          <w:tcPr>
            <w:tcW w:w="152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720" w:type="dxa"/>
            <w:vAlign w:val="bottom"/>
            <w:tcBorders>
              <w:bottom w:val="single" w:sz="8" w:color="808080"/>
            </w:tcBorders>
            <w:gridSpan w:val="2"/>
          </w:tcPr>
          <w:p>
            <w:pPr>
              <w:spacing w:after="0"/>
              <w:rPr>
                <w:sz w:val="22"/>
                <w:szCs w:val="22"/>
                <w:color w:val="auto"/>
              </w:rPr>
            </w:pPr>
          </w:p>
        </w:tc>
        <w:tc>
          <w:tcPr>
            <w:tcW w:w="20" w:type="dxa"/>
            <w:vAlign w:val="bottom"/>
          </w:tcPr>
          <w:p>
            <w:pPr>
              <w:spacing w:after="0"/>
              <w:rPr>
                <w:sz w:val="22"/>
                <w:szCs w:val="22"/>
                <w:color w:val="auto"/>
              </w:rPr>
            </w:pPr>
          </w:p>
        </w:tc>
      </w:tr>
      <w:tr>
        <w:trPr>
          <w:trHeight w:val="316"/>
        </w:trPr>
        <w:tc>
          <w:tcPr>
            <w:tcW w:w="4320" w:type="dxa"/>
            <w:vAlign w:val="bottom"/>
          </w:tcPr>
          <w:p>
            <w:pPr>
              <w:ind w:left="160"/>
              <w:spacing w:after="0"/>
              <w:rPr>
                <w:sz w:val="20"/>
                <w:szCs w:val="20"/>
                <w:color w:val="auto"/>
              </w:rPr>
            </w:pPr>
            <w:r>
              <w:rPr>
                <w:rFonts w:ascii="Arial" w:cs="Arial" w:eastAsia="Arial" w:hAnsi="Arial"/>
                <w:sz w:val="18"/>
                <w:szCs w:val="18"/>
                <w:b w:val="1"/>
                <w:bCs w:val="1"/>
                <w:color w:val="auto"/>
              </w:rPr>
              <w:t>Total comprehensive loss</w:t>
            </w:r>
          </w:p>
        </w:tc>
        <w:tc>
          <w:tcPr>
            <w:tcW w:w="4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2100" w:type="dxa"/>
            <w:vAlign w:val="bottom"/>
            <w:gridSpan w:val="2"/>
          </w:tcPr>
          <w:p>
            <w:pPr>
              <w:jc w:val="right"/>
              <w:ind w:right="1480"/>
              <w:spacing w:after="0"/>
              <w:rPr>
                <w:sz w:val="20"/>
                <w:szCs w:val="20"/>
                <w:color w:val="auto"/>
              </w:rPr>
            </w:pPr>
            <w:r>
              <w:rPr>
                <w:rFonts w:ascii="Arial" w:cs="Arial" w:eastAsia="Arial" w:hAnsi="Arial"/>
                <w:sz w:val="18"/>
                <w:szCs w:val="18"/>
                <w:b w:val="1"/>
                <w:bCs w:val="1"/>
                <w:color w:val="auto"/>
              </w:rPr>
              <w:t>(31.4)</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(19.2)</w:t>
            </w:r>
          </w:p>
        </w:tc>
        <w:tc>
          <w:tcPr>
            <w:tcW w:w="20" w:type="dxa"/>
            <w:vAlign w:val="bottom"/>
          </w:tcPr>
          <w:p>
            <w:pPr>
              <w:spacing w:after="0"/>
              <w:rPr>
                <w:sz w:val="24"/>
                <w:szCs w:val="24"/>
                <w:color w:val="auto"/>
              </w:rPr>
            </w:pPr>
          </w:p>
        </w:tc>
      </w:tr>
      <w:tr>
        <w:trPr>
          <w:trHeight w:val="134"/>
        </w:trPr>
        <w:tc>
          <w:tcPr>
            <w:tcW w:w="4320" w:type="dxa"/>
            <w:vAlign w:val="bottom"/>
            <w:tcBorders>
              <w:bottom w:val="single" w:sz="8" w:color="808080"/>
            </w:tcBorders>
          </w:tcPr>
          <w:p>
            <w:pPr>
              <w:spacing w:after="0"/>
              <w:rPr>
                <w:sz w:val="11"/>
                <w:szCs w:val="11"/>
                <w:color w:val="auto"/>
              </w:rPr>
            </w:pPr>
          </w:p>
        </w:tc>
        <w:tc>
          <w:tcPr>
            <w:tcW w:w="40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r>
        <w:trPr>
          <w:trHeight w:val="535"/>
        </w:trPr>
        <w:tc>
          <w:tcPr>
            <w:tcW w:w="4320" w:type="dxa"/>
            <w:vAlign w:val="bottom"/>
          </w:tcPr>
          <w:p>
            <w:pPr>
              <w:spacing w:after="0"/>
              <w:rPr>
                <w:sz w:val="24"/>
                <w:szCs w:val="24"/>
                <w:color w:val="auto"/>
              </w:rPr>
            </w:pPr>
          </w:p>
        </w:tc>
        <w:tc>
          <w:tcPr>
            <w:tcW w:w="4040" w:type="dxa"/>
            <w:vAlign w:val="bottom"/>
          </w:tcPr>
          <w:p>
            <w:pPr>
              <w:jc w:val="right"/>
              <w:ind w:right="2472"/>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3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320" w:type="dxa"/>
            <w:vAlign w:val="bottom"/>
            <w:shd w:val="clear" w:color="auto" w:fill="808080"/>
          </w:tcPr>
          <w:p>
            <w:pPr>
              <w:spacing w:after="0"/>
              <w:rPr>
                <w:sz w:val="5"/>
                <w:szCs w:val="5"/>
                <w:color w:val="auto"/>
              </w:rPr>
            </w:pPr>
          </w:p>
        </w:tc>
        <w:tc>
          <w:tcPr>
            <w:tcW w:w="40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-543560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-543560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-543560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-543560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-543560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-543560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-543560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-543560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-543560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Earnings Per Share</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Basic (loss) earnings per share is computed by dividing net (loss) earnings by the weighted average Shares of Class A Stock and Common Stock outstanding during the period. Diluted (loss) earnings per share is calculated to give effect to potentially dilutive options to purchase Class A and Common Stock and restricted stock units granted pursuant to the Company’s stock-based compensation plans that were outstanding during the period. In a period in which the Company reports a discontinued operation, (loss) earnings from continuing operations is used as the “control number” in determining whether potentially dilutive common shares are dilutive or anti-dilutive. The Company calculates per share figures prior to rounding in millions. The following table summarizes the reconciliation of the numerators and denominators for the basic and diluted (loss) earnings per share computation for the periods indicated:</w:t>
      </w:r>
    </w:p>
    <w:p>
      <w:pPr>
        <w:spacing w:after="0" w:line="188" w:lineRule="exact"/>
        <w:rPr>
          <w:sz w:val="20"/>
          <w:szCs w:val="20"/>
          <w:color w:val="auto"/>
        </w:rPr>
      </w:pPr>
    </w:p>
    <w:p>
      <w:pPr>
        <w:ind w:left="8840"/>
        <w:spacing w:after="0"/>
        <w:rPr>
          <w:sz w:val="20"/>
          <w:szCs w:val="20"/>
          <w:color w:val="auto"/>
        </w:rPr>
      </w:pPr>
      <w:r>
        <w:rPr>
          <w:rFonts w:ascii="Arial" w:cs="Arial" w:eastAsia="Arial" w:hAnsi="Arial"/>
          <w:sz w:val="16"/>
          <w:szCs w:val="16"/>
          <w:b w:val="1"/>
          <w:bCs w:val="1"/>
          <w:i w:val="1"/>
          <w:i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632"/>
              <w:spacing w:after="0"/>
              <w:rPr>
                <w:sz w:val="20"/>
                <w:szCs w:val="20"/>
                <w:color w:val="auto"/>
              </w:rPr>
            </w:pPr>
            <w:r>
              <w:rPr>
                <w:rFonts w:ascii="Arial" w:cs="Arial" w:eastAsia="Arial" w:hAnsi="Arial"/>
                <w:sz w:val="18"/>
                <w:szCs w:val="18"/>
                <w:b w:val="1"/>
                <w:bCs w:val="1"/>
                <w:color w:val="auto"/>
              </w:rPr>
              <w:t>2010</w:t>
            </w:r>
          </w:p>
        </w:tc>
        <w:tc>
          <w:tcPr>
            <w:tcW w:w="540" w:type="dxa"/>
            <w:vAlign w:val="bottom"/>
          </w:tcPr>
          <w:p>
            <w:pPr>
              <w:spacing w:after="0"/>
              <w:rPr>
                <w:sz w:val="19"/>
                <w:szCs w:val="19"/>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r>
      <w:tr>
        <w:trPr>
          <w:trHeight w:val="110"/>
        </w:trPr>
        <w:tc>
          <w:tcPr>
            <w:tcW w:w="84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458"/>
        </w:trPr>
        <w:tc>
          <w:tcPr>
            <w:tcW w:w="846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(34.2)</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(Loss) earnings from discontinued operations, net of tax</w:t>
            </w:r>
          </w:p>
        </w:tc>
        <w:tc>
          <w:tcPr>
            <w:tcW w:w="420" w:type="dxa"/>
            <w:vAlign w:val="bottom"/>
          </w:tcPr>
          <w:p>
            <w:pPr>
              <w:spacing w:after="0"/>
              <w:rPr>
                <w:sz w:val="18"/>
                <w:szCs w:val="18"/>
                <w:color w:val="auto"/>
              </w:rPr>
            </w:pP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tcPr>
          <w:p>
            <w:pPr>
              <w:spacing w:after="0"/>
              <w:rPr>
                <w:sz w:val="18"/>
                <w:szCs w:val="18"/>
                <w:color w:val="auto"/>
              </w:rPr>
            </w:pP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(35.2)</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Weighted average Shares of Class A Stock and Common Stock</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8460" w:type="dxa"/>
            <w:vAlign w:val="bottom"/>
          </w:tcPr>
          <w:p>
            <w:pPr>
              <w:spacing w:after="0"/>
              <w:rPr>
                <w:sz w:val="20"/>
                <w:szCs w:val="20"/>
                <w:color w:val="auto"/>
              </w:rPr>
            </w:pPr>
            <w:r>
              <w:rPr>
                <w:rFonts w:ascii="Arial" w:cs="Arial" w:eastAsia="Arial" w:hAnsi="Arial"/>
                <w:sz w:val="18"/>
                <w:szCs w:val="18"/>
                <w:color w:val="auto"/>
              </w:rPr>
              <w:t>outstanding for basic (loss) earnings per share (in millions)</w:t>
            </w:r>
          </w:p>
        </w:tc>
        <w:tc>
          <w:tcPr>
            <w:tcW w:w="420" w:type="dxa"/>
            <w:vAlign w:val="bottom"/>
          </w:tcPr>
          <w:p>
            <w:pPr>
              <w:spacing w:after="0"/>
              <w:rPr>
                <w:sz w:val="19"/>
                <w:szCs w:val="19"/>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36.1</w:t>
            </w:r>
          </w:p>
        </w:tc>
        <w:tc>
          <w:tcPr>
            <w:tcW w:w="5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36.4</w:t>
            </w:r>
          </w:p>
        </w:tc>
      </w:tr>
      <w:tr>
        <w:trPr>
          <w:trHeight w:val="358"/>
        </w:trPr>
        <w:tc>
          <w:tcPr>
            <w:tcW w:w="8460" w:type="dxa"/>
            <w:vAlign w:val="bottom"/>
          </w:tcPr>
          <w:p>
            <w:pPr>
              <w:spacing w:after="0"/>
              <w:rPr>
                <w:sz w:val="20"/>
                <w:szCs w:val="20"/>
                <w:color w:val="auto"/>
              </w:rPr>
            </w:pPr>
            <w:r>
              <w:rPr>
                <w:rFonts w:ascii="Arial" w:cs="Arial" w:eastAsia="Arial" w:hAnsi="Arial"/>
                <w:sz w:val="18"/>
                <w:szCs w:val="18"/>
                <w:color w:val="auto"/>
                <w:w w:val="91"/>
              </w:rPr>
              <w:t>Dilutive effect of Class A Stock and Common Stock potentially issuable pursuant to stock-based compensation plans</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2"/>
        </w:trPr>
        <w:tc>
          <w:tcPr>
            <w:tcW w:w="8460" w:type="dxa"/>
            <w:vAlign w:val="bottom"/>
          </w:tcPr>
          <w:p>
            <w:pPr>
              <w:ind w:left="160"/>
              <w:spacing w:after="0"/>
              <w:rPr>
                <w:sz w:val="20"/>
                <w:szCs w:val="20"/>
                <w:color w:val="auto"/>
              </w:rPr>
            </w:pPr>
            <w:r>
              <w:rPr>
                <w:rFonts w:ascii="Arial" w:cs="Arial" w:eastAsia="Arial" w:hAnsi="Arial"/>
                <w:sz w:val="18"/>
                <w:szCs w:val="18"/>
                <w:color w:val="auto"/>
              </w:rPr>
              <w:t>(in millions)</w:t>
            </w:r>
          </w:p>
        </w:tc>
        <w:tc>
          <w:tcPr>
            <w:tcW w:w="420" w:type="dxa"/>
            <w:vAlign w:val="bottom"/>
          </w:tcPr>
          <w:p>
            <w:pPr>
              <w:spacing w:after="0"/>
              <w:rPr>
                <w:sz w:val="19"/>
                <w:szCs w:val="19"/>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358"/>
        </w:trPr>
        <w:tc>
          <w:tcPr>
            <w:tcW w:w="8460" w:type="dxa"/>
            <w:vAlign w:val="bottom"/>
          </w:tcPr>
          <w:p>
            <w:pPr>
              <w:spacing w:after="0"/>
              <w:rPr>
                <w:sz w:val="20"/>
                <w:szCs w:val="20"/>
                <w:color w:val="auto"/>
              </w:rPr>
            </w:pPr>
            <w:r>
              <w:rPr>
                <w:rFonts w:ascii="Arial" w:cs="Arial" w:eastAsia="Arial" w:hAnsi="Arial"/>
                <w:sz w:val="18"/>
                <w:szCs w:val="18"/>
                <w:color w:val="auto"/>
                <w:w w:val="92"/>
              </w:rPr>
              <w:t>Adjusted weighted average Shares of Class A Stock and Common Stock outstanding for diluted (loss) earnings per</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2"/>
        </w:trPr>
        <w:tc>
          <w:tcPr>
            <w:tcW w:w="8460" w:type="dxa"/>
            <w:vAlign w:val="bottom"/>
          </w:tcPr>
          <w:p>
            <w:pPr>
              <w:ind w:left="160"/>
              <w:spacing w:after="0"/>
              <w:rPr>
                <w:sz w:val="20"/>
                <w:szCs w:val="20"/>
                <w:color w:val="auto"/>
              </w:rPr>
            </w:pPr>
            <w:r>
              <w:rPr>
                <w:rFonts w:ascii="Arial" w:cs="Arial" w:eastAsia="Arial" w:hAnsi="Arial"/>
                <w:sz w:val="18"/>
                <w:szCs w:val="18"/>
                <w:color w:val="auto"/>
              </w:rPr>
              <w:t>share (in millions)</w:t>
            </w:r>
          </w:p>
        </w:tc>
        <w:tc>
          <w:tcPr>
            <w:tcW w:w="420" w:type="dxa"/>
            <w:vAlign w:val="bottom"/>
          </w:tcPr>
          <w:p>
            <w:pPr>
              <w:spacing w:after="0"/>
              <w:rPr>
                <w:sz w:val="19"/>
                <w:szCs w:val="19"/>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352"/>
        </w:trPr>
        <w:tc>
          <w:tcPr>
            <w:tcW w:w="8460" w:type="dxa"/>
            <w:vAlign w:val="bottom"/>
          </w:tcPr>
          <w:p>
            <w:pPr>
              <w:spacing w:after="0"/>
              <w:rPr>
                <w:sz w:val="20"/>
                <w:szCs w:val="20"/>
                <w:color w:val="auto"/>
              </w:rPr>
            </w:pPr>
            <w:r>
              <w:rPr>
                <w:rFonts w:ascii="Arial" w:cs="Arial" w:eastAsia="Arial" w:hAnsi="Arial"/>
                <w:sz w:val="18"/>
                <w:szCs w:val="18"/>
                <w:b w:val="1"/>
                <w:bCs w:val="1"/>
                <w:color w:val="auto"/>
              </w:rPr>
              <w:t>(Loss) earnings per share of Class A Stock and Common Stock:</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2"/>
        </w:trPr>
        <w:tc>
          <w:tcPr>
            <w:tcW w:w="8460" w:type="dxa"/>
            <w:vAlign w:val="bottom"/>
          </w:tcPr>
          <w:p>
            <w:pPr>
              <w:ind w:left="160"/>
              <w:spacing w:after="0"/>
              <w:rPr>
                <w:sz w:val="20"/>
                <w:szCs w:val="20"/>
                <w:color w:val="auto"/>
              </w:rPr>
            </w:pPr>
            <w:r>
              <w:rPr>
                <w:rFonts w:ascii="Arial" w:cs="Arial" w:eastAsia="Arial" w:hAnsi="Arial"/>
                <w:sz w:val="18"/>
                <w:szCs w:val="18"/>
                <w:b w:val="1"/>
                <w:bCs w:val="1"/>
                <w:color w:val="auto"/>
              </w:rPr>
              <w:t>Basic (loss) earnings per share:</w:t>
            </w: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Loss from continuing operations</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(0.95)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(Loss) earnings from discontinued operations, net of tax</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(0.03)</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0.05</w:t>
            </w:r>
          </w:p>
        </w:tc>
      </w:tr>
      <w:tr>
        <w:trPr>
          <w:trHeight w:val="222"/>
        </w:trPr>
        <w:tc>
          <w:tcPr>
            <w:tcW w:w="8460" w:type="dxa"/>
            <w:vAlign w:val="bottom"/>
          </w:tcPr>
          <w:p>
            <w:pPr>
              <w:ind w:left="320"/>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(0.98)</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358"/>
        </w:trPr>
        <w:tc>
          <w:tcPr>
            <w:tcW w:w="8460" w:type="dxa"/>
            <w:vAlign w:val="bottom"/>
          </w:tcPr>
          <w:p>
            <w:pPr>
              <w:spacing w:after="0"/>
              <w:rPr>
                <w:sz w:val="20"/>
                <w:szCs w:val="20"/>
                <w:color w:val="auto"/>
              </w:rPr>
            </w:pPr>
            <w:r>
              <w:rPr>
                <w:rFonts w:ascii="Arial" w:cs="Arial" w:eastAsia="Arial" w:hAnsi="Arial"/>
                <w:sz w:val="18"/>
                <w:szCs w:val="18"/>
                <w:b w:val="1"/>
                <w:bCs w:val="1"/>
                <w:color w:val="auto"/>
              </w:rPr>
              <w:t>Diluted (loss) earnings per share:</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Loss from continuing operations</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(0.95)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(Loss) earnings from discontinued operations, net of tax</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(0.03)</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0.05</w:t>
            </w:r>
          </w:p>
        </w:tc>
      </w:tr>
      <w:tr>
        <w:trPr>
          <w:trHeight w:val="222"/>
        </w:trPr>
        <w:tc>
          <w:tcPr>
            <w:tcW w:w="8460" w:type="dxa"/>
            <w:vAlign w:val="bottom"/>
          </w:tcPr>
          <w:p>
            <w:pPr>
              <w:ind w:left="320"/>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(0.98)</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110"/>
        </w:trPr>
        <w:tc>
          <w:tcPr>
            <w:tcW w:w="84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380" w:firstLine="8"/>
        <w:spacing w:after="0" w:line="268" w:lineRule="auto"/>
        <w:tabs>
          <w:tab w:leader="none" w:pos="13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three months ended August 31, 2010 and 2009, the Company experienced a loss from continuing operations and therefore did not reflect any dilutive share impact.</w:t>
      </w:r>
    </w:p>
    <w:p>
      <w:pPr>
        <w:spacing w:after="0" w:line="18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Potentially dilutive shares do not impact (loss) earnings per share, as they are anti-dilutive due to losses in the three months ended August 31, 2010 and 2009, respectively. The number of potentially dilutive options with market prices exceeding exercise prices to purchase Class A Stock and Common Stock and restricted stock units which would have been excluded from the computation of diluted earnings per share, because they were anti-dilutive, was approximately 0.4 million and 0.1 million for the three months ended August 31, 2010 and 2009, respectively. Options outstanding pursuant to compensation plans were 6.4 million and 6.4 million as of August 31, 2010 and 2009, respectively.</w:t>
      </w:r>
    </w:p>
    <w:p>
      <w:pPr>
        <w:spacing w:after="0" w:line="19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During the three months ended August 31, 2010, the Company repurchased 388,426 common shares for approximately $9.7 pursuant to a share buy-back program authorized by the Board of Directors. As of August 31, 2010, $0.5 remains available for future purchases.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with indefinite lives are reviewed annually for impairment or more frequently if impairment indicators arise.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Goodwill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3680" w:type="dxa"/>
            <w:vAlign w:val="bottom"/>
            <w:gridSpan w:val="2"/>
          </w:tcPr>
          <w:p>
            <w:pPr>
              <w:jc w:val="right"/>
              <w:ind w:right="192"/>
              <w:spacing w:after="0"/>
              <w:rPr>
                <w:sz w:val="20"/>
                <w:szCs w:val="20"/>
                <w:color w:val="auto"/>
              </w:rPr>
            </w:pPr>
            <w:r>
              <w:rPr>
                <w:rFonts w:ascii="Arial" w:cs="Arial" w:eastAsia="Arial" w:hAnsi="Arial"/>
                <w:sz w:val="18"/>
                <w:szCs w:val="18"/>
                <w:b w:val="1"/>
                <w:bCs w:val="1"/>
                <w:i w:val="1"/>
                <w:iCs w:val="1"/>
                <w:color w:val="auto"/>
              </w:rPr>
              <w:t>Three months ended</w:t>
            </w:r>
          </w:p>
        </w:tc>
        <w:tc>
          <w:tcPr>
            <w:tcW w:w="2080" w:type="dxa"/>
            <w:vAlign w:val="bottom"/>
          </w:tcPr>
          <w:p>
            <w:pPr>
              <w:jc w:val="right"/>
              <w:ind w:right="172"/>
              <w:spacing w:after="0"/>
              <w:rPr>
                <w:sz w:val="20"/>
                <w:szCs w:val="20"/>
                <w:color w:val="auto"/>
              </w:rPr>
            </w:pPr>
            <w:r>
              <w:rPr>
                <w:rFonts w:ascii="Arial" w:cs="Arial" w:eastAsia="Arial" w:hAnsi="Arial"/>
                <w:sz w:val="18"/>
                <w:szCs w:val="18"/>
                <w:b w:val="1"/>
                <w:bCs w:val="1"/>
                <w:i w:val="1"/>
                <w:iCs w:val="1"/>
                <w:color w:val="auto"/>
                <w:w w:val="95"/>
              </w:rPr>
              <w:t>Twelve months ended</w:t>
            </w:r>
          </w:p>
        </w:tc>
        <w:tc>
          <w:tcPr>
            <w:tcW w:w="1960" w:type="dxa"/>
            <w:vAlign w:val="bottom"/>
          </w:tcPr>
          <w:p>
            <w:pPr>
              <w:jc w:val="right"/>
              <w:ind w:right="152"/>
              <w:spacing w:after="0"/>
              <w:rPr>
                <w:sz w:val="20"/>
                <w:szCs w:val="20"/>
                <w:color w:val="auto"/>
              </w:rPr>
            </w:pPr>
            <w:r>
              <w:rPr>
                <w:rFonts w:ascii="Arial" w:cs="Arial" w:eastAsia="Arial" w:hAnsi="Arial"/>
                <w:sz w:val="18"/>
                <w:szCs w:val="18"/>
                <w:b w:val="1"/>
                <w:bCs w:val="1"/>
                <w:i w:val="1"/>
                <w:iCs w:val="1"/>
                <w:color w:val="auto"/>
                <w:w w:val="96"/>
              </w:rPr>
              <w:t>Three months ended</w:t>
            </w:r>
          </w:p>
        </w:tc>
      </w:tr>
      <w:tr>
        <w:trPr>
          <w:trHeight w:val="222"/>
        </w:trPr>
        <w:tc>
          <w:tcPr>
            <w:tcW w:w="3720" w:type="dxa"/>
            <w:vAlign w:val="bottom"/>
          </w:tcPr>
          <w:p>
            <w:pPr>
              <w:spacing w:after="0"/>
              <w:rPr>
                <w:sz w:val="19"/>
                <w:szCs w:val="19"/>
                <w:color w:val="auto"/>
              </w:rPr>
            </w:pPr>
          </w:p>
        </w:tc>
        <w:tc>
          <w:tcPr>
            <w:tcW w:w="3680" w:type="dxa"/>
            <w:vAlign w:val="bottom"/>
            <w:gridSpan w:val="2"/>
          </w:tcPr>
          <w:p>
            <w:pPr>
              <w:jc w:val="right"/>
              <w:ind w:right="352"/>
              <w:spacing w:after="0"/>
              <w:rPr>
                <w:sz w:val="20"/>
                <w:szCs w:val="20"/>
                <w:color w:val="auto"/>
              </w:rPr>
            </w:pPr>
            <w:r>
              <w:rPr>
                <w:rFonts w:ascii="Arial" w:cs="Arial" w:eastAsia="Arial" w:hAnsi="Arial"/>
                <w:sz w:val="18"/>
                <w:szCs w:val="18"/>
                <w:b w:val="1"/>
                <w:bCs w:val="1"/>
                <w:i w:val="1"/>
                <w:iCs w:val="1"/>
                <w:color w:val="auto"/>
              </w:rPr>
              <w:t>August 31, 2010</w:t>
            </w:r>
          </w:p>
        </w:tc>
        <w:tc>
          <w:tcPr>
            <w:tcW w:w="2080" w:type="dxa"/>
            <w:vAlign w:val="bottom"/>
          </w:tcPr>
          <w:p>
            <w:pPr>
              <w:jc w:val="right"/>
              <w:ind w:right="452"/>
              <w:spacing w:after="0"/>
              <w:rPr>
                <w:sz w:val="20"/>
                <w:szCs w:val="20"/>
                <w:color w:val="auto"/>
              </w:rPr>
            </w:pPr>
            <w:r>
              <w:rPr>
                <w:rFonts w:ascii="Arial" w:cs="Arial" w:eastAsia="Arial" w:hAnsi="Arial"/>
                <w:sz w:val="18"/>
                <w:szCs w:val="18"/>
                <w:b w:val="1"/>
                <w:bCs w:val="1"/>
                <w:i w:val="1"/>
                <w:iCs w:val="1"/>
                <w:color w:val="auto"/>
              </w:rPr>
              <w:t>May 31, 2010</w:t>
            </w:r>
          </w:p>
        </w:tc>
        <w:tc>
          <w:tcPr>
            <w:tcW w:w="1960" w:type="dxa"/>
            <w:vAlign w:val="bottom"/>
          </w:tcPr>
          <w:p>
            <w:pPr>
              <w:jc w:val="right"/>
              <w:ind w:right="292"/>
              <w:spacing w:after="0"/>
              <w:rPr>
                <w:sz w:val="20"/>
                <w:szCs w:val="20"/>
                <w:color w:val="auto"/>
              </w:rPr>
            </w:pPr>
            <w:r>
              <w:rPr>
                <w:rFonts w:ascii="Arial" w:cs="Arial" w:eastAsia="Arial" w:hAnsi="Arial"/>
                <w:sz w:val="18"/>
                <w:szCs w:val="18"/>
                <w:b w:val="1"/>
                <w:bCs w:val="1"/>
                <w:i w:val="1"/>
                <w:iCs w:val="1"/>
                <w:color w:val="auto"/>
              </w:rPr>
              <w:t>August 31, 2009</w:t>
            </w:r>
          </w:p>
        </w:tc>
      </w:tr>
      <w:tr>
        <w:trPr>
          <w:trHeight w:val="110"/>
        </w:trPr>
        <w:tc>
          <w:tcPr>
            <w:tcW w:w="372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r>
      <w:tr>
        <w:trPr>
          <w:trHeight w:val="458"/>
        </w:trPr>
        <w:tc>
          <w:tcPr>
            <w:tcW w:w="3720" w:type="dxa"/>
            <w:vAlign w:val="bottom"/>
          </w:tcPr>
          <w:p>
            <w:pPr>
              <w:spacing w:after="0"/>
              <w:rPr>
                <w:sz w:val="20"/>
                <w:szCs w:val="20"/>
                <w:color w:val="auto"/>
              </w:rPr>
            </w:pPr>
            <w:r>
              <w:rPr>
                <w:rFonts w:ascii="Arial" w:cs="Arial" w:eastAsia="Arial" w:hAnsi="Arial"/>
                <w:sz w:val="18"/>
                <w:szCs w:val="18"/>
                <w:color w:val="auto"/>
              </w:rPr>
              <w:t>Gross beginning balance</w:t>
            </w:r>
          </w:p>
        </w:tc>
        <w:tc>
          <w:tcPr>
            <w:tcW w:w="25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652"/>
              <w:spacing w:after="0"/>
              <w:rPr>
                <w:sz w:val="20"/>
                <w:szCs w:val="20"/>
                <w:color w:val="auto"/>
              </w:rPr>
            </w:pPr>
            <w:r>
              <w:rPr>
                <w:rFonts w:ascii="Arial" w:cs="Arial" w:eastAsia="Arial" w:hAnsi="Arial"/>
                <w:sz w:val="18"/>
                <w:szCs w:val="18"/>
                <w:color w:val="auto"/>
                <w:w w:val="93"/>
              </w:rPr>
              <w:t>174.0</w:t>
            </w:r>
          </w:p>
        </w:tc>
        <w:tc>
          <w:tcPr>
            <w:tcW w:w="2080" w:type="dxa"/>
            <w:vAlign w:val="bottom"/>
          </w:tcPr>
          <w:p>
            <w:pPr>
              <w:jc w:val="right"/>
              <w:ind w:right="672"/>
              <w:spacing w:after="0"/>
              <w:rPr>
                <w:sz w:val="20"/>
                <w:szCs w:val="20"/>
                <w:color w:val="auto"/>
              </w:rPr>
            </w:pPr>
            <w:r>
              <w:rPr>
                <w:rFonts w:ascii="Arial" w:cs="Arial" w:eastAsia="Arial" w:hAnsi="Arial"/>
                <w:sz w:val="18"/>
                <w:szCs w:val="18"/>
                <w:color w:val="auto"/>
              </w:rPr>
              <w:t>$ 174.0</w:t>
            </w:r>
          </w:p>
        </w:tc>
        <w:tc>
          <w:tcPr>
            <w:tcW w:w="1960" w:type="dxa"/>
            <w:vAlign w:val="bottom"/>
          </w:tcPr>
          <w:p>
            <w:pPr>
              <w:jc w:val="right"/>
              <w:ind w:right="612"/>
              <w:spacing w:after="0"/>
              <w:rPr>
                <w:sz w:val="20"/>
                <w:szCs w:val="20"/>
                <w:color w:val="auto"/>
              </w:rPr>
            </w:pPr>
            <w:r>
              <w:rPr>
                <w:rFonts w:ascii="Arial" w:cs="Arial" w:eastAsia="Arial" w:hAnsi="Arial"/>
                <w:sz w:val="18"/>
                <w:szCs w:val="18"/>
                <w:color w:val="auto"/>
              </w:rPr>
              <w:t>$ 174.0</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Accumulated impairment</w:t>
            </w:r>
          </w:p>
        </w:tc>
        <w:tc>
          <w:tcPr>
            <w:tcW w:w="2500" w:type="dxa"/>
            <w:vAlign w:val="bottom"/>
          </w:tcPr>
          <w:p>
            <w:pPr>
              <w:spacing w:after="0"/>
              <w:rPr>
                <w:sz w:val="19"/>
                <w:szCs w:val="19"/>
                <w:color w:val="auto"/>
              </w:rPr>
            </w:pPr>
          </w:p>
        </w:tc>
        <w:tc>
          <w:tcPr>
            <w:tcW w:w="1180" w:type="dxa"/>
            <w:vAlign w:val="bottom"/>
          </w:tcPr>
          <w:p>
            <w:pPr>
              <w:jc w:val="right"/>
              <w:ind w:right="592"/>
              <w:spacing w:after="0"/>
              <w:rPr>
                <w:sz w:val="20"/>
                <w:szCs w:val="20"/>
                <w:color w:val="auto"/>
              </w:rPr>
            </w:pPr>
            <w:r>
              <w:rPr>
                <w:rFonts w:ascii="Arial" w:cs="Arial" w:eastAsia="Arial" w:hAnsi="Arial"/>
                <w:sz w:val="18"/>
                <w:szCs w:val="18"/>
                <w:color w:val="auto"/>
              </w:rPr>
              <w:t>(17.4)</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(17.0)</w:t>
            </w:r>
          </w:p>
        </w:tc>
        <w:tc>
          <w:tcPr>
            <w:tcW w:w="1960" w:type="dxa"/>
            <w:vAlign w:val="bottom"/>
          </w:tcPr>
          <w:p>
            <w:pPr>
              <w:jc w:val="right"/>
              <w:ind w:right="552"/>
              <w:spacing w:after="0"/>
              <w:rPr>
                <w:sz w:val="20"/>
                <w:szCs w:val="20"/>
                <w:color w:val="auto"/>
              </w:rPr>
            </w:pPr>
            <w:r>
              <w:rPr>
                <w:rFonts w:ascii="Arial" w:cs="Arial" w:eastAsia="Arial" w:hAnsi="Arial"/>
                <w:sz w:val="18"/>
                <w:szCs w:val="18"/>
                <w:color w:val="auto"/>
              </w:rPr>
              <w:t>(17.0)</w:t>
            </w:r>
          </w:p>
        </w:tc>
      </w:tr>
      <w:tr>
        <w:trPr>
          <w:trHeight w:val="110"/>
        </w:trPr>
        <w:tc>
          <w:tcPr>
            <w:tcW w:w="372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r>
      <w:tr>
        <w:trPr>
          <w:trHeight w:val="309"/>
        </w:trPr>
        <w:tc>
          <w:tcPr>
            <w:tcW w:w="3720" w:type="dxa"/>
            <w:vAlign w:val="bottom"/>
          </w:tcPr>
          <w:p>
            <w:pPr>
              <w:spacing w:after="0"/>
              <w:rPr>
                <w:sz w:val="20"/>
                <w:szCs w:val="20"/>
                <w:color w:val="auto"/>
              </w:rPr>
            </w:pPr>
            <w:r>
              <w:rPr>
                <w:rFonts w:ascii="Arial" w:cs="Arial" w:eastAsia="Arial" w:hAnsi="Arial"/>
                <w:sz w:val="18"/>
                <w:szCs w:val="18"/>
                <w:color w:val="auto"/>
              </w:rPr>
              <w:t>Beginning balance</w:t>
            </w:r>
          </w:p>
        </w:tc>
        <w:tc>
          <w:tcPr>
            <w:tcW w:w="25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652"/>
              <w:spacing w:after="0"/>
              <w:rPr>
                <w:sz w:val="20"/>
                <w:szCs w:val="20"/>
                <w:color w:val="auto"/>
              </w:rPr>
            </w:pPr>
            <w:r>
              <w:rPr>
                <w:rFonts w:ascii="Arial" w:cs="Arial" w:eastAsia="Arial" w:hAnsi="Arial"/>
                <w:sz w:val="18"/>
                <w:szCs w:val="18"/>
                <w:color w:val="auto"/>
                <w:w w:val="93"/>
              </w:rPr>
              <w:t>156.6</w:t>
            </w:r>
          </w:p>
        </w:tc>
        <w:tc>
          <w:tcPr>
            <w:tcW w:w="2080" w:type="dxa"/>
            <w:vAlign w:val="bottom"/>
          </w:tcPr>
          <w:p>
            <w:pPr>
              <w:jc w:val="right"/>
              <w:ind w:right="672"/>
              <w:spacing w:after="0"/>
              <w:rPr>
                <w:sz w:val="20"/>
                <w:szCs w:val="20"/>
                <w:color w:val="auto"/>
              </w:rPr>
            </w:pPr>
            <w:r>
              <w:rPr>
                <w:rFonts w:ascii="Arial" w:cs="Arial" w:eastAsia="Arial" w:hAnsi="Arial"/>
                <w:sz w:val="18"/>
                <w:szCs w:val="18"/>
                <w:color w:val="auto"/>
              </w:rPr>
              <w:t>$ 157.0</w:t>
            </w:r>
          </w:p>
        </w:tc>
        <w:tc>
          <w:tcPr>
            <w:tcW w:w="1960" w:type="dxa"/>
            <w:vAlign w:val="bottom"/>
          </w:tcPr>
          <w:p>
            <w:pPr>
              <w:jc w:val="right"/>
              <w:ind w:right="612"/>
              <w:spacing w:after="0"/>
              <w:rPr>
                <w:sz w:val="20"/>
                <w:szCs w:val="20"/>
                <w:color w:val="auto"/>
              </w:rPr>
            </w:pPr>
            <w:r>
              <w:rPr>
                <w:rFonts w:ascii="Arial" w:cs="Arial" w:eastAsia="Arial" w:hAnsi="Arial"/>
                <w:sz w:val="18"/>
                <w:szCs w:val="18"/>
                <w:color w:val="auto"/>
              </w:rPr>
              <w:t>$ 157.0</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Impairment charge</w:t>
            </w:r>
          </w:p>
        </w:tc>
        <w:tc>
          <w:tcPr>
            <w:tcW w:w="2500" w:type="dxa"/>
            <w:vAlign w:val="bottom"/>
          </w:tcPr>
          <w:p>
            <w:pPr>
              <w:spacing w:after="0"/>
              <w:rPr>
                <w:sz w:val="19"/>
                <w:szCs w:val="19"/>
                <w:color w:val="auto"/>
              </w:rPr>
            </w:pPr>
          </w:p>
        </w:tc>
        <w:tc>
          <w:tcPr>
            <w:tcW w:w="118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(0.4)</w:t>
            </w:r>
          </w:p>
        </w:tc>
        <w:tc>
          <w:tcPr>
            <w:tcW w:w="1960" w:type="dxa"/>
            <w:vAlign w:val="bottom"/>
          </w:tcPr>
          <w:p>
            <w:pPr>
              <w:jc w:val="right"/>
              <w:ind w:right="612"/>
              <w:spacing w:after="0"/>
              <w:rPr>
                <w:sz w:val="20"/>
                <w:szCs w:val="20"/>
                <w:color w:val="auto"/>
              </w:rPr>
            </w:pPr>
            <w:r>
              <w:rPr>
                <w:rFonts w:ascii="Arial" w:cs="Arial" w:eastAsia="Arial" w:hAnsi="Arial"/>
                <w:sz w:val="18"/>
                <w:szCs w:val="18"/>
                <w:color w:val="auto"/>
              </w:rPr>
              <w:t>—</w:t>
            </w:r>
          </w:p>
        </w:tc>
      </w:tr>
      <w:tr>
        <w:trPr>
          <w:trHeight w:val="110"/>
        </w:trPr>
        <w:tc>
          <w:tcPr>
            <w:tcW w:w="372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r>
      <w:tr>
        <w:trPr>
          <w:trHeight w:val="316"/>
        </w:trPr>
        <w:tc>
          <w:tcPr>
            <w:tcW w:w="372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652"/>
              <w:spacing w:after="0"/>
              <w:rPr>
                <w:sz w:val="20"/>
                <w:szCs w:val="20"/>
                <w:color w:val="auto"/>
              </w:rPr>
            </w:pPr>
            <w:r>
              <w:rPr>
                <w:rFonts w:ascii="Arial" w:cs="Arial" w:eastAsia="Arial" w:hAnsi="Arial"/>
                <w:sz w:val="18"/>
                <w:szCs w:val="18"/>
                <w:b w:val="1"/>
                <w:bCs w:val="1"/>
                <w:color w:val="auto"/>
                <w:w w:val="93"/>
              </w:rPr>
              <w:t>156.6</w:t>
            </w:r>
          </w:p>
        </w:tc>
        <w:tc>
          <w:tcPr>
            <w:tcW w:w="2080" w:type="dxa"/>
            <w:vAlign w:val="bottom"/>
          </w:tcPr>
          <w:p>
            <w:pPr>
              <w:jc w:val="right"/>
              <w:ind w:right="672"/>
              <w:spacing w:after="0"/>
              <w:rPr>
                <w:sz w:val="20"/>
                <w:szCs w:val="20"/>
                <w:color w:val="auto"/>
              </w:rPr>
            </w:pPr>
            <w:r>
              <w:rPr>
                <w:rFonts w:ascii="Arial" w:cs="Arial" w:eastAsia="Arial" w:hAnsi="Arial"/>
                <w:sz w:val="18"/>
                <w:szCs w:val="18"/>
                <w:b w:val="1"/>
                <w:bCs w:val="1"/>
                <w:color w:val="auto"/>
              </w:rPr>
              <w:t>$ 156.6</w:t>
            </w:r>
          </w:p>
        </w:tc>
        <w:tc>
          <w:tcPr>
            <w:tcW w:w="1960" w:type="dxa"/>
            <w:vAlign w:val="bottom"/>
          </w:tcPr>
          <w:p>
            <w:pPr>
              <w:jc w:val="right"/>
              <w:ind w:right="612"/>
              <w:spacing w:after="0"/>
              <w:rPr>
                <w:sz w:val="20"/>
                <w:szCs w:val="20"/>
                <w:color w:val="auto"/>
              </w:rPr>
            </w:pPr>
            <w:r>
              <w:rPr>
                <w:rFonts w:ascii="Arial" w:cs="Arial" w:eastAsia="Arial" w:hAnsi="Arial"/>
                <w:sz w:val="18"/>
                <w:szCs w:val="18"/>
                <w:b w:val="1"/>
                <w:bCs w:val="1"/>
                <w:color w:val="auto"/>
              </w:rPr>
              <w:t>$ 157.0</w:t>
            </w:r>
          </w:p>
        </w:tc>
      </w:tr>
      <w:tr>
        <w:trPr>
          <w:trHeight w:val="110"/>
        </w:trPr>
        <w:tc>
          <w:tcPr>
            <w:tcW w:w="372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As of May 31, 2010, the Company determined that the carrying value of its direct-to-home catalog business specializing in toys exceeded the fair value of this reporting unit. The Company employed internally developed discounted cash flow forecasts and market comparisons to determine the fair value of the reporting unit and the implied fair value of the reporting unit’s assets and liabilities. Accordingly, the Company recognized an impairment charge of $0.4 at May 31, 2010.</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Other intangibles subject to amortization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080" w:type="dxa"/>
            <w:vAlign w:val="bottom"/>
            <w:gridSpan w:val="2"/>
          </w:tcPr>
          <w:p>
            <w:pPr>
              <w:jc w:val="right"/>
              <w:ind w:right="192"/>
              <w:spacing w:after="0"/>
              <w:rPr>
                <w:sz w:val="20"/>
                <w:szCs w:val="20"/>
                <w:color w:val="auto"/>
              </w:rPr>
            </w:pPr>
            <w:r>
              <w:rPr>
                <w:rFonts w:ascii="Arial" w:cs="Arial" w:eastAsia="Arial" w:hAnsi="Arial"/>
                <w:sz w:val="18"/>
                <w:szCs w:val="18"/>
                <w:b w:val="1"/>
                <w:bCs w:val="1"/>
                <w:i w:val="1"/>
                <w:iCs w:val="1"/>
                <w:color w:val="auto"/>
              </w:rPr>
              <w:t>Three months ended</w:t>
            </w:r>
          </w:p>
        </w:tc>
        <w:tc>
          <w:tcPr>
            <w:tcW w:w="2080" w:type="dxa"/>
            <w:vAlign w:val="bottom"/>
            <w:gridSpan w:val="2"/>
          </w:tcPr>
          <w:p>
            <w:pPr>
              <w:jc w:val="right"/>
              <w:ind w:right="172"/>
              <w:spacing w:after="0"/>
              <w:rPr>
                <w:sz w:val="20"/>
                <w:szCs w:val="20"/>
                <w:color w:val="auto"/>
              </w:rPr>
            </w:pPr>
            <w:r>
              <w:rPr>
                <w:rFonts w:ascii="Arial" w:cs="Arial" w:eastAsia="Arial" w:hAnsi="Arial"/>
                <w:sz w:val="18"/>
                <w:szCs w:val="18"/>
                <w:b w:val="1"/>
                <w:bCs w:val="1"/>
                <w:i w:val="1"/>
                <w:iCs w:val="1"/>
                <w:color w:val="auto"/>
                <w:w w:val="95"/>
              </w:rPr>
              <w:t>Twelve months ended</w:t>
            </w:r>
          </w:p>
        </w:tc>
        <w:tc>
          <w:tcPr>
            <w:tcW w:w="1960" w:type="dxa"/>
            <w:vAlign w:val="bottom"/>
            <w:gridSpan w:val="2"/>
          </w:tcPr>
          <w:p>
            <w:pPr>
              <w:jc w:val="right"/>
              <w:ind w:right="152"/>
              <w:spacing w:after="0"/>
              <w:rPr>
                <w:sz w:val="20"/>
                <w:szCs w:val="20"/>
                <w:color w:val="auto"/>
              </w:rPr>
            </w:pPr>
            <w:r>
              <w:rPr>
                <w:rFonts w:ascii="Arial" w:cs="Arial" w:eastAsia="Arial" w:hAnsi="Arial"/>
                <w:sz w:val="18"/>
                <w:szCs w:val="18"/>
                <w:b w:val="1"/>
                <w:bCs w:val="1"/>
                <w:i w:val="1"/>
                <w:iCs w:val="1"/>
                <w:color w:val="auto"/>
                <w:w w:val="96"/>
              </w:rPr>
              <w:t>Three months ended</w:t>
            </w:r>
          </w:p>
        </w:tc>
      </w:tr>
      <w:tr>
        <w:trPr>
          <w:trHeight w:val="222"/>
        </w:trPr>
        <w:tc>
          <w:tcPr>
            <w:tcW w:w="5320" w:type="dxa"/>
            <w:vAlign w:val="bottom"/>
          </w:tcPr>
          <w:p>
            <w:pPr>
              <w:spacing w:after="0"/>
              <w:rPr>
                <w:sz w:val="19"/>
                <w:szCs w:val="19"/>
                <w:color w:val="auto"/>
              </w:rPr>
            </w:pPr>
          </w:p>
        </w:tc>
        <w:tc>
          <w:tcPr>
            <w:tcW w:w="2080" w:type="dxa"/>
            <w:vAlign w:val="bottom"/>
            <w:gridSpan w:val="2"/>
          </w:tcPr>
          <w:p>
            <w:pPr>
              <w:jc w:val="right"/>
              <w:ind w:right="352"/>
              <w:spacing w:after="0"/>
              <w:rPr>
                <w:sz w:val="20"/>
                <w:szCs w:val="20"/>
                <w:color w:val="auto"/>
              </w:rPr>
            </w:pPr>
            <w:r>
              <w:rPr>
                <w:rFonts w:ascii="Arial" w:cs="Arial" w:eastAsia="Arial" w:hAnsi="Arial"/>
                <w:sz w:val="18"/>
                <w:szCs w:val="18"/>
                <w:b w:val="1"/>
                <w:bCs w:val="1"/>
                <w:i w:val="1"/>
                <w:iCs w:val="1"/>
                <w:color w:val="auto"/>
              </w:rPr>
              <w:t>August 31, 2010</w:t>
            </w:r>
          </w:p>
        </w:tc>
        <w:tc>
          <w:tcPr>
            <w:tcW w:w="2080" w:type="dxa"/>
            <w:vAlign w:val="bottom"/>
            <w:gridSpan w:val="2"/>
          </w:tcPr>
          <w:p>
            <w:pPr>
              <w:jc w:val="right"/>
              <w:ind w:right="452"/>
              <w:spacing w:after="0"/>
              <w:rPr>
                <w:sz w:val="20"/>
                <w:szCs w:val="20"/>
                <w:color w:val="auto"/>
              </w:rPr>
            </w:pPr>
            <w:r>
              <w:rPr>
                <w:rFonts w:ascii="Arial" w:cs="Arial" w:eastAsia="Arial" w:hAnsi="Arial"/>
                <w:sz w:val="18"/>
                <w:szCs w:val="18"/>
                <w:b w:val="1"/>
                <w:bCs w:val="1"/>
                <w:i w:val="1"/>
                <w:iCs w:val="1"/>
                <w:color w:val="auto"/>
              </w:rPr>
              <w:t>May 31, 2010</w:t>
            </w:r>
          </w:p>
        </w:tc>
        <w:tc>
          <w:tcPr>
            <w:tcW w:w="1960" w:type="dxa"/>
            <w:vAlign w:val="bottom"/>
            <w:gridSpan w:val="2"/>
          </w:tcPr>
          <w:p>
            <w:pPr>
              <w:jc w:val="right"/>
              <w:ind w:right="292"/>
              <w:spacing w:after="0"/>
              <w:rPr>
                <w:sz w:val="20"/>
                <w:szCs w:val="20"/>
                <w:color w:val="auto"/>
              </w:rPr>
            </w:pPr>
            <w:r>
              <w:rPr>
                <w:rFonts w:ascii="Arial" w:cs="Arial" w:eastAsia="Arial" w:hAnsi="Arial"/>
                <w:sz w:val="18"/>
                <w:szCs w:val="18"/>
                <w:b w:val="1"/>
                <w:bCs w:val="1"/>
                <w:i w:val="1"/>
                <w:iCs w:val="1"/>
                <w:color w:val="auto"/>
              </w:rPr>
              <w:t>August 31, 2009</w:t>
            </w:r>
          </w:p>
        </w:tc>
      </w:tr>
      <w:tr>
        <w:trPr>
          <w:trHeight w:val="110"/>
        </w:trPr>
        <w:tc>
          <w:tcPr>
            <w:tcW w:w="5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309"/>
        </w:trPr>
        <w:tc>
          <w:tcPr>
            <w:tcW w:w="5320" w:type="dxa"/>
            <w:vAlign w:val="bottom"/>
          </w:tcPr>
          <w:p>
            <w:pPr>
              <w:spacing w:after="0"/>
              <w:rPr>
                <w:sz w:val="20"/>
                <w:szCs w:val="20"/>
                <w:color w:val="auto"/>
              </w:rPr>
            </w:pPr>
            <w:r>
              <w:rPr>
                <w:rFonts w:ascii="Arial" w:cs="Arial" w:eastAsia="Arial" w:hAnsi="Arial"/>
                <w:sz w:val="18"/>
                <w:szCs w:val="18"/>
                <w:color w:val="auto"/>
              </w:rPr>
              <w:t>Beginning balance</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652"/>
              <w:spacing w:after="0"/>
              <w:rPr>
                <w:sz w:val="20"/>
                <w:szCs w:val="20"/>
                <w:color w:val="auto"/>
              </w:rPr>
            </w:pPr>
            <w:r>
              <w:rPr>
                <w:rFonts w:ascii="Arial" w:cs="Arial" w:eastAsia="Arial" w:hAnsi="Arial"/>
                <w:sz w:val="18"/>
                <w:szCs w:val="18"/>
                <w:color w:val="auto"/>
              </w:rPr>
              <w:t>0.8</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672"/>
              <w:spacing w:after="0"/>
              <w:rPr>
                <w:sz w:val="20"/>
                <w:szCs w:val="20"/>
                <w:color w:val="auto"/>
              </w:rPr>
            </w:pPr>
            <w:r>
              <w:rPr>
                <w:rFonts w:ascii="Arial" w:cs="Arial" w:eastAsia="Arial" w:hAnsi="Arial"/>
                <w:sz w:val="18"/>
                <w:szCs w:val="18"/>
                <w:color w:val="auto"/>
              </w:rPr>
              <w:t>0.1</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612"/>
              <w:spacing w:after="0"/>
              <w:rPr>
                <w:sz w:val="20"/>
                <w:szCs w:val="20"/>
                <w:color w:val="auto"/>
              </w:rPr>
            </w:pPr>
            <w:r>
              <w:rPr>
                <w:rFonts w:ascii="Arial" w:cs="Arial" w:eastAsia="Arial" w:hAnsi="Arial"/>
                <w:sz w:val="18"/>
                <w:szCs w:val="18"/>
                <w:color w:val="auto"/>
              </w:rPr>
              <w:t>0.1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Additions</w:t>
            </w:r>
          </w:p>
        </w:tc>
        <w:tc>
          <w:tcPr>
            <w:tcW w:w="960" w:type="dxa"/>
            <w:vAlign w:val="bottom"/>
          </w:tcPr>
          <w:p>
            <w:pPr>
              <w:spacing w:after="0"/>
              <w:rPr>
                <w:sz w:val="18"/>
                <w:szCs w:val="18"/>
                <w:color w:val="auto"/>
              </w:rPr>
            </w:pPr>
          </w:p>
        </w:tc>
        <w:tc>
          <w:tcPr>
            <w:tcW w:w="112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140" w:type="dxa"/>
            <w:vAlign w:val="bottom"/>
          </w:tcPr>
          <w:p>
            <w:pPr>
              <w:jc w:val="right"/>
              <w:ind w:right="672"/>
              <w:spacing w:after="0"/>
              <w:rPr>
                <w:sz w:val="20"/>
                <w:szCs w:val="20"/>
                <w:color w:val="auto"/>
              </w:rPr>
            </w:pPr>
            <w:r>
              <w:rPr>
                <w:rFonts w:ascii="Arial" w:cs="Arial" w:eastAsia="Arial" w:hAnsi="Arial"/>
                <w:sz w:val="18"/>
                <w:szCs w:val="18"/>
                <w:color w:val="auto"/>
              </w:rPr>
              <w:t>5.1</w:t>
            </w:r>
          </w:p>
        </w:tc>
        <w:tc>
          <w:tcPr>
            <w:tcW w:w="900" w:type="dxa"/>
            <w:vAlign w:val="bottom"/>
          </w:tcPr>
          <w:p>
            <w:pPr>
              <w:spacing w:after="0"/>
              <w:rPr>
                <w:sz w:val="18"/>
                <w:szCs w:val="18"/>
                <w:color w:val="auto"/>
              </w:rPr>
            </w:pPr>
          </w:p>
        </w:tc>
        <w:tc>
          <w:tcPr>
            <w:tcW w:w="1060" w:type="dxa"/>
            <w:vAlign w:val="bottom"/>
          </w:tcPr>
          <w:p>
            <w:pPr>
              <w:jc w:val="right"/>
              <w:ind w:right="612"/>
              <w:spacing w:after="0"/>
              <w:rPr>
                <w:sz w:val="20"/>
                <w:szCs w:val="20"/>
                <w:color w:val="auto"/>
              </w:rPr>
            </w:pPr>
            <w:r>
              <w:rPr>
                <w:rFonts w:ascii="Arial" w:cs="Arial" w:eastAsia="Arial" w:hAnsi="Arial"/>
                <w:sz w:val="18"/>
                <w:szCs w:val="18"/>
                <w:color w:val="auto"/>
              </w:rPr>
              <w:t>5.1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Impairment charge</w:t>
            </w:r>
          </w:p>
        </w:tc>
        <w:tc>
          <w:tcPr>
            <w:tcW w:w="960" w:type="dxa"/>
            <w:vAlign w:val="bottom"/>
          </w:tcPr>
          <w:p>
            <w:pPr>
              <w:spacing w:after="0"/>
              <w:rPr>
                <w:sz w:val="18"/>
                <w:szCs w:val="18"/>
                <w:color w:val="auto"/>
              </w:rPr>
            </w:pPr>
          </w:p>
        </w:tc>
        <w:tc>
          <w:tcPr>
            <w:tcW w:w="112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140" w:type="dxa"/>
            <w:vAlign w:val="bottom"/>
          </w:tcPr>
          <w:p>
            <w:pPr>
              <w:jc w:val="right"/>
              <w:ind w:right="612"/>
              <w:spacing w:after="0"/>
              <w:rPr>
                <w:sz w:val="20"/>
                <w:szCs w:val="20"/>
                <w:color w:val="auto"/>
              </w:rPr>
            </w:pPr>
            <w:r>
              <w:rPr>
                <w:rFonts w:ascii="Arial" w:cs="Arial" w:eastAsia="Arial" w:hAnsi="Arial"/>
                <w:sz w:val="18"/>
                <w:szCs w:val="18"/>
                <w:color w:val="auto"/>
              </w:rPr>
              <w:t>(3.8)</w:t>
            </w:r>
          </w:p>
        </w:tc>
        <w:tc>
          <w:tcPr>
            <w:tcW w:w="900" w:type="dxa"/>
            <w:vAlign w:val="bottom"/>
          </w:tcPr>
          <w:p>
            <w:pPr>
              <w:spacing w:after="0"/>
              <w:rPr>
                <w:sz w:val="18"/>
                <w:szCs w:val="18"/>
                <w:color w:val="auto"/>
              </w:rPr>
            </w:pPr>
          </w:p>
        </w:tc>
        <w:tc>
          <w:tcPr>
            <w:tcW w:w="1060" w:type="dxa"/>
            <w:vAlign w:val="bottom"/>
          </w:tcPr>
          <w:p>
            <w:pPr>
              <w:jc w:val="right"/>
              <w:ind w:right="612"/>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 adjustments</w:t>
            </w:r>
          </w:p>
        </w:tc>
        <w:tc>
          <w:tcPr>
            <w:tcW w:w="960" w:type="dxa"/>
            <w:vAlign w:val="bottom"/>
          </w:tcPr>
          <w:p>
            <w:pPr>
              <w:spacing w:after="0"/>
              <w:rPr>
                <w:sz w:val="18"/>
                <w:szCs w:val="18"/>
                <w:color w:val="auto"/>
              </w:rPr>
            </w:pPr>
          </w:p>
        </w:tc>
        <w:tc>
          <w:tcPr>
            <w:tcW w:w="112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140" w:type="dxa"/>
            <w:vAlign w:val="bottom"/>
          </w:tcPr>
          <w:p>
            <w:pPr>
              <w:jc w:val="right"/>
              <w:ind w:right="612"/>
              <w:spacing w:after="0"/>
              <w:rPr>
                <w:sz w:val="20"/>
                <w:szCs w:val="20"/>
                <w:color w:val="auto"/>
              </w:rPr>
            </w:pPr>
            <w:r>
              <w:rPr>
                <w:rFonts w:ascii="Arial" w:cs="Arial" w:eastAsia="Arial" w:hAnsi="Arial"/>
                <w:sz w:val="18"/>
                <w:szCs w:val="18"/>
                <w:color w:val="auto"/>
              </w:rPr>
              <w:t>(0.3)</w:t>
            </w:r>
          </w:p>
        </w:tc>
        <w:tc>
          <w:tcPr>
            <w:tcW w:w="900" w:type="dxa"/>
            <w:vAlign w:val="bottom"/>
          </w:tcPr>
          <w:p>
            <w:pPr>
              <w:spacing w:after="0"/>
              <w:rPr>
                <w:sz w:val="18"/>
                <w:szCs w:val="18"/>
                <w:color w:val="auto"/>
              </w:rPr>
            </w:pPr>
          </w:p>
        </w:tc>
        <w:tc>
          <w:tcPr>
            <w:tcW w:w="1060" w:type="dxa"/>
            <w:vAlign w:val="bottom"/>
          </w:tcPr>
          <w:p>
            <w:pPr>
              <w:jc w:val="right"/>
              <w:ind w:right="612"/>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Amortization expense</w:t>
            </w:r>
          </w:p>
        </w:tc>
        <w:tc>
          <w:tcPr>
            <w:tcW w:w="960" w:type="dxa"/>
            <w:vAlign w:val="bottom"/>
          </w:tcPr>
          <w:p>
            <w:pPr>
              <w:spacing w:after="0"/>
              <w:rPr>
                <w:sz w:val="18"/>
                <w:szCs w:val="18"/>
                <w:color w:val="auto"/>
              </w:rPr>
            </w:pPr>
          </w:p>
        </w:tc>
        <w:tc>
          <w:tcPr>
            <w:tcW w:w="1120" w:type="dxa"/>
            <w:vAlign w:val="bottom"/>
          </w:tcPr>
          <w:p>
            <w:pPr>
              <w:jc w:val="right"/>
              <w:ind w:right="592"/>
              <w:spacing w:after="0"/>
              <w:rPr>
                <w:sz w:val="20"/>
                <w:szCs w:val="20"/>
                <w:color w:val="auto"/>
              </w:rPr>
            </w:pPr>
            <w:r>
              <w:rPr>
                <w:rFonts w:ascii="Arial" w:cs="Arial" w:eastAsia="Arial" w:hAnsi="Arial"/>
                <w:sz w:val="18"/>
                <w:szCs w:val="18"/>
                <w:color w:val="auto"/>
              </w:rPr>
              <w:t>(0.1)</w:t>
            </w:r>
          </w:p>
        </w:tc>
        <w:tc>
          <w:tcPr>
            <w:tcW w:w="940" w:type="dxa"/>
            <w:vAlign w:val="bottom"/>
          </w:tcPr>
          <w:p>
            <w:pPr>
              <w:spacing w:after="0"/>
              <w:rPr>
                <w:sz w:val="18"/>
                <w:szCs w:val="18"/>
                <w:color w:val="auto"/>
              </w:rPr>
            </w:pPr>
          </w:p>
        </w:tc>
        <w:tc>
          <w:tcPr>
            <w:tcW w:w="1140" w:type="dxa"/>
            <w:vAlign w:val="bottom"/>
          </w:tcPr>
          <w:p>
            <w:pPr>
              <w:jc w:val="right"/>
              <w:ind w:right="612"/>
              <w:spacing w:after="0"/>
              <w:rPr>
                <w:sz w:val="20"/>
                <w:szCs w:val="20"/>
                <w:color w:val="auto"/>
              </w:rPr>
            </w:pPr>
            <w:r>
              <w:rPr>
                <w:rFonts w:ascii="Arial" w:cs="Arial" w:eastAsia="Arial" w:hAnsi="Arial"/>
                <w:sz w:val="18"/>
                <w:szCs w:val="18"/>
                <w:color w:val="auto"/>
              </w:rPr>
              <w:t>(0.2)</w:t>
            </w:r>
          </w:p>
        </w:tc>
        <w:tc>
          <w:tcPr>
            <w:tcW w:w="900" w:type="dxa"/>
            <w:vAlign w:val="bottom"/>
          </w:tcPr>
          <w:p>
            <w:pPr>
              <w:spacing w:after="0"/>
              <w:rPr>
                <w:sz w:val="18"/>
                <w:szCs w:val="18"/>
                <w:color w:val="auto"/>
              </w:rPr>
            </w:pPr>
          </w:p>
        </w:tc>
        <w:tc>
          <w:tcPr>
            <w:tcW w:w="1060" w:type="dxa"/>
            <w:vAlign w:val="bottom"/>
          </w:tcPr>
          <w:p>
            <w:pPr>
              <w:jc w:val="right"/>
              <w:ind w:right="612"/>
              <w:spacing w:after="0"/>
              <w:rPr>
                <w:sz w:val="20"/>
                <w:szCs w:val="20"/>
                <w:color w:val="auto"/>
              </w:rPr>
            </w:pPr>
            <w:r>
              <w:rPr>
                <w:rFonts w:ascii="Arial" w:cs="Arial" w:eastAsia="Arial" w:hAnsi="Arial"/>
                <w:sz w:val="18"/>
                <w:szCs w:val="18"/>
                <w:color w:val="auto"/>
              </w:rPr>
              <w:t>—</w:t>
            </w: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60" w:type="dxa"/>
            <w:vAlign w:val="bottom"/>
          </w:tcPr>
          <w:p>
            <w:pPr>
              <w:spacing w:after="0"/>
              <w:rPr>
                <w:sz w:val="19"/>
                <w:szCs w:val="19"/>
                <w:color w:val="auto"/>
              </w:rPr>
            </w:pPr>
          </w:p>
        </w:tc>
        <w:tc>
          <w:tcPr>
            <w:tcW w:w="1120" w:type="dxa"/>
            <w:vAlign w:val="bottom"/>
          </w:tcPr>
          <w:p>
            <w:pPr>
              <w:jc w:val="right"/>
              <w:ind w:right="652"/>
              <w:spacing w:after="0"/>
              <w:rPr>
                <w:sz w:val="20"/>
                <w:szCs w:val="20"/>
                <w:color w:val="auto"/>
              </w:rPr>
            </w:pPr>
            <w:r>
              <w:rPr>
                <w:rFonts w:ascii="Arial" w:cs="Arial" w:eastAsia="Arial" w:hAnsi="Arial"/>
                <w:sz w:val="18"/>
                <w:szCs w:val="18"/>
                <w:color w:val="auto"/>
              </w:rPr>
              <w:t>0.1</w:t>
            </w:r>
          </w:p>
        </w:tc>
        <w:tc>
          <w:tcPr>
            <w:tcW w:w="940" w:type="dxa"/>
            <w:vAlign w:val="bottom"/>
          </w:tcPr>
          <w:p>
            <w:pPr>
              <w:spacing w:after="0"/>
              <w:rPr>
                <w:sz w:val="19"/>
                <w:szCs w:val="19"/>
                <w:color w:val="auto"/>
              </w:rPr>
            </w:pPr>
          </w:p>
        </w:tc>
        <w:tc>
          <w:tcPr>
            <w:tcW w:w="1140" w:type="dxa"/>
            <w:vAlign w:val="bottom"/>
          </w:tcPr>
          <w:p>
            <w:pPr>
              <w:jc w:val="right"/>
              <w:ind w:right="612"/>
              <w:spacing w:after="0"/>
              <w:rPr>
                <w:sz w:val="20"/>
                <w:szCs w:val="20"/>
                <w:color w:val="auto"/>
              </w:rPr>
            </w:pPr>
            <w:r>
              <w:rPr>
                <w:rFonts w:ascii="Arial" w:cs="Arial" w:eastAsia="Arial" w:hAnsi="Arial"/>
                <w:sz w:val="18"/>
                <w:szCs w:val="18"/>
                <w:color w:val="auto"/>
              </w:rPr>
              <w:t>(0.1)</w:t>
            </w:r>
          </w:p>
        </w:tc>
        <w:tc>
          <w:tcPr>
            <w:tcW w:w="900" w:type="dxa"/>
            <w:vAlign w:val="bottom"/>
          </w:tcPr>
          <w:p>
            <w:pPr>
              <w:spacing w:after="0"/>
              <w:rPr>
                <w:sz w:val="19"/>
                <w:szCs w:val="19"/>
                <w:color w:val="auto"/>
              </w:rPr>
            </w:pPr>
          </w:p>
        </w:tc>
        <w:tc>
          <w:tcPr>
            <w:tcW w:w="1060" w:type="dxa"/>
            <w:vAlign w:val="bottom"/>
          </w:tcPr>
          <w:p>
            <w:pPr>
              <w:jc w:val="right"/>
              <w:ind w:right="612"/>
              <w:spacing w:after="0"/>
              <w:rPr>
                <w:sz w:val="20"/>
                <w:szCs w:val="20"/>
                <w:color w:val="auto"/>
              </w:rPr>
            </w:pPr>
            <w:r>
              <w:rPr>
                <w:rFonts w:ascii="Arial" w:cs="Arial" w:eastAsia="Arial" w:hAnsi="Arial"/>
                <w:sz w:val="18"/>
                <w:szCs w:val="18"/>
                <w:color w:val="auto"/>
              </w:rPr>
              <w:t>—</w:t>
            </w:r>
          </w:p>
        </w:tc>
      </w:tr>
      <w:tr>
        <w:trPr>
          <w:trHeight w:val="110"/>
        </w:trPr>
        <w:tc>
          <w:tcPr>
            <w:tcW w:w="5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309"/>
        </w:trPr>
        <w:tc>
          <w:tcPr>
            <w:tcW w:w="5320" w:type="dxa"/>
            <w:vAlign w:val="bottom"/>
          </w:tcPr>
          <w:p>
            <w:pPr>
              <w:spacing w:after="0"/>
              <w:rPr>
                <w:sz w:val="20"/>
                <w:szCs w:val="20"/>
                <w:color w:val="auto"/>
              </w:rPr>
            </w:pPr>
            <w:r>
              <w:rPr>
                <w:rFonts w:ascii="Arial" w:cs="Arial" w:eastAsia="Arial" w:hAnsi="Arial"/>
                <w:sz w:val="18"/>
                <w:szCs w:val="18"/>
                <w:color w:val="auto"/>
                <w:w w:val="93"/>
              </w:rPr>
              <w:t>Customer lists, net of accumulated amortization of $1.0, $0.9 and $0.7,</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2"/>
        </w:trPr>
        <w:tc>
          <w:tcPr>
            <w:tcW w:w="532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652"/>
              <w:spacing w:after="0"/>
              <w:rPr>
                <w:sz w:val="20"/>
                <w:szCs w:val="20"/>
                <w:color w:val="auto"/>
              </w:rPr>
            </w:pPr>
            <w:r>
              <w:rPr>
                <w:rFonts w:ascii="Arial" w:cs="Arial" w:eastAsia="Arial" w:hAnsi="Arial"/>
                <w:sz w:val="18"/>
                <w:szCs w:val="18"/>
                <w:color w:val="auto"/>
              </w:rPr>
              <w:t>0.8</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672"/>
              <w:spacing w:after="0"/>
              <w:rPr>
                <w:sz w:val="20"/>
                <w:szCs w:val="20"/>
                <w:color w:val="auto"/>
              </w:rPr>
            </w:pPr>
            <w:r>
              <w:rPr>
                <w:rFonts w:ascii="Arial" w:cs="Arial" w:eastAsia="Arial" w:hAnsi="Arial"/>
                <w:sz w:val="18"/>
                <w:szCs w:val="18"/>
                <w:color w:val="auto"/>
              </w:rPr>
              <w:t>0.8</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612"/>
              <w:spacing w:after="0"/>
              <w:rPr>
                <w:sz w:val="20"/>
                <w:szCs w:val="20"/>
                <w:color w:val="auto"/>
              </w:rPr>
            </w:pPr>
            <w:r>
              <w:rPr>
                <w:rFonts w:ascii="Arial" w:cs="Arial" w:eastAsia="Arial" w:hAnsi="Arial"/>
                <w:sz w:val="18"/>
                <w:szCs w:val="18"/>
                <w:color w:val="auto"/>
              </w:rPr>
              <w:t>5.2</w:t>
            </w:r>
          </w:p>
        </w:tc>
      </w:tr>
      <w:tr>
        <w:trPr>
          <w:trHeight w:val="110"/>
        </w:trPr>
        <w:tc>
          <w:tcPr>
            <w:tcW w:w="5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458"/>
        </w:trPr>
        <w:tc>
          <w:tcPr>
            <w:tcW w:w="5320" w:type="dxa"/>
            <w:vAlign w:val="bottom"/>
          </w:tcPr>
          <w:p>
            <w:pPr>
              <w:spacing w:after="0"/>
              <w:rPr>
                <w:sz w:val="20"/>
                <w:szCs w:val="20"/>
                <w:color w:val="auto"/>
              </w:rPr>
            </w:pPr>
            <w:r>
              <w:rPr>
                <w:rFonts w:ascii="Arial" w:cs="Arial" w:eastAsia="Arial" w:hAnsi="Arial"/>
                <w:sz w:val="18"/>
                <w:szCs w:val="18"/>
                <w:color w:val="auto"/>
              </w:rPr>
              <w:t>Beginning balance</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652"/>
              <w:spacing w:after="0"/>
              <w:rPr>
                <w:sz w:val="20"/>
                <w:szCs w:val="20"/>
                <w:color w:val="auto"/>
              </w:rPr>
            </w:pPr>
            <w:r>
              <w:rPr>
                <w:rFonts w:ascii="Arial" w:cs="Arial" w:eastAsia="Arial" w:hAnsi="Arial"/>
                <w:sz w:val="18"/>
                <w:szCs w:val="18"/>
                <w:color w:val="auto"/>
              </w:rPr>
              <w:t>2.2</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672"/>
              <w:spacing w:after="0"/>
              <w:rPr>
                <w:sz w:val="20"/>
                <w:szCs w:val="20"/>
                <w:color w:val="auto"/>
              </w:rPr>
            </w:pPr>
            <w:r>
              <w:rPr>
                <w:rFonts w:ascii="Arial" w:cs="Arial" w:eastAsia="Arial" w:hAnsi="Arial"/>
                <w:sz w:val="18"/>
                <w:szCs w:val="18"/>
                <w:color w:val="auto"/>
              </w:rPr>
              <w:t>2.8</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612"/>
              <w:spacing w:after="0"/>
              <w:rPr>
                <w:sz w:val="20"/>
                <w:szCs w:val="20"/>
                <w:color w:val="auto"/>
              </w:rPr>
            </w:pPr>
            <w:r>
              <w:rPr>
                <w:rFonts w:ascii="Arial" w:cs="Arial" w:eastAsia="Arial" w:hAnsi="Arial"/>
                <w:sz w:val="18"/>
                <w:szCs w:val="18"/>
                <w:color w:val="auto"/>
              </w:rPr>
              <w:t>2.8</w:t>
            </w: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Amortization expense</w:t>
            </w:r>
          </w:p>
        </w:tc>
        <w:tc>
          <w:tcPr>
            <w:tcW w:w="960" w:type="dxa"/>
            <w:vAlign w:val="bottom"/>
          </w:tcPr>
          <w:p>
            <w:pPr>
              <w:spacing w:after="0"/>
              <w:rPr>
                <w:sz w:val="19"/>
                <w:szCs w:val="19"/>
                <w:color w:val="auto"/>
              </w:rPr>
            </w:pPr>
          </w:p>
        </w:tc>
        <w:tc>
          <w:tcPr>
            <w:tcW w:w="1120" w:type="dxa"/>
            <w:vAlign w:val="bottom"/>
          </w:tcPr>
          <w:p>
            <w:pPr>
              <w:jc w:val="right"/>
              <w:ind w:right="592"/>
              <w:spacing w:after="0"/>
              <w:rPr>
                <w:sz w:val="20"/>
                <w:szCs w:val="20"/>
                <w:color w:val="auto"/>
              </w:rPr>
            </w:pPr>
            <w:r>
              <w:rPr>
                <w:rFonts w:ascii="Arial" w:cs="Arial" w:eastAsia="Arial" w:hAnsi="Arial"/>
                <w:sz w:val="18"/>
                <w:szCs w:val="18"/>
                <w:color w:val="auto"/>
              </w:rPr>
              <w:t>(0.1)</w:t>
            </w:r>
          </w:p>
        </w:tc>
        <w:tc>
          <w:tcPr>
            <w:tcW w:w="940" w:type="dxa"/>
            <w:vAlign w:val="bottom"/>
          </w:tcPr>
          <w:p>
            <w:pPr>
              <w:spacing w:after="0"/>
              <w:rPr>
                <w:sz w:val="19"/>
                <w:szCs w:val="19"/>
                <w:color w:val="auto"/>
              </w:rPr>
            </w:pPr>
          </w:p>
        </w:tc>
        <w:tc>
          <w:tcPr>
            <w:tcW w:w="1140" w:type="dxa"/>
            <w:vAlign w:val="bottom"/>
          </w:tcPr>
          <w:p>
            <w:pPr>
              <w:jc w:val="right"/>
              <w:ind w:right="612"/>
              <w:spacing w:after="0"/>
              <w:rPr>
                <w:sz w:val="20"/>
                <w:szCs w:val="20"/>
                <w:color w:val="auto"/>
              </w:rPr>
            </w:pPr>
            <w:r>
              <w:rPr>
                <w:rFonts w:ascii="Arial" w:cs="Arial" w:eastAsia="Arial" w:hAnsi="Arial"/>
                <w:sz w:val="18"/>
                <w:szCs w:val="18"/>
                <w:color w:val="auto"/>
              </w:rPr>
              <w:t>(0.6)</w:t>
            </w:r>
          </w:p>
        </w:tc>
        <w:tc>
          <w:tcPr>
            <w:tcW w:w="900" w:type="dxa"/>
            <w:vAlign w:val="bottom"/>
          </w:tcPr>
          <w:p>
            <w:pPr>
              <w:spacing w:after="0"/>
              <w:rPr>
                <w:sz w:val="19"/>
                <w:szCs w:val="19"/>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rPr>
              <w:t>(0.2)</w:t>
            </w:r>
          </w:p>
        </w:tc>
      </w:tr>
      <w:tr>
        <w:trPr>
          <w:trHeight w:val="110"/>
        </w:trPr>
        <w:tc>
          <w:tcPr>
            <w:tcW w:w="5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309"/>
        </w:trPr>
        <w:tc>
          <w:tcPr>
            <w:tcW w:w="5320" w:type="dxa"/>
            <w:vAlign w:val="bottom"/>
          </w:tcPr>
          <w:p>
            <w:pPr>
              <w:spacing w:after="0"/>
              <w:rPr>
                <w:sz w:val="20"/>
                <w:szCs w:val="20"/>
                <w:color w:val="auto"/>
              </w:rPr>
            </w:pPr>
            <w:r>
              <w:rPr>
                <w:rFonts w:ascii="Arial" w:cs="Arial" w:eastAsia="Arial" w:hAnsi="Arial"/>
                <w:sz w:val="18"/>
                <w:szCs w:val="18"/>
                <w:color w:val="auto"/>
                <w:w w:val="97"/>
              </w:rPr>
              <w:t>Other intangibles, net of accumulated amortization of $3.1, $3.0 and</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2"/>
        </w:trPr>
        <w:tc>
          <w:tcPr>
            <w:tcW w:w="5320" w:type="dxa"/>
            <w:vAlign w:val="bottom"/>
          </w:tcPr>
          <w:p>
            <w:pPr>
              <w:ind w:left="160"/>
              <w:spacing w:after="0"/>
              <w:rPr>
                <w:sz w:val="20"/>
                <w:szCs w:val="20"/>
                <w:color w:val="auto"/>
              </w:rPr>
            </w:pPr>
            <w:r>
              <w:rPr>
                <w:rFonts w:ascii="Arial" w:cs="Arial" w:eastAsia="Arial" w:hAnsi="Arial"/>
                <w:sz w:val="18"/>
                <w:szCs w:val="18"/>
                <w:color w:val="auto"/>
              </w:rPr>
              <w:t>$2.6, respectively</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652"/>
              <w:spacing w:after="0"/>
              <w:rPr>
                <w:sz w:val="20"/>
                <w:szCs w:val="20"/>
                <w:color w:val="auto"/>
              </w:rPr>
            </w:pPr>
            <w:r>
              <w:rPr>
                <w:rFonts w:ascii="Arial" w:cs="Arial" w:eastAsia="Arial" w:hAnsi="Arial"/>
                <w:sz w:val="18"/>
                <w:szCs w:val="18"/>
                <w:color w:val="auto"/>
              </w:rPr>
              <w:t>2.1</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672"/>
              <w:spacing w:after="0"/>
              <w:rPr>
                <w:sz w:val="20"/>
                <w:szCs w:val="20"/>
                <w:color w:val="auto"/>
              </w:rPr>
            </w:pPr>
            <w:r>
              <w:rPr>
                <w:rFonts w:ascii="Arial" w:cs="Arial" w:eastAsia="Arial" w:hAnsi="Arial"/>
                <w:sz w:val="18"/>
                <w:szCs w:val="18"/>
                <w:color w:val="auto"/>
              </w:rPr>
              <w:t>2.2</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612"/>
              <w:spacing w:after="0"/>
              <w:rPr>
                <w:sz w:val="20"/>
                <w:szCs w:val="20"/>
                <w:color w:val="auto"/>
              </w:rPr>
            </w:pPr>
            <w:r>
              <w:rPr>
                <w:rFonts w:ascii="Arial" w:cs="Arial" w:eastAsia="Arial" w:hAnsi="Arial"/>
                <w:sz w:val="18"/>
                <w:szCs w:val="18"/>
                <w:color w:val="auto"/>
              </w:rPr>
              <w:t>2.6</w:t>
            </w:r>
          </w:p>
        </w:tc>
      </w:tr>
      <w:tr>
        <w:trPr>
          <w:trHeight w:val="110"/>
        </w:trPr>
        <w:tc>
          <w:tcPr>
            <w:tcW w:w="5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464"/>
        </w:trPr>
        <w:tc>
          <w:tcPr>
            <w:tcW w:w="5320" w:type="dxa"/>
            <w:vAlign w:val="bottom"/>
          </w:tcPr>
          <w:p>
            <w:pPr>
              <w:spacing w:after="0"/>
              <w:rPr>
                <w:sz w:val="20"/>
                <w:szCs w:val="20"/>
                <w:color w:val="auto"/>
              </w:rPr>
            </w:pPr>
            <w:r>
              <w:rPr>
                <w:rFonts w:ascii="Arial" w:cs="Arial" w:eastAsia="Arial" w:hAnsi="Arial"/>
                <w:sz w:val="18"/>
                <w:szCs w:val="18"/>
                <w:b w:val="1"/>
                <w:bCs w:val="1"/>
                <w:color w:val="auto"/>
              </w:rPr>
              <w:t>Total other intangibles subject to amortization</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652"/>
              <w:spacing w:after="0"/>
              <w:rPr>
                <w:sz w:val="20"/>
                <w:szCs w:val="20"/>
                <w:color w:val="auto"/>
              </w:rPr>
            </w:pPr>
            <w:r>
              <w:rPr>
                <w:rFonts w:ascii="Arial" w:cs="Arial" w:eastAsia="Arial" w:hAnsi="Arial"/>
                <w:sz w:val="18"/>
                <w:szCs w:val="18"/>
                <w:b w:val="1"/>
                <w:bCs w:val="1"/>
                <w:color w:val="auto"/>
              </w:rPr>
              <w:t>2.9</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672"/>
              <w:spacing w:after="0"/>
              <w:rPr>
                <w:sz w:val="20"/>
                <w:szCs w:val="20"/>
                <w:color w:val="auto"/>
              </w:rPr>
            </w:pPr>
            <w:r>
              <w:rPr>
                <w:rFonts w:ascii="Arial" w:cs="Arial" w:eastAsia="Arial" w:hAnsi="Arial"/>
                <w:sz w:val="18"/>
                <w:szCs w:val="18"/>
                <w:b w:val="1"/>
                <w:bCs w:val="1"/>
                <w:color w:val="auto"/>
              </w:rPr>
              <w:t>3.0</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612"/>
              <w:spacing w:after="0"/>
              <w:rPr>
                <w:sz w:val="20"/>
                <w:szCs w:val="20"/>
                <w:color w:val="auto"/>
              </w:rPr>
            </w:pPr>
            <w:r>
              <w:rPr>
                <w:rFonts w:ascii="Arial" w:cs="Arial" w:eastAsia="Arial" w:hAnsi="Arial"/>
                <w:sz w:val="18"/>
                <w:szCs w:val="18"/>
                <w:b w:val="1"/>
                <w:bCs w:val="1"/>
                <w:color w:val="auto"/>
              </w:rPr>
              <w:t>7.8</w:t>
            </w:r>
          </w:p>
        </w:tc>
      </w:tr>
      <w:tr>
        <w:trPr>
          <w:trHeight w:val="110"/>
        </w:trPr>
        <w:tc>
          <w:tcPr>
            <w:tcW w:w="5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During the first quarter of fiscal 2010, the Company and its joint venture partner terminated a book distribution joint venture in the United Kingdom. As a result of this transaction, the Company received a portion of the business and a related customer list previously held by the joint venture, in exchange for the partial forgiveness of amounts owed to the Company by the joint venture and related entities. The Company recognized this customer list in the first quarter of fiscal 2010 with a carrying value of $5.1, which the Company intended to operate apart from its existing customer list. In the second quarter of fiscal 2010, the Company determined that, to maximize profitability, the acquired customer list should ultimately be combined with its existing customer list. As a result, the Company assessed this customer list for impairment and determined that the customer list was impaired based upon the highest and best use for this asset. This assessment incorporated internally developed cash flow projections to measure fair value, as market data for this asset is not readily available. Accordingly, the Company recognized an impairment charge in the second quarter of fiscal 2010 related to this asset of $3.8.</w:t>
      </w:r>
    </w:p>
    <w:p>
      <w:pPr>
        <w:spacing w:after="0" w:line="17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Amortization expense for Other intangibles totaled $0.2 for the three months ended August 31, 2010 and 2009, respectively, and $0.8 for the twelve months ended May 31, 2010.</w:t>
      </w:r>
    </w:p>
    <w:p>
      <w:pPr>
        <w:spacing w:after="0" w:line="18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 xml:space="preserve">The Company implemented certain strategic initiatives during fiscal 2010 to centralize publishing efforts within the </w:t>
      </w:r>
      <w:r>
        <w:rPr>
          <w:rFonts w:ascii="Arial" w:cs="Arial" w:eastAsia="Arial" w:hAnsi="Arial"/>
          <w:sz w:val="15"/>
          <w:szCs w:val="15"/>
          <w:i w:val="1"/>
          <w:iCs w:val="1"/>
          <w:color w:val="auto"/>
        </w:rPr>
        <w:t>Children’s Book Publishing and Distribution</w:t>
      </w:r>
      <w:r>
        <w:rPr>
          <w:rFonts w:ascii="Arial" w:cs="Arial" w:eastAsia="Arial" w:hAnsi="Arial"/>
          <w:sz w:val="15"/>
          <w:szCs w:val="15"/>
          <w:color w:val="auto"/>
        </w:rPr>
        <w:t xml:space="preserve"> segment. These initiatives included the elimination of the front list for certain library-specific titles. The Company will continue to serve the library market through other channels, notably the trade channel within the </w:t>
      </w:r>
      <w:r>
        <w:rPr>
          <w:rFonts w:ascii="Arial" w:cs="Arial" w:eastAsia="Arial" w:hAnsi="Arial"/>
          <w:sz w:val="15"/>
          <w:szCs w:val="15"/>
          <w:i w:val="1"/>
          <w:iCs w:val="1"/>
          <w:color w:val="auto"/>
        </w:rPr>
        <w:t>Children’s Book Publishing and Distribution</w:t>
      </w:r>
      <w:r>
        <w:rPr>
          <w:rFonts w:ascii="Arial" w:cs="Arial" w:eastAsia="Arial" w:hAnsi="Arial"/>
          <w:sz w:val="15"/>
          <w:szCs w:val="15"/>
          <w:color w:val="auto"/>
        </w:rPr>
        <w:t xml:space="preserve"> segment. As a result of these initiatives, and in tandem with reduced expectations in certain </w:t>
      </w:r>
      <w:r>
        <w:rPr>
          <w:rFonts w:ascii="Arial" w:cs="Arial" w:eastAsia="Arial" w:hAnsi="Arial"/>
          <w:sz w:val="15"/>
          <w:szCs w:val="15"/>
          <w:i w:val="1"/>
          <w:iCs w:val="1"/>
          <w:color w:val="auto"/>
        </w:rPr>
        <w:t>Educational Publishing</w:t>
      </w:r>
      <w:r>
        <w:rPr>
          <w:rFonts w:ascii="Arial" w:cs="Arial" w:eastAsia="Arial" w:hAnsi="Arial"/>
          <w:sz w:val="15"/>
          <w:szCs w:val="15"/>
          <w:color w:val="auto"/>
        </w:rPr>
        <w:t xml:space="preserve"> print businesses, the Company determined that intangible assets of $28.7 and prepublication costs of $7.6 associated with such businesses, totaling $36.3, were impaired. The Company employed qualitative and internally developed quantitative methods, including discounted cash flow models, to determine the fair value of the asset to a market participant. Significant inputs included a best use analysis of the existing market for the asset, including uses for the asset other than its current usage, resulting in a determination that the market for the asset had declined significantly.</w:t>
      </w:r>
    </w:p>
    <w:p>
      <w:pPr>
        <w:spacing w:after="0" w:line="15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fourth quarter of fiscal 2010, the Company determined that the fair value of the trademark associated with the Company’s direct-to-home catalog business specializing in toys was less than the carrying value of the trademark. The Company used historical and projected results while applying a residual income fair value method to make this determination and recognized an impairment of this trademark of $2.6.</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not subject to amortization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spacing w:after="0"/>
              <w:rPr>
                <w:sz w:val="19"/>
                <w:szCs w:val="19"/>
                <w:color w:val="auto"/>
              </w:rPr>
            </w:pPr>
          </w:p>
        </w:tc>
        <w:tc>
          <w:tcPr>
            <w:tcW w:w="3360" w:type="dxa"/>
            <w:vAlign w:val="bottom"/>
            <w:gridSpan w:val="2"/>
          </w:tcPr>
          <w:p>
            <w:pPr>
              <w:jc w:val="right"/>
              <w:ind w:right="412"/>
              <w:spacing w:after="0"/>
              <w:rPr>
                <w:sz w:val="20"/>
                <w:szCs w:val="20"/>
                <w:color w:val="auto"/>
              </w:rPr>
            </w:pPr>
            <w:r>
              <w:rPr>
                <w:rFonts w:ascii="Arial" w:cs="Arial" w:eastAsia="Arial" w:hAnsi="Arial"/>
                <w:sz w:val="18"/>
                <w:szCs w:val="18"/>
                <w:b w:val="1"/>
                <w:bCs w:val="1"/>
                <w:i w:val="1"/>
                <w:iCs w:val="1"/>
                <w:color w:val="auto"/>
              </w:rPr>
              <w:t>August 31, 2010</w:t>
            </w:r>
          </w:p>
        </w:tc>
        <w:tc>
          <w:tcPr>
            <w:tcW w:w="1940" w:type="dxa"/>
            <w:vAlign w:val="bottom"/>
            <w:gridSpan w:val="2"/>
          </w:tcPr>
          <w:p>
            <w:pPr>
              <w:jc w:val="right"/>
              <w:ind w:right="372"/>
              <w:spacing w:after="0"/>
              <w:rPr>
                <w:sz w:val="20"/>
                <w:szCs w:val="20"/>
                <w:color w:val="auto"/>
              </w:rPr>
            </w:pPr>
            <w:r>
              <w:rPr>
                <w:rFonts w:ascii="Arial" w:cs="Arial" w:eastAsia="Arial" w:hAnsi="Arial"/>
                <w:sz w:val="18"/>
                <w:szCs w:val="18"/>
                <w:b w:val="1"/>
                <w:bCs w:val="1"/>
                <w:i w:val="1"/>
                <w:iCs w:val="1"/>
                <w:color w:val="auto"/>
              </w:rPr>
              <w:t>May 31, 2010</w:t>
            </w:r>
          </w:p>
        </w:tc>
        <w:tc>
          <w:tcPr>
            <w:tcW w:w="2040" w:type="dxa"/>
            <w:vAlign w:val="bottom"/>
            <w:gridSpan w:val="2"/>
          </w:tcPr>
          <w:p>
            <w:pPr>
              <w:jc w:val="right"/>
              <w:ind w:right="292"/>
              <w:spacing w:after="0"/>
              <w:rPr>
                <w:sz w:val="20"/>
                <w:szCs w:val="20"/>
                <w:color w:val="auto"/>
              </w:rPr>
            </w:pPr>
            <w:r>
              <w:rPr>
                <w:rFonts w:ascii="Arial" w:cs="Arial" w:eastAsia="Arial" w:hAnsi="Arial"/>
                <w:sz w:val="18"/>
                <w:szCs w:val="18"/>
                <w:b w:val="1"/>
                <w:bCs w:val="1"/>
                <w:i w:val="1"/>
                <w:iCs w:val="1"/>
                <w:color w:val="auto"/>
              </w:rPr>
              <w:t>August 31, 2009</w:t>
            </w:r>
          </w:p>
        </w:tc>
      </w:tr>
      <w:tr>
        <w:trPr>
          <w:trHeight w:val="110"/>
        </w:trPr>
        <w:tc>
          <w:tcPr>
            <w:tcW w:w="410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58"/>
        </w:trPr>
        <w:tc>
          <w:tcPr>
            <w:tcW w:w="4100" w:type="dxa"/>
            <w:vAlign w:val="bottom"/>
          </w:tcPr>
          <w:p>
            <w:pPr>
              <w:spacing w:after="0"/>
              <w:rPr>
                <w:sz w:val="20"/>
                <w:szCs w:val="20"/>
                <w:color w:val="auto"/>
              </w:rPr>
            </w:pPr>
            <w:r>
              <w:rPr>
                <w:rFonts w:ascii="Arial" w:cs="Arial" w:eastAsia="Arial" w:hAnsi="Arial"/>
                <w:sz w:val="18"/>
                <w:szCs w:val="18"/>
                <w:color w:val="auto"/>
              </w:rPr>
              <w:t>Net carrying value by major class:</w:t>
            </w:r>
          </w:p>
        </w:tc>
        <w:tc>
          <w:tcPr>
            <w:tcW w:w="2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4100" w:type="dxa"/>
            <w:vAlign w:val="bottom"/>
          </w:tcPr>
          <w:p>
            <w:pPr>
              <w:ind w:left="160"/>
              <w:spacing w:after="0"/>
              <w:rPr>
                <w:sz w:val="20"/>
                <w:szCs w:val="20"/>
                <w:color w:val="auto"/>
              </w:rPr>
            </w:pPr>
            <w:r>
              <w:rPr>
                <w:rFonts w:ascii="Arial" w:cs="Arial" w:eastAsia="Arial" w:hAnsi="Arial"/>
                <w:sz w:val="18"/>
                <w:szCs w:val="18"/>
                <w:color w:val="auto"/>
              </w:rPr>
              <w:t>Titles</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612"/>
              <w:spacing w:after="0"/>
              <w:rPr>
                <w:sz w:val="20"/>
                <w:szCs w:val="20"/>
                <w:color w:val="auto"/>
              </w:rPr>
            </w:pPr>
            <w:r>
              <w:rPr>
                <w:rFonts w:ascii="Arial" w:cs="Arial" w:eastAsia="Arial" w:hAnsi="Arial"/>
                <w:sz w:val="18"/>
                <w:szCs w:val="18"/>
                <w:color w:val="auto"/>
              </w:rPr>
              <w:t>28.7</w:t>
            </w:r>
          </w:p>
        </w:tc>
      </w:tr>
      <w:tr>
        <w:trPr>
          <w:trHeight w:val="222"/>
        </w:trPr>
        <w:tc>
          <w:tcPr>
            <w:tcW w:w="4100" w:type="dxa"/>
            <w:vAlign w:val="bottom"/>
          </w:tcPr>
          <w:p>
            <w:pPr>
              <w:ind w:left="160"/>
              <w:spacing w:after="0"/>
              <w:rPr>
                <w:sz w:val="20"/>
                <w:szCs w:val="20"/>
                <w:color w:val="auto"/>
              </w:rPr>
            </w:pPr>
            <w:r>
              <w:rPr>
                <w:rFonts w:ascii="Arial" w:cs="Arial" w:eastAsia="Arial" w:hAnsi="Arial"/>
                <w:sz w:val="18"/>
                <w:szCs w:val="18"/>
                <w:color w:val="auto"/>
              </w:rPr>
              <w:t>Trademarks and Other</w:t>
            </w:r>
          </w:p>
        </w:tc>
        <w:tc>
          <w:tcPr>
            <w:tcW w:w="2160" w:type="dxa"/>
            <w:vAlign w:val="bottom"/>
          </w:tcPr>
          <w:p>
            <w:pPr>
              <w:spacing w:after="0"/>
              <w:rPr>
                <w:sz w:val="19"/>
                <w:szCs w:val="19"/>
                <w:color w:val="auto"/>
              </w:rPr>
            </w:pPr>
          </w:p>
        </w:tc>
        <w:tc>
          <w:tcPr>
            <w:tcW w:w="1200" w:type="dxa"/>
            <w:vAlign w:val="bottom"/>
          </w:tcPr>
          <w:p>
            <w:pPr>
              <w:jc w:val="right"/>
              <w:ind w:right="712"/>
              <w:spacing w:after="0"/>
              <w:rPr>
                <w:sz w:val="20"/>
                <w:szCs w:val="20"/>
                <w:color w:val="auto"/>
              </w:rPr>
            </w:pPr>
            <w:r>
              <w:rPr>
                <w:rFonts w:ascii="Arial" w:cs="Arial" w:eastAsia="Arial" w:hAnsi="Arial"/>
                <w:sz w:val="18"/>
                <w:szCs w:val="18"/>
                <w:color w:val="auto"/>
              </w:rPr>
              <w:t>12.5</w:t>
            </w:r>
          </w:p>
        </w:tc>
        <w:tc>
          <w:tcPr>
            <w:tcW w:w="880" w:type="dxa"/>
            <w:vAlign w:val="bottom"/>
          </w:tcPr>
          <w:p>
            <w:pPr>
              <w:spacing w:after="0"/>
              <w:rPr>
                <w:sz w:val="19"/>
                <w:szCs w:val="19"/>
                <w:color w:val="auto"/>
              </w:rPr>
            </w:pPr>
          </w:p>
        </w:tc>
        <w:tc>
          <w:tcPr>
            <w:tcW w:w="1060" w:type="dxa"/>
            <w:vAlign w:val="bottom"/>
          </w:tcPr>
          <w:p>
            <w:pPr>
              <w:jc w:val="right"/>
              <w:ind w:right="592"/>
              <w:spacing w:after="0"/>
              <w:rPr>
                <w:sz w:val="20"/>
                <w:szCs w:val="20"/>
                <w:color w:val="auto"/>
              </w:rPr>
            </w:pPr>
            <w:r>
              <w:rPr>
                <w:rFonts w:ascii="Arial" w:cs="Arial" w:eastAsia="Arial" w:hAnsi="Arial"/>
                <w:sz w:val="18"/>
                <w:szCs w:val="18"/>
                <w:color w:val="auto"/>
              </w:rPr>
              <w:t>12.5</w:t>
            </w:r>
          </w:p>
        </w:tc>
        <w:tc>
          <w:tcPr>
            <w:tcW w:w="960" w:type="dxa"/>
            <w:vAlign w:val="bottom"/>
          </w:tcPr>
          <w:p>
            <w:pPr>
              <w:spacing w:after="0"/>
              <w:rPr>
                <w:sz w:val="19"/>
                <w:szCs w:val="19"/>
                <w:color w:val="auto"/>
              </w:rPr>
            </w:pPr>
          </w:p>
        </w:tc>
        <w:tc>
          <w:tcPr>
            <w:tcW w:w="1080" w:type="dxa"/>
            <w:vAlign w:val="bottom"/>
          </w:tcPr>
          <w:p>
            <w:pPr>
              <w:jc w:val="right"/>
              <w:ind w:right="612"/>
              <w:spacing w:after="0"/>
              <w:rPr>
                <w:sz w:val="20"/>
                <w:szCs w:val="20"/>
                <w:color w:val="auto"/>
              </w:rPr>
            </w:pPr>
            <w:r>
              <w:rPr>
                <w:rFonts w:ascii="Arial" w:cs="Arial" w:eastAsia="Arial" w:hAnsi="Arial"/>
                <w:sz w:val="18"/>
                <w:szCs w:val="18"/>
                <w:color w:val="auto"/>
              </w:rPr>
              <w:t>15.2</w:t>
            </w:r>
          </w:p>
        </w:tc>
      </w:tr>
      <w:tr>
        <w:trPr>
          <w:trHeight w:val="110"/>
        </w:trPr>
        <w:tc>
          <w:tcPr>
            <w:tcW w:w="410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64"/>
        </w:trPr>
        <w:tc>
          <w:tcPr>
            <w:tcW w:w="4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12"/>
              <w:spacing w:after="0"/>
              <w:rPr>
                <w:sz w:val="20"/>
                <w:szCs w:val="20"/>
                <w:color w:val="auto"/>
              </w:rPr>
            </w:pPr>
            <w:r>
              <w:rPr>
                <w:rFonts w:ascii="Arial" w:cs="Arial" w:eastAsia="Arial" w:hAnsi="Arial"/>
                <w:sz w:val="18"/>
                <w:szCs w:val="18"/>
                <w:b w:val="1"/>
                <w:bCs w:val="1"/>
                <w:color w:val="auto"/>
              </w:rPr>
              <w:t>12.5</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592"/>
              <w:spacing w:after="0"/>
              <w:rPr>
                <w:sz w:val="20"/>
                <w:szCs w:val="20"/>
                <w:color w:val="auto"/>
              </w:rPr>
            </w:pPr>
            <w:r>
              <w:rPr>
                <w:rFonts w:ascii="Arial" w:cs="Arial" w:eastAsia="Arial" w:hAnsi="Arial"/>
                <w:sz w:val="18"/>
                <w:szCs w:val="18"/>
                <w:b w:val="1"/>
                <w:bCs w:val="1"/>
                <w:color w:val="auto"/>
              </w:rPr>
              <w:t>12.5</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612"/>
              <w:spacing w:after="0"/>
              <w:rPr>
                <w:sz w:val="20"/>
                <w:szCs w:val="20"/>
                <w:color w:val="auto"/>
              </w:rPr>
            </w:pPr>
            <w:r>
              <w:rPr>
                <w:rFonts w:ascii="Arial" w:cs="Arial" w:eastAsia="Arial" w:hAnsi="Arial"/>
                <w:sz w:val="18"/>
                <w:szCs w:val="18"/>
                <w:b w:val="1"/>
                <w:bCs w:val="1"/>
                <w:color w:val="auto"/>
              </w:rPr>
              <w:t>43.9</w:t>
            </w:r>
          </w:p>
        </w:tc>
      </w:tr>
      <w:tr>
        <w:trPr>
          <w:trHeight w:val="110"/>
        </w:trPr>
        <w:tc>
          <w:tcPr>
            <w:tcW w:w="410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Included in “Other assets and deferred charges” on the Company’s condensed consolidated balance sheets were investments of $21.7, $20.6 and $22.9 at August 31, 2010, May 31, 2010 and August 31, 2009, respectively.</w:t>
      </w:r>
    </w:p>
    <w:p>
      <w:pPr>
        <w:spacing w:after="0" w:line="18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In the fourth quarter of fiscal 2010, the Company determined that a cost-method investment in a U.S. based internet company was other than temporarily impaired. Accordingly, the Company recognized a loss of $1.5.</w:t>
      </w:r>
    </w:p>
    <w:p>
      <w:pPr>
        <w:spacing w:after="0" w:line="18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Company owns non-controlling interests in a book distribution business located in the United Kingdom. The carrying value of these assets is $9.1 as of August 31, 2010.</w:t>
      </w:r>
    </w:p>
    <w:p>
      <w:pPr>
        <w:spacing w:after="0" w:line="18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fiscal 2007, the Company participated in the organization of a new entity, the Children’s Network Venture LLC (“Children’s Network”) that produces and distributes educational children’s television programming under the name Qubo. Since inception in August 2006, the Company has contributed a total of $5.4 in cash and certain rights to existing television programming to the Children’s Network. The Company’s investment, which consists of a 12.25% equity interest, is accounted for using the equity method of accounting. The net value of this investment at August 31, 2010 was $0.7.</w:t>
      </w:r>
    </w:p>
    <w:p>
      <w:pPr>
        <w:spacing w:after="0" w:line="167"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The Company’s investment in Usborne, which consists of a 26.2% non controlling interest in a children’s book publishing business located in the UK, is accounted for using the equity method of accounting. The net value of this investment at August 31, 2010 was $11.7.</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Income from equity joint ventures totaled $0.3 for the three months ended August 31, 2010 and a loss of $0.1 for the three months ended August 31, 2009.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investments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54457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spacing w:after="0"/>
              <w:rPr>
                <w:sz w:val="19"/>
                <w:szCs w:val="19"/>
                <w:color w:val="auto"/>
              </w:rPr>
            </w:pPr>
          </w:p>
        </w:tc>
        <w:tc>
          <w:tcPr>
            <w:tcW w:w="2360" w:type="dxa"/>
            <w:vAlign w:val="bottom"/>
            <w:gridSpan w:val="2"/>
          </w:tcPr>
          <w:p>
            <w:pPr>
              <w:jc w:val="right"/>
              <w:ind w:right="152"/>
              <w:spacing w:after="0"/>
              <w:rPr>
                <w:sz w:val="20"/>
                <w:szCs w:val="20"/>
                <w:color w:val="auto"/>
              </w:rPr>
            </w:pPr>
            <w:r>
              <w:rPr>
                <w:rFonts w:ascii="Arial" w:cs="Arial" w:eastAsia="Arial" w:hAnsi="Arial"/>
                <w:sz w:val="18"/>
                <w:szCs w:val="18"/>
                <w:b w:val="1"/>
                <w:bCs w:val="1"/>
                <w:i w:val="1"/>
                <w:iCs w:val="1"/>
                <w:color w:val="auto"/>
              </w:rPr>
              <w:t>August 31, 2010</w:t>
            </w:r>
          </w:p>
        </w:tc>
        <w:tc>
          <w:tcPr>
            <w:tcW w:w="1440" w:type="dxa"/>
            <w:vAlign w:val="bottom"/>
            <w:gridSpan w:val="2"/>
          </w:tcPr>
          <w:p>
            <w:pPr>
              <w:jc w:val="right"/>
              <w:ind w:right="132"/>
              <w:spacing w:after="0"/>
              <w:rPr>
                <w:sz w:val="20"/>
                <w:szCs w:val="20"/>
                <w:color w:val="auto"/>
              </w:rPr>
            </w:pPr>
            <w:r>
              <w:rPr>
                <w:rFonts w:ascii="Arial" w:cs="Arial" w:eastAsia="Arial" w:hAnsi="Arial"/>
                <w:sz w:val="18"/>
                <w:szCs w:val="18"/>
                <w:b w:val="1"/>
                <w:bCs w:val="1"/>
                <w:i w:val="1"/>
                <w:iCs w:val="1"/>
                <w:color w:val="auto"/>
              </w:rPr>
              <w:t>May 31, 2010</w:t>
            </w:r>
          </w:p>
        </w:tc>
        <w:tc>
          <w:tcPr>
            <w:tcW w:w="1540" w:type="dxa"/>
            <w:vAlign w:val="bottom"/>
            <w:gridSpan w:val="2"/>
          </w:tcPr>
          <w:p>
            <w:pPr>
              <w:jc w:val="right"/>
              <w:ind w:right="72"/>
              <w:spacing w:after="0"/>
              <w:rPr>
                <w:sz w:val="20"/>
                <w:szCs w:val="20"/>
                <w:color w:val="auto"/>
              </w:rPr>
            </w:pPr>
            <w:r>
              <w:rPr>
                <w:rFonts w:ascii="Arial" w:cs="Arial" w:eastAsia="Arial" w:hAnsi="Arial"/>
                <w:sz w:val="18"/>
                <w:szCs w:val="18"/>
                <w:b w:val="1"/>
                <w:bCs w:val="1"/>
                <w:i w:val="1"/>
                <w:iCs w:val="1"/>
                <w:color w:val="auto"/>
                <w:w w:val="99"/>
              </w:rPr>
              <w:t>August 31, 2009</w:t>
            </w:r>
          </w:p>
        </w:tc>
      </w:tr>
      <w:tr>
        <w:trPr>
          <w:trHeight w:val="110"/>
        </w:trPr>
        <w:tc>
          <w:tcPr>
            <w:tcW w:w="3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58"/>
        </w:trPr>
        <w:tc>
          <w:tcPr>
            <w:tcW w:w="3240" w:type="dxa"/>
            <w:vAlign w:val="bottom"/>
          </w:tcPr>
          <w:p>
            <w:pPr>
              <w:spacing w:after="0"/>
              <w:rPr>
                <w:sz w:val="20"/>
                <w:szCs w:val="20"/>
                <w:color w:val="auto"/>
              </w:rPr>
            </w:pPr>
            <w:r>
              <w:rPr>
                <w:rFonts w:ascii="Arial" w:cs="Arial" w:eastAsia="Arial" w:hAnsi="Arial"/>
                <w:sz w:val="18"/>
                <w:szCs w:val="18"/>
                <w:color w:val="auto"/>
              </w:rPr>
              <w:t>Cost method investments:</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3240" w:type="dxa"/>
            <w:vAlign w:val="bottom"/>
          </w:tcPr>
          <w:p>
            <w:pPr>
              <w:ind w:left="160"/>
              <w:spacing w:after="0"/>
              <w:rPr>
                <w:sz w:val="20"/>
                <w:szCs w:val="20"/>
                <w:color w:val="auto"/>
              </w:rPr>
            </w:pPr>
            <w:r>
              <w:rPr>
                <w:rFonts w:ascii="Arial" w:cs="Arial" w:eastAsia="Arial" w:hAnsi="Arial"/>
                <w:sz w:val="18"/>
                <w:szCs w:val="18"/>
                <w:color w:val="auto"/>
              </w:rPr>
              <w:t>The Book People, Ltd.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2"/>
              <w:spacing w:after="0"/>
              <w:rPr>
                <w:sz w:val="20"/>
                <w:szCs w:val="20"/>
                <w:color w:val="auto"/>
              </w:rPr>
            </w:pPr>
            <w:r>
              <w:rPr>
                <w:rFonts w:ascii="Arial" w:cs="Arial" w:eastAsia="Arial" w:hAnsi="Arial"/>
                <w:sz w:val="18"/>
                <w:szCs w:val="18"/>
                <w:color w:val="auto"/>
              </w:rPr>
              <w:t>9.1</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12"/>
              <w:spacing w:after="0"/>
              <w:rPr>
                <w:sz w:val="20"/>
                <w:szCs w:val="20"/>
                <w:color w:val="auto"/>
              </w:rPr>
            </w:pPr>
            <w:r>
              <w:rPr>
                <w:rFonts w:ascii="Arial" w:cs="Arial" w:eastAsia="Arial" w:hAnsi="Arial"/>
                <w:sz w:val="18"/>
                <w:szCs w:val="18"/>
                <w:color w:val="auto"/>
              </w:rPr>
              <w:t>9.1</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32"/>
              <w:spacing w:after="0"/>
              <w:rPr>
                <w:sz w:val="20"/>
                <w:szCs w:val="20"/>
                <w:color w:val="auto"/>
              </w:rPr>
            </w:pPr>
            <w:r>
              <w:rPr>
                <w:rFonts w:ascii="Arial" w:cs="Arial" w:eastAsia="Arial" w:hAnsi="Arial"/>
                <w:sz w:val="18"/>
                <w:szCs w:val="18"/>
                <w:color w:val="auto"/>
              </w:rPr>
              <w:t>9.1</w:t>
            </w:r>
          </w:p>
        </w:tc>
      </w:tr>
      <w:tr>
        <w:trPr>
          <w:trHeight w:val="222"/>
        </w:trPr>
        <w:tc>
          <w:tcPr>
            <w:tcW w:w="3240" w:type="dxa"/>
            <w:vAlign w:val="bottom"/>
          </w:tcPr>
          <w:p>
            <w:pPr>
              <w:ind w:left="160"/>
              <w:spacing w:after="0"/>
              <w:rPr>
                <w:sz w:val="20"/>
                <w:szCs w:val="20"/>
                <w:color w:val="auto"/>
              </w:rPr>
            </w:pPr>
            <w:r>
              <w:rPr>
                <w:rFonts w:ascii="Arial" w:cs="Arial" w:eastAsia="Arial" w:hAnsi="Arial"/>
                <w:sz w:val="18"/>
                <w:szCs w:val="18"/>
                <w:color w:val="auto"/>
              </w:rPr>
              <w:t>KIDZUI</w:t>
            </w:r>
          </w:p>
        </w:tc>
        <w:tc>
          <w:tcPr>
            <w:tcW w:w="1420" w:type="dxa"/>
            <w:vAlign w:val="bottom"/>
          </w:tcPr>
          <w:p>
            <w:pPr>
              <w:spacing w:after="0"/>
              <w:rPr>
                <w:sz w:val="19"/>
                <w:szCs w:val="19"/>
                <w:color w:val="auto"/>
              </w:rPr>
            </w:pPr>
          </w:p>
        </w:tc>
        <w:tc>
          <w:tcPr>
            <w:tcW w:w="94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40" w:type="dxa"/>
            <w:vAlign w:val="bottom"/>
          </w:tcPr>
          <w:p>
            <w:pPr>
              <w:jc w:val="right"/>
              <w:ind w:right="432"/>
              <w:spacing w:after="0"/>
              <w:rPr>
                <w:sz w:val="20"/>
                <w:szCs w:val="20"/>
                <w:color w:val="auto"/>
              </w:rPr>
            </w:pPr>
            <w:r>
              <w:rPr>
                <w:rFonts w:ascii="Arial" w:cs="Arial" w:eastAsia="Arial" w:hAnsi="Arial"/>
                <w:sz w:val="18"/>
                <w:szCs w:val="18"/>
                <w:color w:val="auto"/>
              </w:rPr>
              <w:t>1.5</w:t>
            </w:r>
          </w:p>
        </w:tc>
      </w:tr>
      <w:tr>
        <w:trPr>
          <w:trHeight w:val="110"/>
        </w:trPr>
        <w:tc>
          <w:tcPr>
            <w:tcW w:w="3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16"/>
        </w:trPr>
        <w:tc>
          <w:tcPr>
            <w:tcW w:w="3240" w:type="dxa"/>
            <w:vAlign w:val="bottom"/>
          </w:tcPr>
          <w:p>
            <w:pPr>
              <w:spacing w:after="0"/>
              <w:rPr>
                <w:sz w:val="20"/>
                <w:szCs w:val="20"/>
                <w:color w:val="auto"/>
              </w:rPr>
            </w:pPr>
            <w:r>
              <w:rPr>
                <w:rFonts w:ascii="Arial" w:cs="Arial" w:eastAsia="Arial" w:hAnsi="Arial"/>
                <w:sz w:val="18"/>
                <w:szCs w:val="18"/>
                <w:color w:val="auto"/>
              </w:rPr>
              <w:t>Total cost method investments</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2"/>
              <w:spacing w:after="0"/>
              <w:rPr>
                <w:sz w:val="20"/>
                <w:szCs w:val="20"/>
                <w:color w:val="auto"/>
              </w:rPr>
            </w:pPr>
            <w:r>
              <w:rPr>
                <w:rFonts w:ascii="Arial" w:cs="Arial" w:eastAsia="Arial" w:hAnsi="Arial"/>
                <w:sz w:val="18"/>
                <w:szCs w:val="18"/>
                <w:color w:val="auto"/>
              </w:rPr>
              <w:t>9.1</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12"/>
              <w:spacing w:after="0"/>
              <w:rPr>
                <w:sz w:val="20"/>
                <w:szCs w:val="20"/>
                <w:color w:val="auto"/>
              </w:rPr>
            </w:pPr>
            <w:r>
              <w:rPr>
                <w:rFonts w:ascii="Arial" w:cs="Arial" w:eastAsia="Arial" w:hAnsi="Arial"/>
                <w:sz w:val="18"/>
                <w:szCs w:val="18"/>
                <w:color w:val="auto"/>
              </w:rPr>
              <w:t>9.1</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10.6</w:t>
            </w:r>
          </w:p>
        </w:tc>
      </w:tr>
      <w:tr>
        <w:trPr>
          <w:trHeight w:val="110"/>
        </w:trPr>
        <w:tc>
          <w:tcPr>
            <w:tcW w:w="3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58"/>
        </w:trPr>
        <w:tc>
          <w:tcPr>
            <w:tcW w:w="324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3240" w:type="dxa"/>
            <w:vAlign w:val="bottom"/>
          </w:tcPr>
          <w:p>
            <w:pPr>
              <w:ind w:left="160"/>
              <w:spacing w:after="0"/>
              <w:rPr>
                <w:sz w:val="20"/>
                <w:szCs w:val="20"/>
                <w:color w:val="auto"/>
              </w:rPr>
            </w:pPr>
            <w:r>
              <w:rPr>
                <w:rFonts w:ascii="Arial" w:cs="Arial" w:eastAsia="Arial" w:hAnsi="Arial"/>
                <w:sz w:val="18"/>
                <w:szCs w:val="18"/>
                <w:color w:val="auto"/>
              </w:rPr>
              <w:t>Usborne</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2"/>
              <w:spacing w:after="0"/>
              <w:rPr>
                <w:sz w:val="20"/>
                <w:szCs w:val="20"/>
                <w:color w:val="auto"/>
              </w:rPr>
            </w:pPr>
            <w:r>
              <w:rPr>
                <w:rFonts w:ascii="Arial" w:cs="Arial" w:eastAsia="Arial" w:hAnsi="Arial"/>
                <w:sz w:val="18"/>
                <w:szCs w:val="18"/>
                <w:color w:val="auto"/>
                <w:w w:val="91"/>
              </w:rPr>
              <w:t>11.7</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12"/>
              <w:spacing w:after="0"/>
              <w:rPr>
                <w:sz w:val="20"/>
                <w:szCs w:val="20"/>
                <w:color w:val="auto"/>
              </w:rPr>
            </w:pPr>
            <w:r>
              <w:rPr>
                <w:rFonts w:ascii="Arial" w:cs="Arial" w:eastAsia="Arial" w:hAnsi="Arial"/>
                <w:sz w:val="18"/>
                <w:szCs w:val="18"/>
                <w:color w:val="auto"/>
                <w:w w:val="85"/>
              </w:rPr>
              <w:t>10.8</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11.3</w:t>
            </w:r>
          </w:p>
        </w:tc>
      </w:tr>
      <w:tr>
        <w:trPr>
          <w:trHeight w:val="222"/>
        </w:trPr>
        <w:tc>
          <w:tcPr>
            <w:tcW w:w="3240" w:type="dxa"/>
            <w:vAlign w:val="bottom"/>
          </w:tcPr>
          <w:p>
            <w:pPr>
              <w:ind w:left="160"/>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9"/>
                <w:szCs w:val="19"/>
                <w:color w:val="auto"/>
              </w:rPr>
            </w:pPr>
          </w:p>
        </w:tc>
        <w:tc>
          <w:tcPr>
            <w:tcW w:w="940" w:type="dxa"/>
            <w:vAlign w:val="bottom"/>
          </w:tcPr>
          <w:p>
            <w:pPr>
              <w:jc w:val="right"/>
              <w:ind w:right="512"/>
              <w:spacing w:after="0"/>
              <w:rPr>
                <w:sz w:val="20"/>
                <w:szCs w:val="20"/>
                <w:color w:val="auto"/>
              </w:rPr>
            </w:pPr>
            <w:r>
              <w:rPr>
                <w:rFonts w:ascii="Arial" w:cs="Arial" w:eastAsia="Arial" w:hAnsi="Arial"/>
                <w:sz w:val="18"/>
                <w:szCs w:val="18"/>
                <w:color w:val="auto"/>
              </w:rPr>
              <w:t>0.9</w:t>
            </w:r>
          </w:p>
        </w:tc>
        <w:tc>
          <w:tcPr>
            <w:tcW w:w="620" w:type="dxa"/>
            <w:vAlign w:val="bottom"/>
          </w:tcPr>
          <w:p>
            <w:pPr>
              <w:spacing w:after="0"/>
              <w:rPr>
                <w:sz w:val="19"/>
                <w:szCs w:val="19"/>
                <w:color w:val="auto"/>
              </w:rPr>
            </w:pPr>
          </w:p>
        </w:tc>
        <w:tc>
          <w:tcPr>
            <w:tcW w:w="820" w:type="dxa"/>
            <w:vAlign w:val="bottom"/>
          </w:tcPr>
          <w:p>
            <w:pPr>
              <w:jc w:val="right"/>
              <w:ind w:right="412"/>
              <w:spacing w:after="0"/>
              <w:rPr>
                <w:sz w:val="20"/>
                <w:szCs w:val="20"/>
                <w:color w:val="auto"/>
              </w:rPr>
            </w:pPr>
            <w:r>
              <w:rPr>
                <w:rFonts w:ascii="Arial" w:cs="Arial" w:eastAsia="Arial" w:hAnsi="Arial"/>
                <w:sz w:val="18"/>
                <w:szCs w:val="18"/>
                <w:color w:val="auto"/>
              </w:rPr>
              <w:t>0.7</w:t>
            </w:r>
          </w:p>
        </w:tc>
        <w:tc>
          <w:tcPr>
            <w:tcW w:w="700" w:type="dxa"/>
            <w:vAlign w:val="bottom"/>
          </w:tcPr>
          <w:p>
            <w:pPr>
              <w:spacing w:after="0"/>
              <w:rPr>
                <w:sz w:val="19"/>
                <w:szCs w:val="19"/>
                <w:color w:val="auto"/>
              </w:rPr>
            </w:pPr>
          </w:p>
        </w:tc>
        <w:tc>
          <w:tcPr>
            <w:tcW w:w="840" w:type="dxa"/>
            <w:vAlign w:val="bottom"/>
          </w:tcPr>
          <w:p>
            <w:pPr>
              <w:jc w:val="right"/>
              <w:ind w:right="432"/>
              <w:spacing w:after="0"/>
              <w:rPr>
                <w:sz w:val="20"/>
                <w:szCs w:val="20"/>
                <w:color w:val="auto"/>
              </w:rPr>
            </w:pPr>
            <w:r>
              <w:rPr>
                <w:rFonts w:ascii="Arial" w:cs="Arial" w:eastAsia="Arial" w:hAnsi="Arial"/>
                <w:sz w:val="18"/>
                <w:szCs w:val="18"/>
                <w:color w:val="auto"/>
              </w:rPr>
              <w:t>1.0</w:t>
            </w:r>
          </w:p>
        </w:tc>
      </w:tr>
      <w:tr>
        <w:trPr>
          <w:trHeight w:val="110"/>
        </w:trPr>
        <w:tc>
          <w:tcPr>
            <w:tcW w:w="3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16"/>
        </w:trPr>
        <w:tc>
          <w:tcPr>
            <w:tcW w:w="3240" w:type="dxa"/>
            <w:vAlign w:val="bottom"/>
          </w:tcPr>
          <w:p>
            <w:pPr>
              <w:spacing w:after="0"/>
              <w:rPr>
                <w:sz w:val="20"/>
                <w:szCs w:val="20"/>
                <w:color w:val="auto"/>
              </w:rPr>
            </w:pPr>
            <w:r>
              <w:rPr>
                <w:rFonts w:ascii="Arial" w:cs="Arial" w:eastAsia="Arial" w:hAnsi="Arial"/>
                <w:sz w:val="18"/>
                <w:szCs w:val="18"/>
                <w:color w:val="auto"/>
              </w:rPr>
              <w:t>Total equity method investments</w:t>
            </w:r>
          </w:p>
        </w:tc>
        <w:tc>
          <w:tcPr>
            <w:tcW w:w="1420" w:type="dxa"/>
            <w:vAlign w:val="bottom"/>
          </w:tcPr>
          <w:p>
            <w:pPr>
              <w:spacing w:after="0"/>
              <w:rPr>
                <w:sz w:val="24"/>
                <w:szCs w:val="24"/>
                <w:color w:val="auto"/>
              </w:rPr>
            </w:pPr>
          </w:p>
        </w:tc>
        <w:tc>
          <w:tcPr>
            <w:tcW w:w="940" w:type="dxa"/>
            <w:vAlign w:val="bottom"/>
          </w:tcPr>
          <w:p>
            <w:pPr>
              <w:jc w:val="right"/>
              <w:ind w:right="512"/>
              <w:spacing w:after="0"/>
              <w:rPr>
                <w:sz w:val="20"/>
                <w:szCs w:val="20"/>
                <w:color w:val="auto"/>
              </w:rPr>
            </w:pPr>
            <w:r>
              <w:rPr>
                <w:rFonts w:ascii="Arial" w:cs="Arial" w:eastAsia="Arial" w:hAnsi="Arial"/>
                <w:sz w:val="18"/>
                <w:szCs w:val="18"/>
                <w:color w:val="auto"/>
                <w:w w:val="91"/>
              </w:rPr>
              <w:t>12.6</w:t>
            </w:r>
          </w:p>
        </w:tc>
        <w:tc>
          <w:tcPr>
            <w:tcW w:w="620" w:type="dxa"/>
            <w:vAlign w:val="bottom"/>
          </w:tcPr>
          <w:p>
            <w:pPr>
              <w:spacing w:after="0"/>
              <w:rPr>
                <w:sz w:val="24"/>
                <w:szCs w:val="24"/>
                <w:color w:val="auto"/>
              </w:rPr>
            </w:pPr>
          </w:p>
        </w:tc>
        <w:tc>
          <w:tcPr>
            <w:tcW w:w="820" w:type="dxa"/>
            <w:vAlign w:val="bottom"/>
          </w:tcPr>
          <w:p>
            <w:pPr>
              <w:jc w:val="right"/>
              <w:ind w:right="412"/>
              <w:spacing w:after="0"/>
              <w:rPr>
                <w:sz w:val="20"/>
                <w:szCs w:val="20"/>
                <w:color w:val="auto"/>
              </w:rPr>
            </w:pPr>
            <w:r>
              <w:rPr>
                <w:rFonts w:ascii="Arial" w:cs="Arial" w:eastAsia="Arial" w:hAnsi="Arial"/>
                <w:sz w:val="18"/>
                <w:szCs w:val="18"/>
                <w:color w:val="auto"/>
                <w:w w:val="85"/>
              </w:rPr>
              <w:t>11.5</w:t>
            </w:r>
          </w:p>
        </w:tc>
        <w:tc>
          <w:tcPr>
            <w:tcW w:w="700" w:type="dxa"/>
            <w:vAlign w:val="bottom"/>
          </w:tcPr>
          <w:p>
            <w:pPr>
              <w:spacing w:after="0"/>
              <w:rPr>
                <w:sz w:val="24"/>
                <w:szCs w:val="24"/>
                <w:color w:val="auto"/>
              </w:rPr>
            </w:pPr>
          </w:p>
        </w:tc>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12.3</w:t>
            </w:r>
          </w:p>
        </w:tc>
      </w:tr>
      <w:tr>
        <w:trPr>
          <w:trHeight w:val="110"/>
        </w:trPr>
        <w:tc>
          <w:tcPr>
            <w:tcW w:w="3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58"/>
        </w:trPr>
        <w:tc>
          <w:tcPr>
            <w:tcW w:w="324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70" w:type="dxa"/>
            <w:vAlign w:val="bottom"/>
          </w:tcPr>
          <w:p>
            <w:pPr>
              <w:jc w:val="right"/>
              <w:ind w:right="622"/>
              <w:spacing w:after="0"/>
              <w:rPr>
                <w:sz w:val="20"/>
                <w:szCs w:val="20"/>
                <w:color w:val="auto"/>
              </w:rPr>
            </w:pPr>
            <w:r>
              <w:rPr>
                <w:rFonts w:ascii="Arial" w:cs="Arial" w:eastAsia="Arial" w:hAnsi="Arial"/>
                <w:sz w:val="18"/>
                <w:szCs w:val="18"/>
                <w:b w:val="1"/>
                <w:bCs w:val="1"/>
                <w:color w:val="auto"/>
              </w:rPr>
              <w:t>$ 21.7</w:t>
            </w:r>
          </w:p>
        </w:tc>
        <w:tc>
          <w:tcPr>
            <w:tcW w:w="1370" w:type="dxa"/>
            <w:vAlign w:val="bottom"/>
          </w:tcPr>
          <w:p>
            <w:pPr>
              <w:jc w:val="right"/>
              <w:ind w:right="452"/>
              <w:spacing w:after="0"/>
              <w:rPr>
                <w:sz w:val="20"/>
                <w:szCs w:val="20"/>
                <w:color w:val="auto"/>
              </w:rPr>
            </w:pPr>
            <w:r>
              <w:rPr>
                <w:rFonts w:ascii="Arial" w:cs="Arial" w:eastAsia="Arial" w:hAnsi="Arial"/>
                <w:sz w:val="18"/>
                <w:szCs w:val="18"/>
                <w:b w:val="1"/>
                <w:bCs w:val="1"/>
                <w:color w:val="auto"/>
              </w:rPr>
              <w:t>$ 20.6</w:t>
            </w:r>
          </w:p>
        </w:tc>
        <w:tc>
          <w:tcPr>
            <w:tcW w:w="1500" w:type="dxa"/>
            <w:vAlign w:val="bottom"/>
          </w:tcPr>
          <w:p>
            <w:pPr>
              <w:jc w:val="right"/>
              <w:ind w:right="432"/>
              <w:spacing w:after="0"/>
              <w:rPr>
                <w:sz w:val="20"/>
                <w:szCs w:val="20"/>
                <w:color w:val="auto"/>
              </w:rPr>
            </w:pPr>
            <w:r>
              <w:rPr>
                <w:rFonts w:ascii="Arial" w:cs="Arial" w:eastAsia="Arial" w:hAnsi="Arial"/>
                <w:sz w:val="18"/>
                <w:szCs w:val="18"/>
                <w:b w:val="1"/>
                <w:bCs w:val="1"/>
                <w:color w:val="auto"/>
              </w:rPr>
              <w:t>$ 22.9</w:t>
            </w:r>
          </w:p>
        </w:tc>
      </w:tr>
      <w:tr>
        <w:trPr>
          <w:trHeight w:val="134"/>
        </w:trPr>
        <w:tc>
          <w:tcPr>
            <w:tcW w:w="4140" w:type="dxa"/>
            <w:vAlign w:val="bottom"/>
            <w:tcBorders>
              <w:bottom w:val="single" w:sz="8" w:color="808080"/>
            </w:tcBorders>
          </w:tcPr>
          <w:p>
            <w:pPr>
              <w:spacing w:after="0"/>
              <w:rPr>
                <w:sz w:val="11"/>
                <w:szCs w:val="11"/>
                <w:color w:val="auto"/>
              </w:rPr>
            </w:pPr>
          </w:p>
        </w:tc>
        <w:tc>
          <w:tcPr>
            <w:tcW w:w="1570" w:type="dxa"/>
            <w:vAlign w:val="bottom"/>
            <w:tcBorders>
              <w:bottom w:val="single" w:sz="8" w:color="808080"/>
            </w:tcBorders>
          </w:tcPr>
          <w:p>
            <w:pPr>
              <w:spacing w:after="0"/>
              <w:rPr>
                <w:sz w:val="11"/>
                <w:szCs w:val="11"/>
                <w:color w:val="auto"/>
              </w:rPr>
            </w:pPr>
          </w:p>
        </w:tc>
        <w:tc>
          <w:tcPr>
            <w:tcW w:w="137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2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following table sets forth components of the net periodic benefit costs for the periods indicated under the Company’s cash balance retirement plan for its United States employees meeting certain eligibility requirements (the “U.S. Pension Plan”), the defined benefit pension plan of Scholastic Ltd., an indirect subsidiary of Scholastic Corporation located in the United Kingdom (the “UK Pension Plan”), and the defined benefit pension plan of Grolier Limited, an indirect subsidiary of Scholastic Corporation located in Canada (the “Canadian Pension Plan” and together with the U.S. Pension Plan and the UK Pension Plan, the “Pension Plans”). Also included are the post-retirement benefits, consisting of certain healthcare and life insurance benefits, provided by the Company to its eligible retired United States-based employees (the “Post-Retirement Benefits”). The Pension Plans and Post-Retirement Benefits include participants associated with both continuing operations and discontinued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40" w:type="dxa"/>
            <w:vAlign w:val="bottom"/>
          </w:tcPr>
          <w:p>
            <w:pPr>
              <w:spacing w:after="0"/>
              <w:rPr>
                <w:sz w:val="19"/>
                <w:szCs w:val="19"/>
                <w:color w:val="auto"/>
              </w:rPr>
            </w:pPr>
          </w:p>
        </w:tc>
        <w:tc>
          <w:tcPr>
            <w:tcW w:w="1530" w:type="dxa"/>
            <w:vAlign w:val="bottom"/>
          </w:tcPr>
          <w:p>
            <w:pPr>
              <w:spacing w:after="0"/>
              <w:rPr>
                <w:sz w:val="19"/>
                <w:szCs w:val="19"/>
                <w:color w:val="auto"/>
              </w:rPr>
            </w:pPr>
          </w:p>
        </w:tc>
        <w:tc>
          <w:tcPr>
            <w:tcW w:w="51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Pension Plans</w:t>
            </w:r>
          </w:p>
        </w:tc>
        <w:tc>
          <w:tcPr>
            <w:tcW w:w="900" w:type="dxa"/>
            <w:vAlign w:val="bottom"/>
          </w:tcPr>
          <w:p>
            <w:pPr>
              <w:spacing w:after="0"/>
              <w:rPr>
                <w:sz w:val="19"/>
                <w:szCs w:val="19"/>
                <w:color w:val="auto"/>
              </w:rPr>
            </w:pPr>
          </w:p>
        </w:tc>
        <w:tc>
          <w:tcPr>
            <w:tcW w:w="270" w:type="dxa"/>
            <w:vAlign w:val="bottom"/>
          </w:tcPr>
          <w:p>
            <w:pPr>
              <w:spacing w:after="0"/>
              <w:rPr>
                <w:sz w:val="19"/>
                <w:szCs w:val="19"/>
                <w:color w:val="auto"/>
              </w:rPr>
            </w:pPr>
          </w:p>
        </w:tc>
        <w:tc>
          <w:tcPr>
            <w:tcW w:w="221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w w:val="95"/>
              </w:rPr>
              <w:t>Post-Retirement Benefits</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4340" w:type="dxa"/>
            <w:vAlign w:val="bottom"/>
          </w:tcPr>
          <w:p>
            <w:pPr>
              <w:spacing w:after="0"/>
              <w:rPr>
                <w:sz w:val="19"/>
                <w:szCs w:val="19"/>
                <w:color w:val="auto"/>
              </w:rPr>
            </w:pPr>
          </w:p>
        </w:tc>
        <w:tc>
          <w:tcPr>
            <w:tcW w:w="1530" w:type="dxa"/>
            <w:vAlign w:val="bottom"/>
          </w:tcPr>
          <w:p>
            <w:pPr>
              <w:spacing w:after="0"/>
              <w:rPr>
                <w:sz w:val="19"/>
                <w:szCs w:val="19"/>
                <w:color w:val="auto"/>
              </w:rPr>
            </w:pPr>
          </w:p>
        </w:tc>
        <w:tc>
          <w:tcPr>
            <w:tcW w:w="2690" w:type="dxa"/>
            <w:vAlign w:val="bottom"/>
            <w:gridSpan w:val="4"/>
          </w:tcPr>
          <w:p>
            <w:pPr>
              <w:jc w:val="right"/>
              <w:ind w:right="272"/>
              <w:spacing w:after="0"/>
              <w:rPr>
                <w:sz w:val="20"/>
                <w:szCs w:val="20"/>
                <w:color w:val="auto"/>
              </w:rPr>
            </w:pPr>
            <w:r>
              <w:rPr>
                <w:rFonts w:ascii="Arial" w:cs="Arial" w:eastAsia="Arial" w:hAnsi="Arial"/>
                <w:sz w:val="18"/>
                <w:szCs w:val="18"/>
                <w:b w:val="1"/>
                <w:bCs w:val="1"/>
                <w:i w:val="1"/>
                <w:iCs w:val="1"/>
                <w:color w:val="auto"/>
                <w:w w:val="83"/>
              </w:rPr>
              <w:t>Three months ended August 31,</w:t>
            </w:r>
          </w:p>
        </w:tc>
        <w:tc>
          <w:tcPr>
            <w:tcW w:w="270" w:type="dxa"/>
            <w:vAlign w:val="bottom"/>
          </w:tcPr>
          <w:p>
            <w:pPr>
              <w:spacing w:after="0"/>
              <w:rPr>
                <w:sz w:val="19"/>
                <w:szCs w:val="19"/>
                <w:color w:val="auto"/>
              </w:rPr>
            </w:pPr>
          </w:p>
        </w:tc>
        <w:tc>
          <w:tcPr>
            <w:tcW w:w="2610" w:type="dxa"/>
            <w:vAlign w:val="bottom"/>
            <w:gridSpan w:val="3"/>
          </w:tcPr>
          <w:p>
            <w:pPr>
              <w:jc w:val="right"/>
              <w:ind w:right="192"/>
              <w:spacing w:after="0"/>
              <w:rPr>
                <w:sz w:val="20"/>
                <w:szCs w:val="20"/>
                <w:color w:val="auto"/>
              </w:rPr>
            </w:pPr>
            <w:r>
              <w:rPr>
                <w:rFonts w:ascii="Arial" w:cs="Arial" w:eastAsia="Arial" w:hAnsi="Arial"/>
                <w:sz w:val="18"/>
                <w:szCs w:val="18"/>
                <w:b w:val="1"/>
                <w:bCs w:val="1"/>
                <w:i w:val="1"/>
                <w:iCs w:val="1"/>
                <w:color w:val="auto"/>
                <w:w w:val="83"/>
              </w:rPr>
              <w:t>Three months ended August 31,</w:t>
            </w:r>
          </w:p>
        </w:tc>
        <w:tc>
          <w:tcPr>
            <w:tcW w:w="20" w:type="dxa"/>
            <w:vAlign w:val="bottom"/>
          </w:tcPr>
          <w:p>
            <w:pPr>
              <w:spacing w:after="0"/>
              <w:rPr>
                <w:sz w:val="19"/>
                <w:szCs w:val="19"/>
                <w:color w:val="auto"/>
              </w:rPr>
            </w:pPr>
          </w:p>
        </w:tc>
      </w:tr>
      <w:tr>
        <w:trPr>
          <w:trHeight w:val="110"/>
        </w:trPr>
        <w:tc>
          <w:tcPr>
            <w:tcW w:w="4340" w:type="dxa"/>
            <w:vAlign w:val="bottom"/>
            <w:tcBorders>
              <w:bottom w:val="single" w:sz="8" w:color="808080"/>
            </w:tcBorders>
          </w:tcPr>
          <w:p>
            <w:pPr>
              <w:spacing w:after="0"/>
              <w:rPr>
                <w:sz w:val="9"/>
                <w:szCs w:val="9"/>
                <w:color w:val="auto"/>
              </w:rPr>
            </w:pPr>
          </w:p>
        </w:tc>
        <w:tc>
          <w:tcPr>
            <w:tcW w:w="1530" w:type="dxa"/>
            <w:vAlign w:val="bottom"/>
            <w:tcBorders>
              <w:bottom w:val="single" w:sz="8" w:color="808080"/>
            </w:tcBorders>
          </w:tcPr>
          <w:p>
            <w:pPr>
              <w:spacing w:after="0"/>
              <w:rPr>
                <w:sz w:val="9"/>
                <w:szCs w:val="9"/>
                <w:color w:val="auto"/>
              </w:rPr>
            </w:pPr>
          </w:p>
        </w:tc>
        <w:tc>
          <w:tcPr>
            <w:tcW w:w="51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70" w:type="dxa"/>
            <w:vAlign w:val="bottom"/>
            <w:tcBorders>
              <w:bottom w:val="single" w:sz="8" w:color="808080"/>
            </w:tcBorders>
          </w:tcPr>
          <w:p>
            <w:pPr>
              <w:spacing w:after="0"/>
              <w:rPr>
                <w:sz w:val="9"/>
                <w:szCs w:val="9"/>
                <w:color w:val="auto"/>
              </w:rPr>
            </w:pPr>
          </w:p>
        </w:tc>
        <w:tc>
          <w:tcPr>
            <w:tcW w:w="121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34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270" w:type="dxa"/>
            <w:vAlign w:val="bottom"/>
          </w:tcPr>
          <w:p>
            <w:pPr>
              <w:spacing w:after="0"/>
              <w:rPr>
                <w:sz w:val="24"/>
                <w:szCs w:val="24"/>
                <w:color w:val="auto"/>
              </w:rPr>
            </w:pPr>
          </w:p>
        </w:tc>
        <w:tc>
          <w:tcPr>
            <w:tcW w:w="1210" w:type="dxa"/>
            <w:vAlign w:val="bottom"/>
          </w:tcPr>
          <w:p>
            <w:pPr>
              <w:jc w:val="right"/>
              <w:ind w:right="612"/>
              <w:spacing w:after="0"/>
              <w:rPr>
                <w:sz w:val="20"/>
                <w:szCs w:val="20"/>
                <w:color w:val="auto"/>
              </w:rPr>
            </w:pPr>
            <w:r>
              <w:rPr>
                <w:rFonts w:ascii="Arial" w:cs="Arial" w:eastAsia="Arial" w:hAnsi="Arial"/>
                <w:sz w:val="18"/>
                <w:szCs w:val="18"/>
                <w:b w:val="1"/>
                <w:bCs w:val="1"/>
                <w:color w:val="auto"/>
              </w:rPr>
              <w:t>2010</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4340" w:type="dxa"/>
            <w:vAlign w:val="bottom"/>
            <w:tcBorders>
              <w:bottom w:val="single" w:sz="8" w:color="808080"/>
            </w:tcBorders>
          </w:tcPr>
          <w:p>
            <w:pPr>
              <w:spacing w:after="0"/>
              <w:rPr>
                <w:sz w:val="9"/>
                <w:szCs w:val="9"/>
                <w:color w:val="auto"/>
              </w:rPr>
            </w:pPr>
          </w:p>
        </w:tc>
        <w:tc>
          <w:tcPr>
            <w:tcW w:w="1530" w:type="dxa"/>
            <w:vAlign w:val="bottom"/>
            <w:tcBorders>
              <w:bottom w:val="single" w:sz="8" w:color="808080"/>
            </w:tcBorders>
          </w:tcPr>
          <w:p>
            <w:pPr>
              <w:spacing w:after="0"/>
              <w:rPr>
                <w:sz w:val="9"/>
                <w:szCs w:val="9"/>
                <w:color w:val="auto"/>
              </w:rPr>
            </w:pPr>
          </w:p>
        </w:tc>
        <w:tc>
          <w:tcPr>
            <w:tcW w:w="51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70" w:type="dxa"/>
            <w:vAlign w:val="bottom"/>
            <w:tcBorders>
              <w:bottom w:val="single" w:sz="8" w:color="808080"/>
            </w:tcBorders>
          </w:tcPr>
          <w:p>
            <w:pPr>
              <w:spacing w:after="0"/>
              <w:rPr>
                <w:sz w:val="9"/>
                <w:szCs w:val="9"/>
                <w:color w:val="auto"/>
              </w:rPr>
            </w:pPr>
          </w:p>
        </w:tc>
        <w:tc>
          <w:tcPr>
            <w:tcW w:w="121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25"/>
        </w:trPr>
        <w:tc>
          <w:tcPr>
            <w:tcW w:w="4340" w:type="dxa"/>
            <w:vAlign w:val="bottom"/>
          </w:tcPr>
          <w:p>
            <w:pPr>
              <w:spacing w:after="0"/>
              <w:rPr>
                <w:sz w:val="20"/>
                <w:szCs w:val="20"/>
                <w:color w:val="auto"/>
              </w:rPr>
            </w:pPr>
            <w:r>
              <w:rPr>
                <w:rFonts w:ascii="Arial" w:cs="Arial" w:eastAsia="Arial" w:hAnsi="Arial"/>
                <w:sz w:val="18"/>
                <w:szCs w:val="18"/>
                <w:color w:val="auto"/>
              </w:rPr>
              <w:t>Components of net periodic benefit costs:</w:t>
            </w:r>
          </w:p>
        </w:tc>
        <w:tc>
          <w:tcPr>
            <w:tcW w:w="1530" w:type="dxa"/>
            <w:vAlign w:val="bottom"/>
          </w:tcPr>
          <w:p>
            <w:pPr>
              <w:spacing w:after="0"/>
              <w:rPr>
                <w:sz w:val="24"/>
                <w:szCs w:val="24"/>
                <w:color w:val="auto"/>
              </w:rPr>
            </w:pPr>
          </w:p>
        </w:tc>
        <w:tc>
          <w:tcPr>
            <w:tcW w:w="51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121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1530" w:type="dxa"/>
            <w:vAlign w:val="bottom"/>
          </w:tcPr>
          <w:p>
            <w:pPr>
              <w:jc w:val="right"/>
              <w:spacing w:after="0"/>
              <w:rPr>
                <w:sz w:val="20"/>
                <w:szCs w:val="20"/>
                <w:color w:val="auto"/>
              </w:rPr>
            </w:pPr>
            <w:r>
              <w:rPr>
                <w:rFonts w:ascii="Arial" w:cs="Arial" w:eastAsia="Arial" w:hAnsi="Arial"/>
                <w:sz w:val="18"/>
                <w:szCs w:val="18"/>
                <w:color w:val="auto"/>
              </w:rPr>
              <w:t>$</w:t>
            </w:r>
          </w:p>
        </w:tc>
        <w:tc>
          <w:tcPr>
            <w:tcW w:w="510" w:type="dxa"/>
            <w:vAlign w:val="bottom"/>
          </w:tcPr>
          <w:p>
            <w:pPr>
              <w:spacing w:after="0"/>
              <w:rPr>
                <w:sz w:val="18"/>
                <w:szCs w:val="18"/>
                <w:color w:val="auto"/>
              </w:rPr>
            </w:pPr>
          </w:p>
        </w:tc>
        <w:tc>
          <w:tcPr>
            <w:tcW w:w="720" w:type="dxa"/>
            <w:vAlign w:val="bottom"/>
          </w:tcPr>
          <w:p>
            <w:pPr>
              <w:jc w:val="right"/>
              <w:ind w:right="352"/>
              <w:spacing w:after="0"/>
              <w:rPr>
                <w:sz w:val="20"/>
                <w:szCs w:val="20"/>
                <w:color w:val="auto"/>
              </w:rPr>
            </w:pPr>
            <w:r>
              <w:rPr>
                <w:rFonts w:ascii="Arial" w:cs="Arial" w:eastAsia="Arial" w:hAnsi="Arial"/>
                <w:sz w:val="18"/>
                <w:szCs w:val="18"/>
                <w:color w:val="auto"/>
              </w:rPr>
              <w:t>0.1</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70" w:type="dxa"/>
            <w:vAlign w:val="bottom"/>
          </w:tcPr>
          <w:p>
            <w:pPr>
              <w:jc w:val="right"/>
              <w:spacing w:after="0"/>
              <w:rPr>
                <w:sz w:val="20"/>
                <w:szCs w:val="20"/>
                <w:color w:val="auto"/>
              </w:rPr>
            </w:pPr>
            <w:r>
              <w:rPr>
                <w:rFonts w:ascii="Arial" w:cs="Arial" w:eastAsia="Arial" w:hAnsi="Arial"/>
                <w:sz w:val="18"/>
                <w:szCs w:val="18"/>
                <w:color w:val="auto"/>
              </w:rPr>
              <w:t>$</w:t>
            </w:r>
          </w:p>
        </w:tc>
        <w:tc>
          <w:tcPr>
            <w:tcW w:w="121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153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720" w:type="dxa"/>
            <w:vAlign w:val="bottom"/>
          </w:tcPr>
          <w:p>
            <w:pPr>
              <w:jc w:val="right"/>
              <w:ind w:right="352"/>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18"/>
                <w:szCs w:val="18"/>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2.4</w:t>
            </w:r>
          </w:p>
        </w:tc>
        <w:tc>
          <w:tcPr>
            <w:tcW w:w="270" w:type="dxa"/>
            <w:vAlign w:val="bottom"/>
          </w:tcPr>
          <w:p>
            <w:pPr>
              <w:spacing w:after="0"/>
              <w:rPr>
                <w:sz w:val="18"/>
                <w:szCs w:val="18"/>
                <w:color w:val="auto"/>
              </w:rPr>
            </w:pPr>
          </w:p>
        </w:tc>
        <w:tc>
          <w:tcPr>
            <w:tcW w:w="1210" w:type="dxa"/>
            <w:vAlign w:val="bottom"/>
          </w:tcPr>
          <w:p>
            <w:pPr>
              <w:jc w:val="right"/>
              <w:ind w:right="332"/>
              <w:spacing w:after="0"/>
              <w:rPr>
                <w:sz w:val="20"/>
                <w:szCs w:val="20"/>
                <w:color w:val="auto"/>
              </w:rPr>
            </w:pPr>
            <w:r>
              <w:rPr>
                <w:rFonts w:ascii="Arial" w:cs="Arial" w:eastAsia="Arial" w:hAnsi="Arial"/>
                <w:sz w:val="18"/>
                <w:szCs w:val="18"/>
                <w:color w:val="auto"/>
              </w:rPr>
              <w:t>0.5</w:t>
            </w:r>
          </w:p>
        </w:tc>
        <w:tc>
          <w:tcPr>
            <w:tcW w:w="1000" w:type="dxa"/>
            <w:vAlign w:val="bottom"/>
          </w:tcPr>
          <w:p>
            <w:pPr>
              <w:spacing w:after="0"/>
              <w:rPr>
                <w:sz w:val="18"/>
                <w:szCs w:val="18"/>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Expected return on assets</w:t>
            </w:r>
          </w:p>
        </w:tc>
        <w:tc>
          <w:tcPr>
            <w:tcW w:w="153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720" w:type="dxa"/>
            <w:vAlign w:val="bottom"/>
          </w:tcPr>
          <w:p>
            <w:pPr>
              <w:jc w:val="right"/>
              <w:ind w:right="292"/>
              <w:spacing w:after="0"/>
              <w:rPr>
                <w:sz w:val="20"/>
                <w:szCs w:val="20"/>
                <w:color w:val="auto"/>
              </w:rPr>
            </w:pPr>
            <w:r>
              <w:rPr>
                <w:rFonts w:ascii="Arial" w:cs="Arial" w:eastAsia="Arial" w:hAnsi="Arial"/>
                <w:sz w:val="18"/>
                <w:szCs w:val="18"/>
                <w:color w:val="auto"/>
                <w:w w:val="86"/>
              </w:rPr>
              <w:t>(2.4)</w:t>
            </w:r>
          </w:p>
        </w:tc>
        <w:tc>
          <w:tcPr>
            <w:tcW w:w="56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270" w:type="dxa"/>
            <w:vAlign w:val="bottom"/>
          </w:tcPr>
          <w:p>
            <w:pPr>
              <w:spacing w:after="0"/>
              <w:rPr>
                <w:sz w:val="18"/>
                <w:szCs w:val="18"/>
                <w:color w:val="auto"/>
              </w:rPr>
            </w:pPr>
          </w:p>
        </w:tc>
        <w:tc>
          <w:tcPr>
            <w:tcW w:w="121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Net amortization of prior service credit</w:t>
            </w:r>
          </w:p>
        </w:tc>
        <w:tc>
          <w:tcPr>
            <w:tcW w:w="153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72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70" w:type="dxa"/>
            <w:vAlign w:val="bottom"/>
          </w:tcPr>
          <w:p>
            <w:pPr>
              <w:spacing w:after="0"/>
              <w:rPr>
                <w:sz w:val="18"/>
                <w:szCs w:val="18"/>
                <w:color w:val="auto"/>
              </w:rPr>
            </w:pPr>
          </w:p>
        </w:tc>
        <w:tc>
          <w:tcPr>
            <w:tcW w:w="1210" w:type="dxa"/>
            <w:vAlign w:val="bottom"/>
          </w:tcPr>
          <w:p>
            <w:pPr>
              <w:jc w:val="right"/>
              <w:ind w:right="292"/>
              <w:spacing w:after="0"/>
              <w:rPr>
                <w:sz w:val="20"/>
                <w:szCs w:val="20"/>
                <w:color w:val="auto"/>
              </w:rPr>
            </w:pPr>
            <w:r>
              <w:rPr>
                <w:rFonts w:ascii="Arial" w:cs="Arial" w:eastAsia="Arial" w:hAnsi="Arial"/>
                <w:sz w:val="18"/>
                <w:szCs w:val="18"/>
                <w:color w:val="auto"/>
              </w:rPr>
              <w:t>(0.2)</w:t>
            </w:r>
          </w:p>
        </w:tc>
        <w:tc>
          <w:tcPr>
            <w:tcW w:w="10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6"/>
              </w:rPr>
              <w:t>(0.2)</w:t>
            </w:r>
          </w:p>
        </w:tc>
        <w:tc>
          <w:tcPr>
            <w:tcW w:w="20" w:type="dxa"/>
            <w:vAlign w:val="bottom"/>
          </w:tcPr>
          <w:p>
            <w:pPr>
              <w:spacing w:after="0"/>
              <w:rPr>
                <w:sz w:val="18"/>
                <w:szCs w:val="18"/>
                <w:color w:val="auto"/>
              </w:rPr>
            </w:pPr>
          </w:p>
        </w:tc>
      </w:tr>
      <w:tr>
        <w:trPr>
          <w:trHeight w:val="222"/>
        </w:trPr>
        <w:tc>
          <w:tcPr>
            <w:tcW w:w="4340" w:type="dxa"/>
            <w:vAlign w:val="bottom"/>
          </w:tcPr>
          <w:p>
            <w:pPr>
              <w:ind w:left="160"/>
              <w:spacing w:after="0"/>
              <w:rPr>
                <w:sz w:val="20"/>
                <w:szCs w:val="20"/>
                <w:color w:val="auto"/>
              </w:rPr>
            </w:pPr>
            <w:r>
              <w:rPr>
                <w:rFonts w:ascii="Arial" w:cs="Arial" w:eastAsia="Arial" w:hAnsi="Arial"/>
                <w:sz w:val="18"/>
                <w:szCs w:val="18"/>
                <w:color w:val="auto"/>
              </w:rPr>
              <w:t>Amortization of loss</w:t>
            </w:r>
          </w:p>
        </w:tc>
        <w:tc>
          <w:tcPr>
            <w:tcW w:w="1530" w:type="dxa"/>
            <w:vAlign w:val="bottom"/>
          </w:tcPr>
          <w:p>
            <w:pPr>
              <w:spacing w:after="0"/>
              <w:rPr>
                <w:sz w:val="19"/>
                <w:szCs w:val="19"/>
                <w:color w:val="auto"/>
              </w:rPr>
            </w:pPr>
          </w:p>
        </w:tc>
        <w:tc>
          <w:tcPr>
            <w:tcW w:w="510" w:type="dxa"/>
            <w:vAlign w:val="bottom"/>
          </w:tcPr>
          <w:p>
            <w:pPr>
              <w:spacing w:after="0"/>
              <w:rPr>
                <w:sz w:val="19"/>
                <w:szCs w:val="19"/>
                <w:color w:val="auto"/>
              </w:rPr>
            </w:pPr>
          </w:p>
        </w:tc>
        <w:tc>
          <w:tcPr>
            <w:tcW w:w="720" w:type="dxa"/>
            <w:vAlign w:val="bottom"/>
          </w:tcPr>
          <w:p>
            <w:pPr>
              <w:jc w:val="right"/>
              <w:ind w:right="352"/>
              <w:spacing w:after="0"/>
              <w:rPr>
                <w:sz w:val="20"/>
                <w:szCs w:val="20"/>
                <w:color w:val="auto"/>
              </w:rPr>
            </w:pPr>
            <w:r>
              <w:rPr>
                <w:rFonts w:ascii="Arial" w:cs="Arial" w:eastAsia="Arial" w:hAnsi="Arial"/>
                <w:sz w:val="18"/>
                <w:szCs w:val="18"/>
                <w:color w:val="auto"/>
              </w:rPr>
              <w:t>0.5</w:t>
            </w:r>
          </w:p>
        </w:tc>
        <w:tc>
          <w:tcPr>
            <w:tcW w:w="560" w:type="dxa"/>
            <w:vAlign w:val="bottom"/>
          </w:tcPr>
          <w:p>
            <w:pPr>
              <w:spacing w:after="0"/>
              <w:rPr>
                <w:sz w:val="19"/>
                <w:szCs w:val="19"/>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270" w:type="dxa"/>
            <w:vAlign w:val="bottom"/>
          </w:tcPr>
          <w:p>
            <w:pPr>
              <w:spacing w:after="0"/>
              <w:rPr>
                <w:sz w:val="19"/>
                <w:szCs w:val="19"/>
                <w:color w:val="auto"/>
              </w:rPr>
            </w:pPr>
          </w:p>
        </w:tc>
        <w:tc>
          <w:tcPr>
            <w:tcW w:w="1210" w:type="dxa"/>
            <w:vAlign w:val="bottom"/>
          </w:tcPr>
          <w:p>
            <w:pPr>
              <w:jc w:val="right"/>
              <w:ind w:right="332"/>
              <w:spacing w:after="0"/>
              <w:rPr>
                <w:sz w:val="20"/>
                <w:szCs w:val="20"/>
                <w:color w:val="auto"/>
              </w:rPr>
            </w:pPr>
            <w:r>
              <w:rPr>
                <w:rFonts w:ascii="Arial" w:cs="Arial" w:eastAsia="Arial" w:hAnsi="Arial"/>
                <w:sz w:val="18"/>
                <w:szCs w:val="18"/>
                <w:color w:val="auto"/>
              </w:rPr>
              <w:t>0.5</w:t>
            </w:r>
          </w:p>
        </w:tc>
        <w:tc>
          <w:tcPr>
            <w:tcW w:w="1000" w:type="dxa"/>
            <w:vAlign w:val="bottom"/>
          </w:tcPr>
          <w:p>
            <w:pPr>
              <w:spacing w:after="0"/>
              <w:rPr>
                <w:sz w:val="19"/>
                <w:szCs w:val="19"/>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110"/>
        </w:trPr>
        <w:tc>
          <w:tcPr>
            <w:tcW w:w="4340" w:type="dxa"/>
            <w:vAlign w:val="bottom"/>
            <w:tcBorders>
              <w:bottom w:val="single" w:sz="8" w:color="808080"/>
            </w:tcBorders>
          </w:tcPr>
          <w:p>
            <w:pPr>
              <w:spacing w:after="0"/>
              <w:rPr>
                <w:sz w:val="9"/>
                <w:szCs w:val="9"/>
                <w:color w:val="auto"/>
              </w:rPr>
            </w:pPr>
          </w:p>
        </w:tc>
        <w:tc>
          <w:tcPr>
            <w:tcW w:w="1530" w:type="dxa"/>
            <w:vAlign w:val="bottom"/>
            <w:tcBorders>
              <w:bottom w:val="single" w:sz="8" w:color="808080"/>
            </w:tcBorders>
          </w:tcPr>
          <w:p>
            <w:pPr>
              <w:spacing w:after="0"/>
              <w:rPr>
                <w:sz w:val="9"/>
                <w:szCs w:val="9"/>
                <w:color w:val="auto"/>
              </w:rPr>
            </w:pPr>
          </w:p>
        </w:tc>
        <w:tc>
          <w:tcPr>
            <w:tcW w:w="51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70" w:type="dxa"/>
            <w:vAlign w:val="bottom"/>
            <w:tcBorders>
              <w:bottom w:val="single" w:sz="8" w:color="808080"/>
            </w:tcBorders>
          </w:tcPr>
          <w:p>
            <w:pPr>
              <w:spacing w:after="0"/>
              <w:rPr>
                <w:sz w:val="9"/>
                <w:szCs w:val="9"/>
                <w:color w:val="auto"/>
              </w:rPr>
            </w:pPr>
          </w:p>
        </w:tc>
        <w:tc>
          <w:tcPr>
            <w:tcW w:w="121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340" w:type="dxa"/>
            <w:vAlign w:val="bottom"/>
          </w:tcPr>
          <w:p>
            <w:pPr>
              <w:ind w:left="320"/>
              <w:spacing w:after="0"/>
              <w:rPr>
                <w:sz w:val="20"/>
                <w:szCs w:val="20"/>
                <w:color w:val="auto"/>
              </w:rPr>
            </w:pPr>
            <w:r>
              <w:rPr>
                <w:rFonts w:ascii="Arial" w:cs="Arial" w:eastAsia="Arial" w:hAnsi="Arial"/>
                <w:sz w:val="18"/>
                <w:szCs w:val="18"/>
                <w:b w:val="1"/>
                <w:bCs w:val="1"/>
                <w:color w:val="auto"/>
              </w:rPr>
              <w:t>Net periodic benefit costs</w:t>
            </w:r>
          </w:p>
        </w:tc>
        <w:tc>
          <w:tcPr>
            <w:tcW w:w="153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10" w:type="dxa"/>
            <w:vAlign w:val="bottom"/>
          </w:tcPr>
          <w:p>
            <w:pPr>
              <w:spacing w:after="0"/>
              <w:rPr>
                <w:sz w:val="24"/>
                <w:szCs w:val="24"/>
                <w:color w:val="auto"/>
              </w:rPr>
            </w:pPr>
          </w:p>
        </w:tc>
        <w:tc>
          <w:tcPr>
            <w:tcW w:w="720" w:type="dxa"/>
            <w:vAlign w:val="bottom"/>
          </w:tcPr>
          <w:p>
            <w:pPr>
              <w:jc w:val="right"/>
              <w:ind w:right="352"/>
              <w:spacing w:after="0"/>
              <w:rPr>
                <w:sz w:val="20"/>
                <w:szCs w:val="20"/>
                <w:color w:val="auto"/>
              </w:rPr>
            </w:pPr>
            <w:r>
              <w:rPr>
                <w:rFonts w:ascii="Arial" w:cs="Arial" w:eastAsia="Arial" w:hAnsi="Arial"/>
                <w:sz w:val="18"/>
                <w:szCs w:val="18"/>
                <w:b w:val="1"/>
                <w:bCs w:val="1"/>
                <w:color w:val="auto"/>
              </w:rPr>
              <w:t>0.4</w:t>
            </w: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b w:val="1"/>
                <w:bCs w:val="1"/>
                <w:color w:val="auto"/>
              </w:rPr>
              <w:t>1.5</w:t>
            </w:r>
          </w:p>
        </w:tc>
        <w:tc>
          <w:tcPr>
            <w:tcW w:w="27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10" w:type="dxa"/>
            <w:vAlign w:val="bottom"/>
          </w:tcPr>
          <w:p>
            <w:pPr>
              <w:jc w:val="right"/>
              <w:ind w:right="332"/>
              <w:spacing w:after="0"/>
              <w:rPr>
                <w:sz w:val="20"/>
                <w:szCs w:val="20"/>
                <w:color w:val="auto"/>
              </w:rPr>
            </w:pPr>
            <w:r>
              <w:rPr>
                <w:rFonts w:ascii="Arial" w:cs="Arial" w:eastAsia="Arial" w:hAnsi="Arial"/>
                <w:sz w:val="18"/>
                <w:szCs w:val="18"/>
                <w:b w:val="1"/>
                <w:bCs w:val="1"/>
                <w:color w:val="auto"/>
              </w:rPr>
              <w:t>0.8</w:t>
            </w:r>
          </w:p>
        </w:tc>
        <w:tc>
          <w:tcPr>
            <w:tcW w:w="100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32"/>
              <w:spacing w:after="0"/>
              <w:rPr>
                <w:sz w:val="20"/>
                <w:szCs w:val="20"/>
                <w:color w:val="auto"/>
              </w:rPr>
            </w:pPr>
            <w:r>
              <w:rPr>
                <w:rFonts w:ascii="Arial" w:cs="Arial" w:eastAsia="Arial" w:hAnsi="Arial"/>
                <w:sz w:val="18"/>
                <w:szCs w:val="18"/>
                <w:b w:val="1"/>
                <w:bCs w:val="1"/>
                <w:color w:val="auto"/>
              </w:rPr>
              <w:t>0.4</w:t>
            </w:r>
          </w:p>
        </w:tc>
        <w:tc>
          <w:tcPr>
            <w:tcW w:w="20" w:type="dxa"/>
            <w:vAlign w:val="bottom"/>
          </w:tcPr>
          <w:p>
            <w:pPr>
              <w:spacing w:after="0"/>
              <w:rPr>
                <w:sz w:val="24"/>
                <w:szCs w:val="24"/>
                <w:color w:val="auto"/>
              </w:rPr>
            </w:pPr>
          </w:p>
        </w:tc>
      </w:tr>
      <w:tr>
        <w:trPr>
          <w:trHeight w:val="134"/>
        </w:trPr>
        <w:tc>
          <w:tcPr>
            <w:tcW w:w="4340" w:type="dxa"/>
            <w:vAlign w:val="bottom"/>
            <w:tcBorders>
              <w:bottom w:val="single" w:sz="8" w:color="808080"/>
            </w:tcBorders>
          </w:tcPr>
          <w:p>
            <w:pPr>
              <w:spacing w:after="0"/>
              <w:rPr>
                <w:sz w:val="11"/>
                <w:szCs w:val="11"/>
                <w:color w:val="auto"/>
              </w:rPr>
            </w:pPr>
          </w:p>
        </w:tc>
        <w:tc>
          <w:tcPr>
            <w:tcW w:w="1530" w:type="dxa"/>
            <w:vAlign w:val="bottom"/>
            <w:tcBorders>
              <w:bottom w:val="single" w:sz="8" w:color="808080"/>
            </w:tcBorders>
          </w:tcPr>
          <w:p>
            <w:pPr>
              <w:spacing w:after="0"/>
              <w:rPr>
                <w:sz w:val="11"/>
                <w:szCs w:val="11"/>
                <w:color w:val="auto"/>
              </w:rPr>
            </w:pPr>
          </w:p>
        </w:tc>
        <w:tc>
          <w:tcPr>
            <w:tcW w:w="51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70" w:type="dxa"/>
            <w:vAlign w:val="bottom"/>
            <w:tcBorders>
              <w:bottom w:val="single" w:sz="8" w:color="808080"/>
            </w:tcBorders>
          </w:tcPr>
          <w:p>
            <w:pPr>
              <w:spacing w:after="0"/>
              <w:rPr>
                <w:sz w:val="11"/>
                <w:szCs w:val="11"/>
                <w:color w:val="auto"/>
              </w:rPr>
            </w:pPr>
          </w:p>
        </w:tc>
        <w:tc>
          <w:tcPr>
            <w:tcW w:w="121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Effective June 1, 2009, the Company modified the U.S Pension Plan, such that no further benefits will accrue to employees under the plan.</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Effective June 1, 2009, the Company modified the terms of the Post-Retirement Benefits, effectively excluding a large percentage of current employees from the plan. Under the plan amendments, only employees with 10 or more years of service to the Company and whose age plus service is at least 65 as of June 1, 2009 will be eligible to receive benefits upon retirement.</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funding practice with respect to the Pension Plans is to contribute on an annual basis at least the minimum amounts required by applicable laws. For the three months ended August 31, 2010, the Company contributed $2.3 to the U.S. Pension Plan, $0.2 to the UK Pension Plan and $0.0 to the Canadian Pension Plan.</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expects, based on actuarial calculations as of August 31, 2010, to contribute cash of approximately $11.2 to the Pension Plans for the fiscal year ending May 31, 2011.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stock-based compensation included in Selling, general and administrative expenses for the periods indicated:</w:t>
      </w:r>
    </w:p>
    <w:p>
      <w:pPr>
        <w:spacing w:after="0" w:line="239" w:lineRule="exact"/>
        <w:rPr>
          <w:sz w:val="20"/>
          <w:szCs w:val="20"/>
          <w:color w:val="auto"/>
        </w:rPr>
      </w:pPr>
    </w:p>
    <w:p>
      <w:pPr>
        <w:ind w:left="5940"/>
        <w:spacing w:after="0"/>
        <w:rPr>
          <w:sz w:val="20"/>
          <w:szCs w:val="20"/>
          <w:color w:val="auto"/>
        </w:rPr>
      </w:pPr>
      <w:r>
        <w:rPr>
          <w:rFonts w:ascii="Arial" w:cs="Arial" w:eastAsia="Arial" w:hAnsi="Arial"/>
          <w:sz w:val="18"/>
          <w:szCs w:val="18"/>
          <w:b w:val="1"/>
          <w:bCs w:val="1"/>
          <w:i w:val="1"/>
          <w:i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4457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b w:val="1"/>
                <w:bCs w:val="1"/>
                <w:color w:val="auto"/>
              </w:rPr>
              <w:t>2009</w:t>
            </w:r>
          </w:p>
        </w:tc>
      </w:tr>
      <w:tr>
        <w:trPr>
          <w:trHeight w:val="110"/>
        </w:trPr>
        <w:tc>
          <w:tcPr>
            <w:tcW w:w="57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09"/>
        </w:trPr>
        <w:tc>
          <w:tcPr>
            <w:tcW w:w="5720" w:type="dxa"/>
            <w:vAlign w:val="bottom"/>
          </w:tcPr>
          <w:p>
            <w:pPr>
              <w:spacing w:after="0"/>
              <w:rPr>
                <w:sz w:val="20"/>
                <w:szCs w:val="20"/>
                <w:color w:val="auto"/>
              </w:rPr>
            </w:pPr>
            <w:r>
              <w:rPr>
                <w:rFonts w:ascii="Arial" w:cs="Arial" w:eastAsia="Arial" w:hAnsi="Arial"/>
                <w:sz w:val="18"/>
                <w:szCs w:val="18"/>
                <w:color w:val="auto"/>
              </w:rPr>
              <w:t>Stock option expense</w:t>
            </w:r>
          </w:p>
        </w:tc>
        <w:tc>
          <w:tcPr>
            <w:tcW w:w="700" w:type="dxa"/>
            <w:vAlign w:val="bottom"/>
          </w:tcPr>
          <w:p>
            <w:pPr>
              <w:jc w:val="right"/>
              <w:ind w:right="5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292"/>
              <w:spacing w:after="0"/>
              <w:rPr>
                <w:sz w:val="20"/>
                <w:szCs w:val="20"/>
                <w:color w:val="auto"/>
              </w:rPr>
            </w:pPr>
            <w:r>
              <w:rPr>
                <w:rFonts w:ascii="Arial" w:cs="Arial" w:eastAsia="Arial" w:hAnsi="Arial"/>
                <w:sz w:val="18"/>
                <w:szCs w:val="18"/>
                <w:color w:val="auto"/>
              </w:rPr>
              <w:t>3.8</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3.0</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Restricted stock unit expense</w:t>
            </w:r>
          </w:p>
        </w:tc>
        <w:tc>
          <w:tcPr>
            <w:tcW w:w="700" w:type="dxa"/>
            <w:vAlign w:val="bottom"/>
          </w:tcPr>
          <w:p>
            <w:pPr>
              <w:spacing w:after="0"/>
              <w:rPr>
                <w:sz w:val="18"/>
                <w:szCs w:val="18"/>
                <w:color w:val="auto"/>
              </w:rPr>
            </w:pPr>
          </w:p>
        </w:tc>
        <w:tc>
          <w:tcPr>
            <w:tcW w:w="660" w:type="dxa"/>
            <w:vAlign w:val="bottom"/>
          </w:tcPr>
          <w:p>
            <w:pPr>
              <w:jc w:val="right"/>
              <w:ind w:right="292"/>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Management stock purchase plan</w:t>
            </w:r>
          </w:p>
        </w:tc>
        <w:tc>
          <w:tcPr>
            <w:tcW w:w="700" w:type="dxa"/>
            <w:vAlign w:val="bottom"/>
          </w:tcPr>
          <w:p>
            <w:pPr>
              <w:spacing w:after="0"/>
              <w:rPr>
                <w:sz w:val="18"/>
                <w:szCs w:val="18"/>
                <w:color w:val="auto"/>
              </w:rPr>
            </w:pPr>
          </w:p>
        </w:tc>
        <w:tc>
          <w:tcPr>
            <w:tcW w:w="6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Employee stock purchase plan expense</w:t>
            </w:r>
          </w:p>
        </w:tc>
        <w:tc>
          <w:tcPr>
            <w:tcW w:w="700" w:type="dxa"/>
            <w:vAlign w:val="bottom"/>
          </w:tcPr>
          <w:p>
            <w:pPr>
              <w:spacing w:after="0"/>
              <w:rPr>
                <w:sz w:val="19"/>
                <w:szCs w:val="19"/>
                <w:color w:val="auto"/>
              </w:rPr>
            </w:pPr>
          </w:p>
        </w:tc>
        <w:tc>
          <w:tcPr>
            <w:tcW w:w="660" w:type="dxa"/>
            <w:vAlign w:val="bottom"/>
          </w:tcPr>
          <w:p>
            <w:pPr>
              <w:jc w:val="right"/>
              <w:ind w:right="292"/>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0.1</w:t>
            </w:r>
          </w:p>
        </w:tc>
      </w:tr>
      <w:tr>
        <w:trPr>
          <w:trHeight w:val="110"/>
        </w:trPr>
        <w:tc>
          <w:tcPr>
            <w:tcW w:w="57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16"/>
        </w:trPr>
        <w:tc>
          <w:tcPr>
            <w:tcW w:w="5720" w:type="dxa"/>
            <w:vAlign w:val="bottom"/>
          </w:tcPr>
          <w:p>
            <w:pPr>
              <w:spacing w:after="0"/>
              <w:rPr>
                <w:sz w:val="20"/>
                <w:szCs w:val="20"/>
                <w:color w:val="auto"/>
              </w:rPr>
            </w:pPr>
            <w:r>
              <w:rPr>
                <w:rFonts w:ascii="Arial" w:cs="Arial" w:eastAsia="Arial" w:hAnsi="Arial"/>
                <w:sz w:val="18"/>
                <w:szCs w:val="18"/>
                <w:b w:val="1"/>
                <w:bCs w:val="1"/>
                <w:color w:val="auto"/>
              </w:rPr>
              <w:t>Total stock-based compensation</w:t>
            </w:r>
          </w:p>
        </w:tc>
        <w:tc>
          <w:tcPr>
            <w:tcW w:w="700" w:type="dxa"/>
            <w:vAlign w:val="bottom"/>
          </w:tcPr>
          <w:p>
            <w:pPr>
              <w:jc w:val="right"/>
              <w:ind w:right="54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ind w:right="292"/>
              <w:spacing w:after="0"/>
              <w:rPr>
                <w:sz w:val="20"/>
                <w:szCs w:val="20"/>
                <w:color w:val="auto"/>
              </w:rPr>
            </w:pPr>
            <w:r>
              <w:rPr>
                <w:rFonts w:ascii="Arial" w:cs="Arial" w:eastAsia="Arial" w:hAnsi="Arial"/>
                <w:sz w:val="18"/>
                <w:szCs w:val="18"/>
                <w:b w:val="1"/>
                <w:bCs w:val="1"/>
                <w:color w:val="auto"/>
              </w:rPr>
              <w:t>5.3</w:t>
            </w:r>
          </w:p>
        </w:tc>
        <w:tc>
          <w:tcPr>
            <w:tcW w:w="6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5.5</w:t>
            </w:r>
          </w:p>
        </w:tc>
      </w:tr>
      <w:tr>
        <w:trPr>
          <w:trHeight w:val="134"/>
        </w:trPr>
        <w:tc>
          <w:tcPr>
            <w:tcW w:w="57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During each of the three months ended August 31, 2010 and 2009, shares of Common Stock issued by the Corporation pursuant to its stock-based compensation plans were not material.</w:t>
      </w:r>
    </w:p>
    <w:p>
      <w:pPr>
        <w:sectPr>
          <w:pgSz w:w="11900" w:h="16838" w:orient="portrait"/>
          <w:cols w:equalWidth="0" w:num="1">
            <w:col w:w="11460"/>
          </w:cols>
          <w:pgMar w:left="240" w:top="382" w:right="199" w:bottom="1440" w:gutter="0" w:footer="0" w:header="0"/>
        </w:sectPr>
      </w:pP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Severance</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table below provides information regarding the severance cost appearing on the Company’s condensed consolidated statements of operations associated with certain cost reduction measures.</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Accrued severance of $1.7, $3.4 and $1.4 as of August 31, 2010, May 31, 2010 and August 31, 2009, respectively, is included in “Other accrued expenses” on the Company’s condensed consolidated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040" w:type="dxa"/>
            <w:vAlign w:val="bottom"/>
            <w:gridSpan w:val="2"/>
          </w:tcPr>
          <w:p>
            <w:pPr>
              <w:jc w:val="right"/>
              <w:ind w:right="392"/>
              <w:spacing w:after="0"/>
              <w:rPr>
                <w:sz w:val="20"/>
                <w:szCs w:val="20"/>
                <w:color w:val="auto"/>
              </w:rPr>
            </w:pPr>
            <w:r>
              <w:rPr>
                <w:rFonts w:ascii="Arial" w:cs="Arial" w:eastAsia="Arial" w:hAnsi="Arial"/>
                <w:sz w:val="18"/>
                <w:szCs w:val="18"/>
                <w:b w:val="1"/>
                <w:bCs w:val="1"/>
                <w:i w:val="1"/>
                <w:iCs w:val="1"/>
                <w:color w:val="auto"/>
                <w:w w:val="86"/>
              </w:rPr>
              <w:t>Three months ended</w:t>
            </w:r>
          </w:p>
        </w:tc>
        <w:tc>
          <w:tcPr>
            <w:tcW w:w="1860" w:type="dxa"/>
            <w:vAlign w:val="bottom"/>
            <w:gridSpan w:val="2"/>
          </w:tcPr>
          <w:p>
            <w:pPr>
              <w:jc w:val="right"/>
              <w:ind w:right="172"/>
              <w:spacing w:after="0"/>
              <w:rPr>
                <w:sz w:val="20"/>
                <w:szCs w:val="20"/>
                <w:color w:val="auto"/>
              </w:rPr>
            </w:pPr>
            <w:r>
              <w:rPr>
                <w:rFonts w:ascii="Arial" w:cs="Arial" w:eastAsia="Arial" w:hAnsi="Arial"/>
                <w:sz w:val="18"/>
                <w:szCs w:val="18"/>
                <w:b w:val="1"/>
                <w:bCs w:val="1"/>
                <w:i w:val="1"/>
                <w:iCs w:val="1"/>
                <w:color w:val="auto"/>
                <w:w w:val="83"/>
              </w:rPr>
              <w:t>Twelve months ended</w:t>
            </w:r>
          </w:p>
        </w:tc>
        <w:tc>
          <w:tcPr>
            <w:tcW w:w="2020" w:type="dxa"/>
            <w:vAlign w:val="bottom"/>
            <w:gridSpan w:val="2"/>
          </w:tcPr>
          <w:p>
            <w:pPr>
              <w:jc w:val="right"/>
              <w:ind w:right="172"/>
              <w:spacing w:after="0"/>
              <w:rPr>
                <w:sz w:val="20"/>
                <w:szCs w:val="20"/>
                <w:color w:val="auto"/>
              </w:rPr>
            </w:pPr>
            <w:r>
              <w:rPr>
                <w:rFonts w:ascii="Arial" w:cs="Arial" w:eastAsia="Arial" w:hAnsi="Arial"/>
                <w:sz w:val="18"/>
                <w:szCs w:val="18"/>
                <w:b w:val="1"/>
                <w:bCs w:val="1"/>
                <w:i w:val="1"/>
                <w:iCs w:val="1"/>
                <w:color w:val="auto"/>
                <w:w w:val="98"/>
              </w:rPr>
              <w:t>Three months ended</w:t>
            </w:r>
          </w:p>
        </w:tc>
      </w:tr>
      <w:tr>
        <w:trPr>
          <w:trHeight w:val="222"/>
        </w:trPr>
        <w:tc>
          <w:tcPr>
            <w:tcW w:w="3240" w:type="dxa"/>
            <w:vAlign w:val="bottom"/>
          </w:tcPr>
          <w:p>
            <w:pPr>
              <w:spacing w:after="0"/>
              <w:rPr>
                <w:sz w:val="19"/>
                <w:szCs w:val="19"/>
                <w:color w:val="auto"/>
              </w:rPr>
            </w:pPr>
          </w:p>
        </w:tc>
        <w:tc>
          <w:tcPr>
            <w:tcW w:w="2040" w:type="dxa"/>
            <w:vAlign w:val="bottom"/>
            <w:gridSpan w:val="2"/>
          </w:tcPr>
          <w:p>
            <w:pPr>
              <w:jc w:val="right"/>
              <w:ind w:right="532"/>
              <w:spacing w:after="0"/>
              <w:rPr>
                <w:sz w:val="20"/>
                <w:szCs w:val="20"/>
                <w:color w:val="auto"/>
              </w:rPr>
            </w:pPr>
            <w:r>
              <w:rPr>
                <w:rFonts w:ascii="Arial" w:cs="Arial" w:eastAsia="Arial" w:hAnsi="Arial"/>
                <w:sz w:val="18"/>
                <w:szCs w:val="18"/>
                <w:b w:val="1"/>
                <w:bCs w:val="1"/>
                <w:i w:val="1"/>
                <w:iCs w:val="1"/>
                <w:color w:val="auto"/>
              </w:rPr>
              <w:t>August 31, 2010</w:t>
            </w:r>
          </w:p>
        </w:tc>
        <w:tc>
          <w:tcPr>
            <w:tcW w:w="1860" w:type="dxa"/>
            <w:vAlign w:val="bottom"/>
            <w:gridSpan w:val="2"/>
          </w:tcPr>
          <w:p>
            <w:pPr>
              <w:jc w:val="right"/>
              <w:ind w:right="472"/>
              <w:spacing w:after="0"/>
              <w:rPr>
                <w:sz w:val="20"/>
                <w:szCs w:val="20"/>
                <w:color w:val="auto"/>
              </w:rPr>
            </w:pPr>
            <w:r>
              <w:rPr>
                <w:rFonts w:ascii="Arial" w:cs="Arial" w:eastAsia="Arial" w:hAnsi="Arial"/>
                <w:sz w:val="18"/>
                <w:szCs w:val="18"/>
                <w:b w:val="1"/>
                <w:bCs w:val="1"/>
                <w:i w:val="1"/>
                <w:iCs w:val="1"/>
                <w:color w:val="auto"/>
              </w:rPr>
              <w:t>May 31, 2010</w:t>
            </w:r>
          </w:p>
        </w:tc>
        <w:tc>
          <w:tcPr>
            <w:tcW w:w="2020" w:type="dxa"/>
            <w:vAlign w:val="bottom"/>
            <w:gridSpan w:val="2"/>
          </w:tcPr>
          <w:p>
            <w:pPr>
              <w:jc w:val="right"/>
              <w:ind w:right="332"/>
              <w:spacing w:after="0"/>
              <w:rPr>
                <w:sz w:val="20"/>
                <w:szCs w:val="20"/>
                <w:color w:val="auto"/>
              </w:rPr>
            </w:pPr>
            <w:r>
              <w:rPr>
                <w:rFonts w:ascii="Arial" w:cs="Arial" w:eastAsia="Arial" w:hAnsi="Arial"/>
                <w:sz w:val="18"/>
                <w:szCs w:val="18"/>
                <w:b w:val="1"/>
                <w:bCs w:val="1"/>
                <w:i w:val="1"/>
                <w:iCs w:val="1"/>
                <w:color w:val="auto"/>
              </w:rPr>
              <w:t>August 31, 2009</w:t>
            </w:r>
          </w:p>
        </w:tc>
      </w:tr>
      <w:tr>
        <w:trPr>
          <w:trHeight w:val="110"/>
        </w:trPr>
        <w:tc>
          <w:tcPr>
            <w:tcW w:w="3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09"/>
        </w:trPr>
        <w:tc>
          <w:tcPr>
            <w:tcW w:w="3240" w:type="dxa"/>
            <w:vAlign w:val="bottom"/>
          </w:tcPr>
          <w:p>
            <w:pPr>
              <w:spacing w:after="0"/>
              <w:rPr>
                <w:sz w:val="20"/>
                <w:szCs w:val="20"/>
                <w:color w:val="auto"/>
              </w:rPr>
            </w:pPr>
            <w:r>
              <w:rPr>
                <w:rFonts w:ascii="Arial" w:cs="Arial" w:eastAsia="Arial" w:hAnsi="Arial"/>
                <w:sz w:val="18"/>
                <w:szCs w:val="18"/>
                <w:color w:val="auto"/>
              </w:rPr>
              <w:t>Beginning balance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852"/>
              <w:spacing w:after="0"/>
              <w:rPr>
                <w:sz w:val="20"/>
                <w:szCs w:val="20"/>
                <w:color w:val="auto"/>
              </w:rPr>
            </w:pPr>
            <w:r>
              <w:rPr>
                <w:rFonts w:ascii="Arial" w:cs="Arial" w:eastAsia="Arial" w:hAnsi="Arial"/>
                <w:sz w:val="18"/>
                <w:szCs w:val="18"/>
                <w:color w:val="auto"/>
              </w:rPr>
              <w:t>3.4</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672"/>
              <w:spacing w:after="0"/>
              <w:rPr>
                <w:sz w:val="20"/>
                <w:szCs w:val="20"/>
                <w:color w:val="auto"/>
              </w:rPr>
            </w:pPr>
            <w:r>
              <w:rPr>
                <w:rFonts w:ascii="Arial" w:cs="Arial" w:eastAsia="Arial" w:hAnsi="Arial"/>
                <w:sz w:val="18"/>
                <w:szCs w:val="18"/>
                <w:color w:val="auto"/>
              </w:rPr>
              <w:t>3.4</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632"/>
              <w:spacing w:after="0"/>
              <w:rPr>
                <w:sz w:val="20"/>
                <w:szCs w:val="20"/>
                <w:color w:val="auto"/>
              </w:rPr>
            </w:pPr>
            <w:r>
              <w:rPr>
                <w:rFonts w:ascii="Arial" w:cs="Arial" w:eastAsia="Arial" w:hAnsi="Arial"/>
                <w:sz w:val="18"/>
                <w:szCs w:val="18"/>
                <w:color w:val="auto"/>
              </w:rPr>
              <w:t>3.4</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Accruals</w:t>
            </w:r>
          </w:p>
        </w:tc>
        <w:tc>
          <w:tcPr>
            <w:tcW w:w="660" w:type="dxa"/>
            <w:vAlign w:val="bottom"/>
          </w:tcPr>
          <w:p>
            <w:pPr>
              <w:spacing w:after="0"/>
              <w:rPr>
                <w:sz w:val="18"/>
                <w:szCs w:val="18"/>
                <w:color w:val="auto"/>
              </w:rPr>
            </w:pPr>
          </w:p>
        </w:tc>
        <w:tc>
          <w:tcPr>
            <w:tcW w:w="1380" w:type="dxa"/>
            <w:vAlign w:val="bottom"/>
          </w:tcPr>
          <w:p>
            <w:pPr>
              <w:jc w:val="right"/>
              <w:ind w:right="852"/>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18"/>
                <w:szCs w:val="18"/>
                <w:color w:val="auto"/>
              </w:rPr>
            </w:pPr>
          </w:p>
        </w:tc>
        <w:tc>
          <w:tcPr>
            <w:tcW w:w="1200" w:type="dxa"/>
            <w:vAlign w:val="bottom"/>
          </w:tcPr>
          <w:p>
            <w:pPr>
              <w:jc w:val="right"/>
              <w:ind w:right="672"/>
              <w:spacing w:after="0"/>
              <w:rPr>
                <w:sz w:val="20"/>
                <w:szCs w:val="20"/>
                <w:color w:val="auto"/>
              </w:rPr>
            </w:pPr>
            <w:r>
              <w:rPr>
                <w:rFonts w:ascii="Arial" w:cs="Arial" w:eastAsia="Arial" w:hAnsi="Arial"/>
                <w:sz w:val="18"/>
                <w:szCs w:val="18"/>
                <w:color w:val="auto"/>
              </w:rPr>
              <w:t>9.2</w:t>
            </w:r>
          </w:p>
        </w:tc>
        <w:tc>
          <w:tcPr>
            <w:tcW w:w="920" w:type="dxa"/>
            <w:vAlign w:val="bottom"/>
          </w:tcPr>
          <w:p>
            <w:pPr>
              <w:spacing w:after="0"/>
              <w:rPr>
                <w:sz w:val="18"/>
                <w:szCs w:val="18"/>
                <w:color w:val="auto"/>
              </w:rPr>
            </w:pPr>
          </w:p>
        </w:tc>
        <w:tc>
          <w:tcPr>
            <w:tcW w:w="1100" w:type="dxa"/>
            <w:vAlign w:val="bottom"/>
          </w:tcPr>
          <w:p>
            <w:pPr>
              <w:jc w:val="right"/>
              <w:ind w:right="632"/>
              <w:spacing w:after="0"/>
              <w:rPr>
                <w:sz w:val="20"/>
                <w:szCs w:val="20"/>
                <w:color w:val="auto"/>
              </w:rPr>
            </w:pPr>
            <w:r>
              <w:rPr>
                <w:rFonts w:ascii="Arial" w:cs="Arial" w:eastAsia="Arial" w:hAnsi="Arial"/>
                <w:sz w:val="18"/>
                <w:szCs w:val="18"/>
                <w:color w:val="auto"/>
              </w:rPr>
              <w:t>4.3</w:t>
            </w: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Payments</w:t>
            </w:r>
          </w:p>
        </w:tc>
        <w:tc>
          <w:tcPr>
            <w:tcW w:w="660" w:type="dxa"/>
            <w:vAlign w:val="bottom"/>
          </w:tcPr>
          <w:p>
            <w:pPr>
              <w:spacing w:after="0"/>
              <w:rPr>
                <w:sz w:val="19"/>
                <w:szCs w:val="19"/>
                <w:color w:val="auto"/>
              </w:rPr>
            </w:pPr>
          </w:p>
        </w:tc>
        <w:tc>
          <w:tcPr>
            <w:tcW w:w="1380" w:type="dxa"/>
            <w:vAlign w:val="bottom"/>
          </w:tcPr>
          <w:p>
            <w:pPr>
              <w:jc w:val="right"/>
              <w:ind w:right="792"/>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19"/>
                <w:szCs w:val="19"/>
                <w:color w:val="auto"/>
              </w:rPr>
            </w:pPr>
          </w:p>
        </w:tc>
        <w:tc>
          <w:tcPr>
            <w:tcW w:w="1200" w:type="dxa"/>
            <w:vAlign w:val="bottom"/>
          </w:tcPr>
          <w:p>
            <w:pPr>
              <w:jc w:val="right"/>
              <w:ind w:right="612"/>
              <w:spacing w:after="0"/>
              <w:rPr>
                <w:sz w:val="20"/>
                <w:szCs w:val="20"/>
                <w:color w:val="auto"/>
              </w:rPr>
            </w:pPr>
            <w:r>
              <w:rPr>
                <w:rFonts w:ascii="Arial" w:cs="Arial" w:eastAsia="Arial" w:hAnsi="Arial"/>
                <w:sz w:val="18"/>
                <w:szCs w:val="18"/>
                <w:color w:val="auto"/>
              </w:rPr>
              <w:t>(9.2)</w:t>
            </w:r>
          </w:p>
        </w:tc>
        <w:tc>
          <w:tcPr>
            <w:tcW w:w="920" w:type="dxa"/>
            <w:vAlign w:val="bottom"/>
          </w:tcPr>
          <w:p>
            <w:pPr>
              <w:spacing w:after="0"/>
              <w:rPr>
                <w:sz w:val="19"/>
                <w:szCs w:val="19"/>
                <w:color w:val="auto"/>
              </w:rPr>
            </w:pPr>
          </w:p>
        </w:tc>
        <w:tc>
          <w:tcPr>
            <w:tcW w:w="1100" w:type="dxa"/>
            <w:vAlign w:val="bottom"/>
          </w:tcPr>
          <w:p>
            <w:pPr>
              <w:jc w:val="right"/>
              <w:ind w:right="572"/>
              <w:spacing w:after="0"/>
              <w:rPr>
                <w:sz w:val="20"/>
                <w:szCs w:val="20"/>
                <w:color w:val="auto"/>
              </w:rPr>
            </w:pPr>
            <w:r>
              <w:rPr>
                <w:rFonts w:ascii="Arial" w:cs="Arial" w:eastAsia="Arial" w:hAnsi="Arial"/>
                <w:sz w:val="18"/>
                <w:szCs w:val="18"/>
                <w:color w:val="auto"/>
              </w:rPr>
              <w:t>(6.3)</w:t>
            </w:r>
          </w:p>
        </w:tc>
      </w:tr>
      <w:tr>
        <w:trPr>
          <w:trHeight w:val="110"/>
        </w:trPr>
        <w:tc>
          <w:tcPr>
            <w:tcW w:w="3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16"/>
        </w:trPr>
        <w:tc>
          <w:tcPr>
            <w:tcW w:w="3240" w:type="dxa"/>
            <w:vAlign w:val="bottom"/>
          </w:tcPr>
          <w:p>
            <w:pPr>
              <w:ind w:left="160"/>
              <w:spacing w:after="0"/>
              <w:rPr>
                <w:sz w:val="20"/>
                <w:szCs w:val="20"/>
                <w:color w:val="auto"/>
              </w:rPr>
            </w:pPr>
            <w:r>
              <w:rPr>
                <w:rFonts w:ascii="Arial" w:cs="Arial" w:eastAsia="Arial" w:hAnsi="Arial"/>
                <w:sz w:val="18"/>
                <w:szCs w:val="18"/>
                <w:b w:val="1"/>
                <w:bCs w:val="1"/>
                <w:color w:val="auto"/>
              </w:rPr>
              <w:t>Ending balance</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852"/>
              <w:spacing w:after="0"/>
              <w:rPr>
                <w:sz w:val="20"/>
                <w:szCs w:val="20"/>
                <w:color w:val="auto"/>
              </w:rPr>
            </w:pPr>
            <w:r>
              <w:rPr>
                <w:rFonts w:ascii="Arial" w:cs="Arial" w:eastAsia="Arial" w:hAnsi="Arial"/>
                <w:sz w:val="18"/>
                <w:szCs w:val="18"/>
                <w:b w:val="1"/>
                <w:bCs w:val="1"/>
                <w:color w:val="auto"/>
              </w:rPr>
              <w:t>1.7</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672"/>
              <w:spacing w:after="0"/>
              <w:rPr>
                <w:sz w:val="20"/>
                <w:szCs w:val="20"/>
                <w:color w:val="auto"/>
              </w:rPr>
            </w:pPr>
            <w:r>
              <w:rPr>
                <w:rFonts w:ascii="Arial" w:cs="Arial" w:eastAsia="Arial" w:hAnsi="Arial"/>
                <w:sz w:val="18"/>
                <w:szCs w:val="18"/>
                <w:b w:val="1"/>
                <w:bCs w:val="1"/>
                <w:color w:val="auto"/>
              </w:rPr>
              <w:t>3.4</w:t>
            </w: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632"/>
              <w:spacing w:after="0"/>
              <w:rPr>
                <w:sz w:val="20"/>
                <w:szCs w:val="20"/>
                <w:color w:val="auto"/>
              </w:rPr>
            </w:pPr>
            <w:r>
              <w:rPr>
                <w:rFonts w:ascii="Arial" w:cs="Arial" w:eastAsia="Arial" w:hAnsi="Arial"/>
                <w:sz w:val="18"/>
                <w:szCs w:val="18"/>
                <w:b w:val="1"/>
                <w:bCs w:val="1"/>
                <w:color w:val="auto"/>
              </w:rPr>
              <w:t>1.4</w:t>
            </w:r>
          </w:p>
        </w:tc>
      </w:tr>
      <w:tr>
        <w:trPr>
          <w:trHeight w:val="134"/>
        </w:trPr>
        <w:tc>
          <w:tcPr>
            <w:tcW w:w="32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Treasury Stock</w:t>
      </w:r>
    </w:p>
    <w:p>
      <w:pPr>
        <w:spacing w:after="0" w:line="2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December 16, 2009, the Company announced that its Board of Directors had authorized a further program to repurchase up to $20.0 of its Common Stock, from time to time as conditions allow, on the open market or in negotiated private transactions. The repurchase program may be suspended at any time without prior notice. During the three months ended August 31, 2010, the Company repurchased 388,426 shares on the open market for approximately $9.7 at an average cost of $24.98 per share. See Part II, “Other Information, Item 2. Unregistered Sales of Equity Securities and Use of Proceeds.” As of August 31, 2010, $0.5 remains available for future purchases.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accounting standard regarding fair value measurements requires that the Company determine the appropriate level in the fair value hierarchy for each fair value measurement. The fair value hierarchy prioritizes the inputs, which refer to assumptions that market participants would use in pricing an asset or liability, based upon the highest and best use, into three levels as follows:</w:t>
      </w:r>
    </w:p>
    <w:p>
      <w:pPr>
        <w:spacing w:after="0" w:line="208" w:lineRule="exact"/>
        <w:rPr>
          <w:sz w:val="20"/>
          <w:szCs w:val="20"/>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for identical assets or liabilities at the measurement date.</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Observable inputs other than unadjusted quoted prices in active markets for identical assets or liabilities such as</w:t>
      </w:r>
    </w:p>
    <w:p>
      <w:pPr>
        <w:spacing w:after="0" w:line="15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Quoted prices for similar assets or liabilities in active markets</w:t>
      </w:r>
    </w:p>
    <w:p>
      <w:pPr>
        <w:spacing w:after="0" w:line="1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Inputs that are derived principally from or corroborated by observable market data by correlation or other means</w:t>
      </w:r>
    </w:p>
    <w:p>
      <w:pPr>
        <w:spacing w:after="0" w:line="151" w:lineRule="exact"/>
        <w:rPr>
          <w:rFonts w:ascii="Arial" w:cs="Arial" w:eastAsia="Arial" w:hAnsi="Arial"/>
          <w:sz w:val="18"/>
          <w:szCs w:val="18"/>
          <w:color w:val="auto"/>
        </w:rPr>
      </w:pPr>
    </w:p>
    <w:p>
      <w:pPr>
        <w:ind w:left="920" w:right="140" w:hanging="453"/>
        <w:spacing w:after="0" w:line="268"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Unobservable inputs in which there is little or no market data available, which are significant to the fair value measurement and require the Company to develop its own assumptions.</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financial assets and liabilities measured at fair value consisted of cash and cash equivalents, debt and foreign currency forward contracts, which were not material as of the reporting date. Cash and cash equivalents are comprised of bank deposits and short-term investments, such as money market funds, the fair value of which is based on quoted market prices, a Level 1 fair value measure. The Company employs Level 2 fair value measurements for the disclosure of the fair value of its 5% Notes and its various lines of credit. See Note 4, “Debt,” for a more complete description of fair value measurements employed. The fair values of foreign currency forward contracts, used by the Company to manage the impact of foreign exchange rate changes to the financial statements, are based on quotations from financial institutions, a Level 2 fair value measure. See Note 15, “Derivatives and Hedging,” for a more complete description of fair value measurements employed.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Non financial assets and liabilities for which the Company employs fair value measures on a non-recurring basis include:</w:t>
      </w:r>
    </w:p>
    <w:p>
      <w:pPr>
        <w:spacing w:after="0" w:line="239" w:lineRule="exact"/>
        <w:rPr>
          <w:sz w:val="20"/>
          <w:szCs w:val="20"/>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15"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assets acquired in a business combination</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and indefinite-lived intangible assets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long-lived assets held for sale</w:t>
      </w:r>
    </w:p>
    <w:p>
      <w:pPr>
        <w:spacing w:after="0" w:line="219"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Level 2 and Level 3 inputs are employed by the Company in the fair value measurement of these assets and liabilities. In fiscal 2010, the Company recognized impairments of indefinite-lived and long-lived assets totaling $43.1. The Company used Level 3 inputs in its determination of the fair value of these impaired assets. See Note 7, “Goodwill and Other Intangibles,” for a discussion of the fair value measures employed in these asset impairment analyses.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calculates its interim income tax provision in accordance with current authoritative accounting guidance. In calculating the provision for income taxes on an interim basis, the Company uses an estimate of the annual effective tax rate based upon the facts and circumstances known and applies that rate to its ordinary year to 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w:t>
      </w:r>
    </w:p>
    <w:p>
      <w:pPr>
        <w:spacing w:after="0" w:line="17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Company’s annual effective tax rate for the fiscal year ending May 31, 2011 is currently expected to be approximately 43%. The Company’s expected full year effective tax rate exceeds statutory rates primarily as a result of net operating losses in foreign jurisdictions, mainly in the United Kingdom, where the Company does not expect to realize future tax benefits. As a result, valuation allowances are provided for the net operating loss carry forwards in these jurisdictions.</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recognizes tax benefits of uncertain tax positions in accordance with the current accounting guidance pertaining to uncertainty in income taxes. The Company does not currently anticipate a material change to its unrecognized tax benefits within twelve months of August 31, 2010; notwithstanding changes expected to result from the settlement of the IRS examination for fiscal years ended May 31, 2003 through 2006. However, actual developments can change these expectations, including the final terms of settlement of such audit.</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Corporation, including its domestic subsidiaries, files a consolidated U.S. income tax return, and also files tax returns in various states and other local jurisdictions. Also, certain subsidiaries of the Corporation file income tax returns in foreign jurisdictions. The Company is routinely audited by various tax authorities. The Company is currently under audit by both New York State and New York City for its fiscal years ended May 31, 2002 through 2004. It is possible that state and foreign tax examinations will be settled during the next twelve months. If any of these tax examinations are settled within that period, the Company will make any necessary adjustments to its unrecognized tax benefits.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Derivatives and Hedging</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enters into foreign currency derivative contracts to economically hedge the exposure to foreign currency fluctuations associated with the forecasted purchase of inventory. These derivative contracts are economic hedges and are not designated as cash flow hedges. The Company marks-to-market these instruments and records the changes in the fair value of these items in current earnings and the unrealized gain or loss is recognized in other current liabilities. Unrealized gains of $0.8 were recognized at August 31, 2010 and unrealized losses of $2.8 were recognized at August 31, 2009.</w:t>
      </w:r>
    </w:p>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also enters into foreign currency derivative contracts to hedge the foreign exchange risk associated with certain receivables denominated in foreign currencies. The Company marks-to-market these instruments and records the changes in the fair value of these items in current earnings offsetting the foreign exchange gains and losses arising from the effect of changes in exchange rates used to measure the related assets. Unrealized gains related to these derivatives were $0.2 and $0.1 at August 31, 2010 and 2009, respectively.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3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September 22, 2010, the Company announced that the Board of Directors declared a cash dividend of $0.075 per Class A and Common share in respect of the second quarter of fiscal 2011. The dividend is payable on December 15, 2010 to shareholders of record as on November 15, 2010.</w:t>
      </w:r>
    </w:p>
    <w:p>
      <w:pPr>
        <w:spacing w:after="0" w:line="13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On September 23, 2010, the Company announced its intention to proceed with a “Dutch auction” style tender offer (the “Tender Offer”) to acquire up to $150 million of its common shares, to be funded from available cash, initially including temporarily drawing on the Company’s existing credit facility. The Tender Offer was commenced on September 28, 2010, pursuant to which the Company has offered to acquire up to $150 million of its common shares at not less than a minimum price of $27.00 per share and not more that a maximum price of $31.00 per share. The Tender Offer is only being made pursuant to the offering materials and related documentation as filed with the SEC, to which reference is hereby made.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382"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first quarter is generally its smallest revenue period as most schools are not in session, resulting in a seasonal loss.</w:t>
      </w:r>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Revenue in the fiscal 2011 first quarter was $290.9 million versus $315.6 million in the prior year period. While technology product sales in the </w:t>
      </w:r>
      <w:r>
        <w:rPr>
          <w:rFonts w:ascii="Arial" w:cs="Arial" w:eastAsia="Arial" w:hAnsi="Arial"/>
          <w:sz w:val="16"/>
          <w:szCs w:val="16"/>
          <w:i w:val="1"/>
          <w:iCs w:val="1"/>
          <w:color w:val="auto"/>
        </w:rPr>
        <w:t>Educational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Publishing </w:t>
      </w:r>
      <w:r>
        <w:rPr>
          <w:rFonts w:ascii="Arial" w:cs="Arial" w:eastAsia="Arial" w:hAnsi="Arial"/>
          <w:sz w:val="16"/>
          <w:szCs w:val="16"/>
          <w:color w:val="auto"/>
        </w:rPr>
        <w:t>segment declined in the fiscal 2011 first quarter, compared to a year ago when the Company benefited significantly from the initial disbursement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federal stimulus funding, this was partially offset in the current quarter by higher recurring and service revenues, generated through a larger customer base. In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revenue in the trade business increased approximately 9% in the quarter, driven by the release of Suzanne Collins’</w:t>
      </w:r>
      <w:r>
        <w:rPr>
          <w:rFonts w:ascii="Arial" w:cs="Arial" w:eastAsia="Arial" w:hAnsi="Arial"/>
          <w:sz w:val="16"/>
          <w:szCs w:val="16"/>
          <w:i w:val="1"/>
          <w:iCs w:val="1"/>
          <w:color w:val="auto"/>
        </w:rPr>
        <w:t xml:space="preserve"> Mockingjay, </w:t>
      </w:r>
      <w:r>
        <w:rPr>
          <w:rFonts w:ascii="Arial" w:cs="Arial" w:eastAsia="Arial" w:hAnsi="Arial"/>
          <w:sz w:val="16"/>
          <w:szCs w:val="16"/>
          <w:color w:val="auto"/>
        </w:rPr>
        <w:t>which completed</w:t>
      </w:r>
      <w:r>
        <w:rPr>
          <w:rFonts w:ascii="Arial" w:cs="Arial" w:eastAsia="Arial" w:hAnsi="Arial"/>
          <w:sz w:val="16"/>
          <w:szCs w:val="16"/>
          <w:i w:val="1"/>
          <w:iCs w:val="1"/>
          <w:color w:val="auto"/>
        </w:rPr>
        <w:t xml:space="preserve"> The Hunger Games </w:t>
      </w:r>
      <w:r>
        <w:rPr>
          <w:rFonts w:ascii="Arial" w:cs="Arial" w:eastAsia="Arial" w:hAnsi="Arial"/>
          <w:sz w:val="16"/>
          <w:szCs w:val="16"/>
          <w:color w:val="auto"/>
        </w:rPr>
        <w:t>trilogy.</w:t>
      </w:r>
    </w:p>
    <w:p>
      <w:pPr>
        <w:spacing w:after="0" w:line="170"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The net loss for the quarter was $35.2 million, compared to $23.0 million in the prior fiscal year quarter. During the first quarter, the Company increased its technology spending as it invested in children’s books’ key digital opportunities, e-commerce and e-books. Despite this increase, Selling, general and administrative expenses were generally flat as the Company continued to tightly manage costs in other areas.</w:t>
      </w:r>
    </w:p>
    <w:p>
      <w:pPr>
        <w:spacing w:after="0" w:line="16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 on track to sustain last year’s strong performance, while investing in long-term growth opportunities. During this fiscal year, the Company expects federal funding, while lower overall, to primarily benefit later quarters as Race to the Top and School Improvement Grants begin reaching schools this fall. The Company plans to continue investing in digital growth initiatives and anticipates launching a children’s ebook offering by the end of the fiscal year. For fiscal 2011, the Company continues to anticipate total revenue of approximately $1.9 to $2.0 billion and earnings per diluted share from continuing operations in the range of $1.95 to $2.20, before the impact of any one-time items associated with cost reductions or non-cash, non-operating items. The Company continues to expect free cash flow of approximately $90 to $100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 and Discontinued Operations</w:t>
      </w:r>
    </w:p>
    <w:p>
      <w:pPr>
        <w:spacing w:after="0" w:line="23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Revenues for the quarter ended August 31, 2010 decreased by $24.7 million, or 7.8%, to $290.9 million, compared to $315.6 million in the prior fiscal year quarter. This was due to lower revenues in the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and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segments of $30.1 million and $3.4 million, respectively, partially offset by higher revenues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and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segments of $6.3 million and $2.5 million, respectively.</w:t>
      </w:r>
    </w:p>
    <w:p>
      <w:pPr>
        <w:spacing w:after="0" w:line="19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Cost of goods sold as a percentage of revenue for the quarter ended August 31, 2010 increased slightly to 50.8%, compared to 50.2% in the prior fiscal year quarter, primarily due to a decrease in sales of higher margin product in the current year in the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 Components of Cost of goods sold for the three months ended August 31, 2010 and 2009 are as follows:</w:t>
      </w:r>
    </w:p>
    <w:p>
      <w:pPr>
        <w:spacing w:after="0" w:line="208" w:lineRule="exact"/>
        <w:rPr>
          <w:sz w:val="20"/>
          <w:szCs w:val="20"/>
          <w:color w:val="auto"/>
        </w:rPr>
      </w:pPr>
    </w:p>
    <w:p>
      <w:pPr>
        <w:ind w:left="7040"/>
        <w:spacing w:after="0"/>
        <w:rPr>
          <w:sz w:val="20"/>
          <w:szCs w:val="20"/>
          <w:color w:val="auto"/>
        </w:rPr>
      </w:pPr>
      <w:r>
        <w:rPr>
          <w:rFonts w:ascii="Arial" w:cs="Arial" w:eastAsia="Arial" w:hAnsi="Arial"/>
          <w:sz w:val="18"/>
          <w:szCs w:val="18"/>
          <w:b w:val="1"/>
          <w:bCs w:val="1"/>
          <w:i w:val="1"/>
          <w:i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1747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ind w:right="472"/>
              <w:spacing w:after="0"/>
              <w:rPr>
                <w:sz w:val="20"/>
                <w:szCs w:val="20"/>
                <w:color w:val="auto"/>
              </w:rPr>
            </w:pPr>
            <w:r>
              <w:rPr>
                <w:rFonts w:ascii="Arial" w:cs="Arial" w:eastAsia="Arial" w:hAnsi="Arial"/>
                <w:sz w:val="18"/>
                <w:szCs w:val="18"/>
                <w:b w:val="1"/>
                <w:bCs w:val="1"/>
                <w:color w:val="auto"/>
              </w:rPr>
              <w:t>2009</w:t>
            </w:r>
          </w:p>
        </w:tc>
      </w:tr>
      <w:tr>
        <w:trPr>
          <w:trHeight w:val="110"/>
        </w:trPr>
        <w:tc>
          <w:tcPr>
            <w:tcW w:w="538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09"/>
        </w:trPr>
        <w:tc>
          <w:tcPr>
            <w:tcW w:w="5380" w:type="dxa"/>
            <w:vAlign w:val="bottom"/>
          </w:tcPr>
          <w:p>
            <w:pPr>
              <w:spacing w:after="0"/>
              <w:rPr>
                <w:sz w:val="20"/>
                <w:szCs w:val="20"/>
                <w:color w:val="auto"/>
              </w:rPr>
            </w:pPr>
            <w:r>
              <w:rPr>
                <w:rFonts w:ascii="Arial" w:cs="Arial" w:eastAsia="Arial" w:hAnsi="Arial"/>
                <w:sz w:val="18"/>
                <w:szCs w:val="18"/>
                <w:color w:val="auto"/>
              </w:rPr>
              <w:t>Product, service and production costs</w:t>
            </w:r>
          </w:p>
        </w:tc>
        <w:tc>
          <w:tcPr>
            <w:tcW w:w="228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70.4</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81.0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Royalty costs</w:t>
            </w:r>
          </w:p>
        </w:tc>
        <w:tc>
          <w:tcPr>
            <w:tcW w:w="2280" w:type="dxa"/>
            <w:vAlign w:val="bottom"/>
          </w:tcPr>
          <w:p>
            <w:pPr>
              <w:spacing w:after="0"/>
              <w:rPr>
                <w:sz w:val="18"/>
                <w:szCs w:val="18"/>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17.9</w:t>
            </w:r>
          </w:p>
        </w:tc>
        <w:tc>
          <w:tcPr>
            <w:tcW w:w="42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19.0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Prepublication and production amortization</w:t>
            </w:r>
          </w:p>
        </w:tc>
        <w:tc>
          <w:tcPr>
            <w:tcW w:w="2280" w:type="dxa"/>
            <w:vAlign w:val="bottom"/>
          </w:tcPr>
          <w:p>
            <w:pPr>
              <w:spacing w:after="0"/>
              <w:rPr>
                <w:sz w:val="18"/>
                <w:szCs w:val="18"/>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12.1</w:t>
            </w:r>
          </w:p>
        </w:tc>
        <w:tc>
          <w:tcPr>
            <w:tcW w:w="42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12.1</w:t>
            </w: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Postage, freight, shipping, fulfillment and all other costs</w:t>
            </w:r>
          </w:p>
        </w:tc>
        <w:tc>
          <w:tcPr>
            <w:tcW w:w="228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47.3</w:t>
            </w:r>
          </w:p>
        </w:tc>
        <w:tc>
          <w:tcPr>
            <w:tcW w:w="42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46.2</w:t>
            </w:r>
          </w:p>
        </w:tc>
      </w:tr>
      <w:tr>
        <w:trPr>
          <w:trHeight w:val="110"/>
        </w:trPr>
        <w:tc>
          <w:tcPr>
            <w:tcW w:w="538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6"/>
        </w:trPr>
        <w:tc>
          <w:tcPr>
            <w:tcW w:w="53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80" w:type="dxa"/>
            <w:vAlign w:val="bottom"/>
          </w:tcPr>
          <w:p>
            <w:pPr>
              <w:jc w:val="right"/>
              <w:ind w:right="69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b w:val="1"/>
                <w:bCs w:val="1"/>
                <w:color w:val="auto"/>
                <w:w w:val="93"/>
              </w:rPr>
              <w:t>147.7</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158.3</w:t>
            </w:r>
          </w:p>
        </w:tc>
      </w:tr>
      <w:tr>
        <w:trPr>
          <w:trHeight w:val="134"/>
        </w:trPr>
        <w:tc>
          <w:tcPr>
            <w:tcW w:w="538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Selling, general and administrative expenses decreased slightly to $170.6 million in the quarter, or 58.6% of revenue, compared to $171.5 million, or 54.3% of revenue, in the prior fiscal year quarter, due to lower employee-related expenses.</w:t>
      </w:r>
    </w:p>
    <w:p>
      <w:pPr>
        <w:spacing w:after="0" w:line="18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 xml:space="preserve">Bad debt expense increased to $2.9 million for the quarter ended August 31, 2010, compared to $2.1 million in the prior fiscal year quarter, primarily in the </w:t>
      </w: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segment.</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Severance expense decreased to $2.1 million for the quarter ended August 31, 2010, compared to $4.3 million in the prior fiscal year quarter when the Company was implementing its cost reduction plans.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resulting operating loss for the quarter ended August 31, 2010 was $46.8 million, compared to $35.3 million in the prior fiscal year quarter.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Net interest expense decreased slightly to $3.8 million in the quarter ended August 31, 2010, compared to $3.9 million in the prior fiscal year quarter, due to lower average borrowings.</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loss from continuing operations resulted in an effective tax rate of 32.4% and 35.8% for the fiscal quarters ended August 31, 2010 and 2009, respectively. Significant factors that may impact the effective tax rate include changes in the Company’s assessment of certain tax contingencies and the mix of earnings among the Company’s U.S. and international operations.</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loss from continuing operations was $34.2 million, or $0.95 per share, for the quarter ended August 31, 2010, compared to a loss of $24.6 million, or $0.68 per share, in the prior fiscal year quarter.</w:t>
      </w:r>
    </w:p>
    <w:p>
      <w:pPr>
        <w:spacing w:after="0" w:line="186"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color w:val="auto"/>
        </w:rPr>
        <w:t>The loss from discontinued operations, net of tax, was $1.0 million, or $0.03 per share, for the quarter ended August 31, 2010, compared to income from discontinued operations of $1.6 million, or $0.05 per share, in the prior fiscal year quarter. The prior year reflects favorable accounts receivable collections.</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net loss was $35.2 million, or $0.98 per share, for the quarter ended August 31, 2010, compared to a net loss of $23.0 million, or $0.63 per share, in the prior fiscal year quarter.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20"/>
                <w:szCs w:val="20"/>
                <w:color w:val="auto"/>
              </w:rPr>
            </w:pPr>
            <w:r>
              <w:rPr>
                <w:rFonts w:ascii="Arial" w:cs="Arial" w:eastAsia="Arial" w:hAnsi="Arial"/>
                <w:sz w:val="18"/>
                <w:szCs w:val="18"/>
                <w:b w:val="1"/>
                <w:bCs w:val="1"/>
                <w:color w:val="auto"/>
              </w:rPr>
              <w:t>Results of Continuing Operations</w:t>
            </w:r>
          </w:p>
        </w:tc>
        <w:tc>
          <w:tcPr>
            <w:tcW w:w="2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2"/>
        </w:trPr>
        <w:tc>
          <w:tcPr>
            <w:tcW w:w="5280" w:type="dxa"/>
            <w:vAlign w:val="bottom"/>
          </w:tcPr>
          <w:p>
            <w:pPr>
              <w:spacing w:after="0"/>
              <w:rPr>
                <w:sz w:val="20"/>
                <w:szCs w:val="20"/>
                <w:color w:val="auto"/>
              </w:rPr>
            </w:pPr>
            <w:r>
              <w:rPr>
                <w:rFonts w:ascii="Arial" w:cs="Arial" w:eastAsia="Arial" w:hAnsi="Arial"/>
                <w:sz w:val="18"/>
                <w:szCs w:val="18"/>
                <w:b w:val="1"/>
                <w:bCs w:val="1"/>
                <w:i w:val="1"/>
                <w:iCs w:val="1"/>
                <w:color w:val="auto"/>
              </w:rPr>
              <w:t>Children’s Book Publishing and Distribution</w:t>
            </w:r>
          </w:p>
        </w:tc>
        <w:tc>
          <w:tcPr>
            <w:tcW w:w="2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9"/>
        </w:trPr>
        <w:tc>
          <w:tcPr>
            <w:tcW w:w="5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20" w:type="dxa"/>
            <w:vAlign w:val="bottom"/>
            <w:gridSpan w:val="3"/>
          </w:tcPr>
          <w:p>
            <w:pPr>
              <w:jc w:val="center"/>
              <w:ind w:right="252"/>
              <w:spacing w:after="0"/>
              <w:rPr>
                <w:sz w:val="20"/>
                <w:szCs w:val="20"/>
                <w:color w:val="auto"/>
              </w:rPr>
            </w:pPr>
            <w:r>
              <w:rPr>
                <w:rFonts w:ascii="Arial" w:cs="Arial" w:eastAsia="Arial" w:hAnsi="Arial"/>
                <w:sz w:val="18"/>
                <w:szCs w:val="18"/>
                <w:b w:val="1"/>
                <w:bCs w:val="1"/>
                <w:i w:val="1"/>
                <w:iCs w:val="1"/>
                <w:color w:val="auto"/>
                <w:w w:val="83"/>
              </w:rPr>
              <w:t>Three months ended</w:t>
            </w:r>
          </w:p>
        </w:tc>
      </w:tr>
      <w:tr>
        <w:trPr>
          <w:trHeight w:val="222"/>
        </w:trPr>
        <w:tc>
          <w:tcPr>
            <w:tcW w:w="528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240" w:type="dxa"/>
            <w:vAlign w:val="bottom"/>
          </w:tcPr>
          <w:p>
            <w:pPr>
              <w:spacing w:after="0"/>
              <w:rPr>
                <w:sz w:val="19"/>
                <w:szCs w:val="19"/>
                <w:color w:val="auto"/>
              </w:rPr>
            </w:pPr>
          </w:p>
        </w:tc>
        <w:tc>
          <w:tcPr>
            <w:tcW w:w="1360" w:type="dxa"/>
            <w:vAlign w:val="bottom"/>
            <w:gridSpan w:val="2"/>
          </w:tcPr>
          <w:p>
            <w:pPr>
              <w:jc w:val="center"/>
              <w:ind w:left="412"/>
              <w:spacing w:after="0"/>
              <w:rPr>
                <w:sz w:val="20"/>
                <w:szCs w:val="20"/>
                <w:color w:val="auto"/>
              </w:rPr>
            </w:pPr>
            <w:r>
              <w:rPr>
                <w:rFonts w:ascii="Arial" w:cs="Arial" w:eastAsia="Arial" w:hAnsi="Arial"/>
                <w:sz w:val="18"/>
                <w:szCs w:val="18"/>
                <w:b w:val="1"/>
                <w:bCs w:val="1"/>
                <w:i w:val="1"/>
                <w:iCs w:val="1"/>
                <w:color w:val="auto"/>
                <w:w w:val="84"/>
              </w:rPr>
              <w:t>August 31,</w:t>
            </w:r>
          </w:p>
        </w:tc>
        <w:tc>
          <w:tcPr>
            <w:tcW w:w="860" w:type="dxa"/>
            <w:vAlign w:val="bottom"/>
          </w:tcPr>
          <w:p>
            <w:pPr>
              <w:spacing w:after="0"/>
              <w:rPr>
                <w:sz w:val="19"/>
                <w:szCs w:val="19"/>
                <w:color w:val="auto"/>
              </w:rPr>
            </w:pPr>
          </w:p>
        </w:tc>
      </w:tr>
      <w:tr>
        <w:trPr>
          <w:trHeight w:val="110"/>
        </w:trPr>
        <w:tc>
          <w:tcPr>
            <w:tcW w:w="528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316"/>
        </w:trPr>
        <w:tc>
          <w:tcPr>
            <w:tcW w:w="5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60" w:type="dxa"/>
            <w:vAlign w:val="bottom"/>
          </w:tcPr>
          <w:p>
            <w:pPr>
              <w:jc w:val="right"/>
              <w:ind w:right="412"/>
              <w:spacing w:after="0"/>
              <w:rPr>
                <w:sz w:val="20"/>
                <w:szCs w:val="20"/>
                <w:color w:val="auto"/>
              </w:rPr>
            </w:pPr>
            <w:r>
              <w:rPr>
                <w:rFonts w:ascii="Arial" w:cs="Arial" w:eastAsia="Arial" w:hAnsi="Arial"/>
                <w:sz w:val="18"/>
                <w:szCs w:val="18"/>
                <w:b w:val="1"/>
                <w:bCs w:val="1"/>
                <w:color w:val="auto"/>
              </w:rPr>
              <w:t>2010</w:t>
            </w:r>
          </w:p>
        </w:tc>
        <w:tc>
          <w:tcPr>
            <w:tcW w:w="400" w:type="dxa"/>
            <w:vAlign w:val="bottom"/>
          </w:tcPr>
          <w:p>
            <w:pPr>
              <w:spacing w:after="0"/>
              <w:rPr>
                <w:sz w:val="24"/>
                <w:szCs w:val="24"/>
                <w:color w:val="auto"/>
              </w:rPr>
            </w:pPr>
          </w:p>
        </w:tc>
        <w:tc>
          <w:tcPr>
            <w:tcW w:w="860" w:type="dxa"/>
            <w:vAlign w:val="bottom"/>
          </w:tcPr>
          <w:p>
            <w:pPr>
              <w:jc w:val="right"/>
              <w:ind w:right="372"/>
              <w:spacing w:after="0"/>
              <w:rPr>
                <w:sz w:val="20"/>
                <w:szCs w:val="20"/>
                <w:color w:val="auto"/>
              </w:rPr>
            </w:pPr>
            <w:r>
              <w:rPr>
                <w:rFonts w:ascii="Arial" w:cs="Arial" w:eastAsia="Arial" w:hAnsi="Arial"/>
                <w:sz w:val="18"/>
                <w:szCs w:val="18"/>
                <w:b w:val="1"/>
                <w:bCs w:val="1"/>
                <w:color w:val="auto"/>
                <w:w w:val="94"/>
              </w:rPr>
              <w:t>2009</w:t>
            </w:r>
          </w:p>
        </w:tc>
      </w:tr>
      <w:tr>
        <w:trPr>
          <w:trHeight w:val="110"/>
        </w:trPr>
        <w:tc>
          <w:tcPr>
            <w:tcW w:w="528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458"/>
        </w:trPr>
        <w:tc>
          <w:tcPr>
            <w:tcW w:w="5280" w:type="dxa"/>
            <w:vAlign w:val="bottom"/>
          </w:tcPr>
          <w:p>
            <w:pPr>
              <w:spacing w:after="0"/>
              <w:rPr>
                <w:sz w:val="20"/>
                <w:szCs w:val="20"/>
                <w:color w:val="auto"/>
              </w:rPr>
            </w:pPr>
            <w:r>
              <w:rPr>
                <w:rFonts w:ascii="Arial" w:cs="Arial" w:eastAsia="Arial" w:hAnsi="Arial"/>
                <w:sz w:val="18"/>
                <w:szCs w:val="18"/>
                <w:color w:val="auto"/>
              </w:rPr>
              <w:t>Revenues</w:t>
            </w:r>
          </w:p>
        </w:tc>
        <w:tc>
          <w:tcPr>
            <w:tcW w:w="2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72.8</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76.2</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Operating loss</w:t>
            </w:r>
          </w:p>
        </w:tc>
        <w:tc>
          <w:tcPr>
            <w:tcW w:w="224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(51.6)</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110"/>
        </w:trPr>
        <w:tc>
          <w:tcPr>
            <w:tcW w:w="528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464"/>
        </w:trPr>
        <w:tc>
          <w:tcPr>
            <w:tcW w:w="528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24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r>
      <w:tr>
        <w:trPr>
          <w:trHeight w:val="432"/>
        </w:trPr>
        <w:tc>
          <w:tcPr>
            <w:tcW w:w="5280" w:type="dxa"/>
            <w:vAlign w:val="bottom"/>
          </w:tcPr>
          <w:p>
            <w:pPr>
              <w:ind w:left="180"/>
              <w:spacing w:after="0"/>
              <w:rPr>
                <w:sz w:val="20"/>
                <w:szCs w:val="20"/>
                <w:color w:val="auto"/>
              </w:rPr>
            </w:pPr>
            <w:r>
              <w:rPr>
                <w:rFonts w:ascii="Arial" w:cs="Arial" w:eastAsia="Arial" w:hAnsi="Arial"/>
                <w:sz w:val="18"/>
                <w:szCs w:val="18"/>
                <w:color w:val="auto"/>
              </w:rPr>
              <w:t>* Not meaningful</w:t>
            </w:r>
          </w:p>
        </w:tc>
        <w:tc>
          <w:tcPr>
            <w:tcW w:w="2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for the quarter ended August 31, 2010 decreased by $3.4 million, or 4.5%, to $72.8 million, compared to $76.2 million in the prior fiscal year quarter. This decrease was primarily related to higher book fairs revenues recognized in the prior fiscal year, partially offset by higher revenue in the Company’s trade business in the current period. Trade revenues were driven by a strong frontlist that included </w:t>
      </w:r>
      <w:r>
        <w:rPr>
          <w:rFonts w:ascii="Arial" w:cs="Arial" w:eastAsia="Arial" w:hAnsi="Arial"/>
          <w:sz w:val="18"/>
          <w:szCs w:val="18"/>
          <w:i w:val="1"/>
          <w:iCs w:val="1"/>
          <w:color w:val="auto"/>
        </w:rPr>
        <w:t xml:space="preserve">Mockingjay </w:t>
      </w:r>
      <w:r>
        <w:rPr>
          <w:rFonts w:ascii="Arial" w:cs="Arial" w:eastAsia="Arial" w:hAnsi="Arial"/>
          <w:sz w:val="18"/>
          <w:szCs w:val="18"/>
          <w:color w:val="auto"/>
        </w:rPr>
        <w:t>by Suzanne Collins, which completed</w:t>
      </w:r>
      <w:r>
        <w:rPr>
          <w:rFonts w:ascii="Arial" w:cs="Arial" w:eastAsia="Arial" w:hAnsi="Arial"/>
          <w:sz w:val="18"/>
          <w:szCs w:val="18"/>
          <w:i w:val="1"/>
          <w:iCs w:val="1"/>
          <w:color w:val="auto"/>
        </w:rPr>
        <w:t xml:space="preserve"> The Hunger Games </w:t>
      </w:r>
      <w:r>
        <w:rPr>
          <w:rFonts w:ascii="Arial" w:cs="Arial" w:eastAsia="Arial" w:hAnsi="Arial"/>
          <w:sz w:val="18"/>
          <w:szCs w:val="18"/>
          <w:color w:val="auto"/>
        </w:rPr>
        <w:t>trilogy, and the tenth book in</w:t>
      </w:r>
      <w:r>
        <w:rPr>
          <w:rFonts w:ascii="Arial" w:cs="Arial" w:eastAsia="Arial" w:hAnsi="Arial"/>
          <w:sz w:val="18"/>
          <w:szCs w:val="18"/>
          <w:i w:val="1"/>
          <w:iCs w:val="1"/>
          <w:color w:val="auto"/>
        </w:rPr>
        <w:t xml:space="preserve"> The 39 Clues </w:t>
      </w:r>
      <w:r>
        <w:rPr>
          <w:rFonts w:ascii="Arial" w:cs="Arial" w:eastAsia="Arial" w:hAnsi="Arial"/>
          <w:sz w:val="18"/>
          <w:szCs w:val="18"/>
          <w:color w:val="auto"/>
        </w:rPr>
        <w:t>series. Revenues from school book clubs and</w:t>
      </w:r>
      <w:r>
        <w:rPr>
          <w:rFonts w:ascii="Arial" w:cs="Arial" w:eastAsia="Arial" w:hAnsi="Arial"/>
          <w:sz w:val="18"/>
          <w:szCs w:val="18"/>
          <w:i w:val="1"/>
          <w:iCs w:val="1"/>
          <w:color w:val="auto"/>
        </w:rPr>
        <w:t xml:space="preserve"> </w:t>
      </w:r>
      <w:r>
        <w:rPr>
          <w:rFonts w:ascii="Arial" w:cs="Arial" w:eastAsia="Arial" w:hAnsi="Arial"/>
          <w:sz w:val="18"/>
          <w:szCs w:val="18"/>
          <w:color w:val="auto"/>
        </w:rPr>
        <w:t>book fairs are not meaningful since school book clubs and book fairs have minimal activity in the Company’s first fiscal quarter, as most schools are not in session.</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Segment operating loss for the quarter ended August 31, 2010 increased by $4.1 million, or 8.6%, to a loss of $51.6 million, compared to a loss of $47.5 million in the prior fiscal year quarter, principally due to increased expenditures related to the Company’s children’s books digital format, e-commerce and eBook initiatives, and higher promotional spending.</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382"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Educational Publishing</w:t>
            </w:r>
          </w:p>
        </w:tc>
        <w:tc>
          <w:tcPr>
            <w:tcW w:w="2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9"/>
        </w:trPr>
        <w:tc>
          <w:tcPr>
            <w:tcW w:w="44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320" w:type="dxa"/>
            <w:vAlign w:val="bottom"/>
            <w:gridSpan w:val="3"/>
          </w:tcPr>
          <w:p>
            <w:pPr>
              <w:jc w:val="center"/>
              <w:ind w:right="352"/>
              <w:spacing w:after="0"/>
              <w:rPr>
                <w:sz w:val="20"/>
                <w:szCs w:val="20"/>
                <w:color w:val="auto"/>
              </w:rPr>
            </w:pPr>
            <w:r>
              <w:rPr>
                <w:rFonts w:ascii="Arial" w:cs="Arial" w:eastAsia="Arial" w:hAnsi="Arial"/>
                <w:sz w:val="18"/>
                <w:szCs w:val="18"/>
                <w:b w:val="1"/>
                <w:bCs w:val="1"/>
                <w:i w:val="1"/>
                <w:iCs w:val="1"/>
                <w:color w:val="auto"/>
                <w:w w:val="83"/>
              </w:rPr>
              <w:t>Three months ended</w:t>
            </w:r>
          </w:p>
        </w:tc>
      </w:tr>
      <w:tr>
        <w:trPr>
          <w:trHeight w:val="222"/>
        </w:trPr>
        <w:tc>
          <w:tcPr>
            <w:tcW w:w="446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960" w:type="dxa"/>
            <w:vAlign w:val="bottom"/>
          </w:tcPr>
          <w:p>
            <w:pPr>
              <w:spacing w:after="0"/>
              <w:rPr>
                <w:sz w:val="19"/>
                <w:szCs w:val="19"/>
                <w:color w:val="auto"/>
              </w:rPr>
            </w:pPr>
          </w:p>
        </w:tc>
        <w:tc>
          <w:tcPr>
            <w:tcW w:w="1360" w:type="dxa"/>
            <w:vAlign w:val="bottom"/>
            <w:gridSpan w:val="2"/>
          </w:tcPr>
          <w:p>
            <w:pPr>
              <w:jc w:val="center"/>
              <w:ind w:left="412"/>
              <w:spacing w:after="0"/>
              <w:rPr>
                <w:sz w:val="20"/>
                <w:szCs w:val="20"/>
                <w:color w:val="auto"/>
              </w:rPr>
            </w:pPr>
            <w:r>
              <w:rPr>
                <w:rFonts w:ascii="Arial" w:cs="Arial" w:eastAsia="Arial" w:hAnsi="Arial"/>
                <w:sz w:val="18"/>
                <w:szCs w:val="18"/>
                <w:b w:val="1"/>
                <w:bCs w:val="1"/>
                <w:i w:val="1"/>
                <w:iCs w:val="1"/>
                <w:color w:val="auto"/>
                <w:w w:val="84"/>
              </w:rPr>
              <w:t>August 31,</w:t>
            </w:r>
          </w:p>
        </w:tc>
        <w:tc>
          <w:tcPr>
            <w:tcW w:w="960" w:type="dxa"/>
            <w:vAlign w:val="bottom"/>
          </w:tcPr>
          <w:p>
            <w:pPr>
              <w:spacing w:after="0"/>
              <w:rPr>
                <w:sz w:val="19"/>
                <w:szCs w:val="19"/>
                <w:color w:val="auto"/>
              </w:rPr>
            </w:pPr>
          </w:p>
        </w:tc>
      </w:tr>
      <w:tr>
        <w:trPr>
          <w:trHeight w:val="110"/>
        </w:trPr>
        <w:tc>
          <w:tcPr>
            <w:tcW w:w="4460" w:type="dxa"/>
            <w:vAlign w:val="bottom"/>
            <w:tcBorders>
              <w:bottom w:val="single" w:sz="8" w:color="808080"/>
            </w:tcBorders>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16"/>
        </w:trPr>
        <w:tc>
          <w:tcPr>
            <w:tcW w:w="44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20" w:type="dxa"/>
            <w:vAlign w:val="bottom"/>
          </w:tcPr>
          <w:p>
            <w:pPr>
              <w:jc w:val="right"/>
              <w:ind w:right="472"/>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4"/>
                <w:szCs w:val="24"/>
                <w:color w:val="auto"/>
              </w:rPr>
            </w:pPr>
          </w:p>
        </w:tc>
        <w:tc>
          <w:tcPr>
            <w:tcW w:w="960" w:type="dxa"/>
            <w:vAlign w:val="bottom"/>
          </w:tcPr>
          <w:p>
            <w:pPr>
              <w:jc w:val="right"/>
              <w:ind w:right="472"/>
              <w:spacing w:after="0"/>
              <w:rPr>
                <w:sz w:val="20"/>
                <w:szCs w:val="20"/>
                <w:color w:val="auto"/>
              </w:rPr>
            </w:pPr>
            <w:r>
              <w:rPr>
                <w:rFonts w:ascii="Arial" w:cs="Arial" w:eastAsia="Arial" w:hAnsi="Arial"/>
                <w:sz w:val="18"/>
                <w:szCs w:val="18"/>
                <w:b w:val="1"/>
                <w:bCs w:val="1"/>
                <w:color w:val="auto"/>
                <w:w w:val="94"/>
              </w:rPr>
              <w:t>2009</w:t>
            </w:r>
          </w:p>
        </w:tc>
      </w:tr>
      <w:tr>
        <w:trPr>
          <w:trHeight w:val="110"/>
        </w:trPr>
        <w:tc>
          <w:tcPr>
            <w:tcW w:w="4460" w:type="dxa"/>
            <w:vAlign w:val="bottom"/>
            <w:tcBorders>
              <w:bottom w:val="single" w:sz="8" w:color="808080"/>
            </w:tcBorders>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58"/>
        </w:trPr>
        <w:tc>
          <w:tcPr>
            <w:tcW w:w="4460" w:type="dxa"/>
            <w:vAlign w:val="bottom"/>
          </w:tcPr>
          <w:p>
            <w:pPr>
              <w:spacing w:after="0"/>
              <w:rPr>
                <w:sz w:val="20"/>
                <w:szCs w:val="20"/>
                <w:color w:val="auto"/>
              </w:rPr>
            </w:pPr>
            <w:r>
              <w:rPr>
                <w:rFonts w:ascii="Arial" w:cs="Arial" w:eastAsia="Arial" w:hAnsi="Arial"/>
                <w:sz w:val="18"/>
                <w:szCs w:val="18"/>
                <w:color w:val="auto"/>
              </w:rPr>
              <w:t>Revenues</w:t>
            </w:r>
          </w:p>
        </w:tc>
        <w:tc>
          <w:tcPr>
            <w:tcW w:w="2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118.6</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148.7</w:t>
            </w: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Operating income</w:t>
            </w:r>
          </w:p>
        </w:tc>
        <w:tc>
          <w:tcPr>
            <w:tcW w:w="29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28.5</w:t>
            </w:r>
          </w:p>
        </w:tc>
        <w:tc>
          <w:tcPr>
            <w:tcW w:w="34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41.3</w:t>
            </w:r>
          </w:p>
        </w:tc>
      </w:tr>
      <w:tr>
        <w:trPr>
          <w:trHeight w:val="110"/>
        </w:trPr>
        <w:tc>
          <w:tcPr>
            <w:tcW w:w="4460" w:type="dxa"/>
            <w:vAlign w:val="bottom"/>
            <w:tcBorders>
              <w:bottom w:val="single" w:sz="8" w:color="808080"/>
            </w:tcBorders>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64"/>
        </w:trPr>
        <w:tc>
          <w:tcPr>
            <w:tcW w:w="446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9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27.8%</w:t>
            </w:r>
          </w:p>
        </w:tc>
      </w:tr>
    </w:tbl>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 for the quarter ended August 31, 2010 decreased by $30.1 million, or 20.2%, to $118.6 million, compared to $148.7 million in the prior fiscal year quarter. This decrease was principally driven by the prior year’s higher sales of educational technology products, benefited in part by the timing of the initial federal economic stimulus funding for education in the prior year.</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Segment operating income for the quarter ended August 31, 2010 decreased by $12.8 million to $28.5 million, compared to $41.3 million in the prior fiscal year quarter, principally driven by the decrease in revenues from educational technology sales.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3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9"/>
        </w:trPr>
        <w:tc>
          <w:tcPr>
            <w:tcW w:w="4480" w:type="dxa"/>
            <w:vAlign w:val="bottom"/>
          </w:tcPr>
          <w:p>
            <w:pPr>
              <w:spacing w:after="0"/>
              <w:rPr>
                <w:sz w:val="24"/>
                <w:szCs w:val="24"/>
                <w:color w:val="auto"/>
              </w:rPr>
            </w:pPr>
          </w:p>
        </w:tc>
        <w:tc>
          <w:tcPr>
            <w:tcW w:w="4800" w:type="dxa"/>
            <w:vAlign w:val="bottom"/>
            <w:gridSpan w:val="3"/>
          </w:tcPr>
          <w:p>
            <w:pPr>
              <w:jc w:val="center"/>
              <w:ind w:left="3052"/>
              <w:spacing w:after="0"/>
              <w:rPr>
                <w:sz w:val="20"/>
                <w:szCs w:val="20"/>
                <w:color w:val="auto"/>
              </w:rPr>
            </w:pPr>
            <w:r>
              <w:rPr>
                <w:rFonts w:ascii="Arial" w:cs="Arial" w:eastAsia="Arial" w:hAnsi="Arial"/>
                <w:sz w:val="18"/>
                <w:szCs w:val="18"/>
                <w:b w:val="1"/>
                <w:bCs w:val="1"/>
                <w:i w:val="1"/>
                <w:iCs w:val="1"/>
                <w:color w:val="auto"/>
                <w:w w:val="84"/>
              </w:rPr>
              <w:t>Three months ended</w:t>
            </w:r>
          </w:p>
        </w:tc>
        <w:tc>
          <w:tcPr>
            <w:tcW w:w="460" w:type="dxa"/>
            <w:vAlign w:val="bottom"/>
          </w:tcPr>
          <w:p>
            <w:pPr>
              <w:spacing w:after="0"/>
              <w:rPr>
                <w:sz w:val="24"/>
                <w:szCs w:val="24"/>
                <w:color w:val="auto"/>
              </w:rPr>
            </w:pPr>
          </w:p>
        </w:tc>
      </w:tr>
      <w:tr>
        <w:trPr>
          <w:trHeight w:val="222"/>
        </w:trPr>
        <w:tc>
          <w:tcPr>
            <w:tcW w:w="448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3500" w:type="dxa"/>
            <w:vAlign w:val="bottom"/>
          </w:tcPr>
          <w:p>
            <w:pPr>
              <w:spacing w:after="0"/>
              <w:rPr>
                <w:sz w:val="19"/>
                <w:szCs w:val="19"/>
                <w:color w:val="auto"/>
              </w:rPr>
            </w:pPr>
          </w:p>
        </w:tc>
        <w:tc>
          <w:tcPr>
            <w:tcW w:w="1300" w:type="dxa"/>
            <w:vAlign w:val="bottom"/>
            <w:gridSpan w:val="2"/>
          </w:tcPr>
          <w:p>
            <w:pPr>
              <w:jc w:val="center"/>
              <w:ind w:right="272"/>
              <w:spacing w:after="0"/>
              <w:rPr>
                <w:sz w:val="20"/>
                <w:szCs w:val="20"/>
                <w:color w:val="auto"/>
              </w:rPr>
            </w:pPr>
            <w:r>
              <w:rPr>
                <w:rFonts w:ascii="Arial" w:cs="Arial" w:eastAsia="Arial" w:hAnsi="Arial"/>
                <w:sz w:val="18"/>
                <w:szCs w:val="18"/>
                <w:b w:val="1"/>
                <w:bCs w:val="1"/>
                <w:i w:val="1"/>
                <w:iCs w:val="1"/>
                <w:color w:val="auto"/>
                <w:w w:val="84"/>
              </w:rPr>
              <w:t>August 31,</w:t>
            </w:r>
          </w:p>
        </w:tc>
        <w:tc>
          <w:tcPr>
            <w:tcW w:w="460" w:type="dxa"/>
            <w:vAlign w:val="bottom"/>
          </w:tcPr>
          <w:p>
            <w:pPr>
              <w:spacing w:after="0"/>
              <w:rPr>
                <w:sz w:val="19"/>
                <w:szCs w:val="19"/>
                <w:color w:val="auto"/>
              </w:rPr>
            </w:pPr>
          </w:p>
        </w:tc>
      </w:tr>
      <w:tr>
        <w:trPr>
          <w:trHeight w:val="110"/>
        </w:trPr>
        <w:tc>
          <w:tcPr>
            <w:tcW w:w="4480" w:type="dxa"/>
            <w:vAlign w:val="bottom"/>
            <w:tcBorders>
              <w:bottom w:val="single" w:sz="8" w:color="808080"/>
            </w:tcBorders>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r>
      <w:tr>
        <w:trPr>
          <w:trHeight w:val="316"/>
        </w:trPr>
        <w:tc>
          <w:tcPr>
            <w:tcW w:w="4480" w:type="dxa"/>
            <w:vAlign w:val="bottom"/>
          </w:tcPr>
          <w:p>
            <w:pPr>
              <w:spacing w:after="0"/>
              <w:rPr>
                <w:sz w:val="24"/>
                <w:szCs w:val="24"/>
                <w:color w:val="auto"/>
              </w:rPr>
            </w:pPr>
          </w:p>
        </w:tc>
        <w:tc>
          <w:tcPr>
            <w:tcW w:w="350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24"/>
                <w:szCs w:val="24"/>
                <w:color w:val="auto"/>
              </w:rPr>
            </w:pPr>
          </w:p>
        </w:tc>
      </w:tr>
      <w:tr>
        <w:trPr>
          <w:trHeight w:val="110"/>
        </w:trPr>
        <w:tc>
          <w:tcPr>
            <w:tcW w:w="4480" w:type="dxa"/>
            <w:vAlign w:val="bottom"/>
            <w:tcBorders>
              <w:bottom w:val="single" w:sz="8" w:color="808080"/>
            </w:tcBorders>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r>
      <w:tr>
        <w:trPr>
          <w:trHeight w:val="458"/>
        </w:trPr>
        <w:tc>
          <w:tcPr>
            <w:tcW w:w="4480" w:type="dxa"/>
            <w:vAlign w:val="bottom"/>
          </w:tcPr>
          <w:p>
            <w:pPr>
              <w:spacing w:after="0"/>
              <w:rPr>
                <w:sz w:val="20"/>
                <w:szCs w:val="20"/>
                <w:color w:val="auto"/>
              </w:rPr>
            </w:pPr>
            <w:r>
              <w:rPr>
                <w:rFonts w:ascii="Arial" w:cs="Arial" w:eastAsia="Arial" w:hAnsi="Arial"/>
                <w:sz w:val="18"/>
                <w:szCs w:val="18"/>
                <w:color w:val="auto"/>
              </w:rPr>
              <w:t>Revenues</w:t>
            </w:r>
          </w:p>
        </w:tc>
        <w:tc>
          <w:tcPr>
            <w:tcW w:w="350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81.9</w:t>
            </w:r>
          </w:p>
        </w:tc>
        <w:tc>
          <w:tcPr>
            <w:tcW w:w="80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75.6</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Operating loss</w:t>
            </w:r>
          </w:p>
        </w:tc>
        <w:tc>
          <w:tcPr>
            <w:tcW w:w="3500" w:type="dxa"/>
            <w:vAlign w:val="bottom"/>
          </w:tcPr>
          <w:p>
            <w:pPr>
              <w:spacing w:after="0"/>
              <w:rPr>
                <w:sz w:val="19"/>
                <w:szCs w:val="19"/>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w w:val="97"/>
              </w:rPr>
              <w:t>(2.2)</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w:t>
            </w:r>
          </w:p>
        </w:tc>
      </w:tr>
      <w:tr>
        <w:trPr>
          <w:trHeight w:val="110"/>
        </w:trPr>
        <w:tc>
          <w:tcPr>
            <w:tcW w:w="4480" w:type="dxa"/>
            <w:vAlign w:val="bottom"/>
            <w:tcBorders>
              <w:bottom w:val="single" w:sz="8" w:color="808080"/>
            </w:tcBorders>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r>
      <w:tr>
        <w:trPr>
          <w:trHeight w:val="464"/>
        </w:trPr>
        <w:tc>
          <w:tcPr>
            <w:tcW w:w="448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3500" w:type="dxa"/>
            <w:vAlign w:val="bottom"/>
          </w:tcPr>
          <w:p>
            <w:pPr>
              <w:spacing w:after="0"/>
              <w:rPr>
                <w:sz w:val="24"/>
                <w:szCs w:val="24"/>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4"/>
                <w:szCs w:val="24"/>
                <w:color w:val="auto"/>
              </w:rPr>
            </w:pPr>
          </w:p>
        </w:tc>
        <w:tc>
          <w:tcPr>
            <w:tcW w:w="4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r>
      <w:tr>
        <w:trPr>
          <w:trHeight w:val="432"/>
        </w:trPr>
        <w:tc>
          <w:tcPr>
            <w:tcW w:w="4480" w:type="dxa"/>
            <w:vAlign w:val="bottom"/>
          </w:tcPr>
          <w:p>
            <w:pPr>
              <w:ind w:left="180"/>
              <w:spacing w:after="0"/>
              <w:rPr>
                <w:sz w:val="20"/>
                <w:szCs w:val="20"/>
                <w:color w:val="auto"/>
              </w:rPr>
            </w:pPr>
            <w:r>
              <w:rPr>
                <w:rFonts w:ascii="Arial" w:cs="Arial" w:eastAsia="Arial" w:hAnsi="Arial"/>
                <w:sz w:val="18"/>
                <w:szCs w:val="18"/>
                <w:color w:val="auto"/>
              </w:rPr>
              <w:t>* Not meaningful</w:t>
            </w:r>
          </w:p>
        </w:tc>
        <w:tc>
          <w:tcPr>
            <w:tcW w:w="3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1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for the quarter ended August 31, 2010 increased by $6.3 million, or 8.3%, to $81.9 million, compared to $75.6 million in the prior fiscal year quarter, primarily due to the favorable impact of foreign currency exchange rates of $3.2 million, in addition to an increase in revenue of $4.3 million in the Company’s Australian and Canadian operations. The release of </w:t>
      </w:r>
      <w:r>
        <w:rPr>
          <w:rFonts w:ascii="Arial" w:cs="Arial" w:eastAsia="Arial" w:hAnsi="Arial"/>
          <w:sz w:val="16"/>
          <w:szCs w:val="16"/>
          <w:i w:val="1"/>
          <w:iCs w:val="1"/>
          <w:color w:val="auto"/>
        </w:rPr>
        <w:t>Mockingjay</w:t>
      </w:r>
      <w:r>
        <w:rPr>
          <w:rFonts w:ascii="Arial" w:cs="Arial" w:eastAsia="Arial" w:hAnsi="Arial"/>
          <w:sz w:val="16"/>
          <w:szCs w:val="16"/>
          <w:color w:val="auto"/>
        </w:rPr>
        <w:t xml:space="preserve"> contributed to the strong results in Canada.</w:t>
      </w:r>
    </w:p>
    <w:p>
      <w:pPr>
        <w:spacing w:after="0" w:line="161"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Segment operating loss for the quarter ended August 31, 2010 increased to a loss of $2.2 million, compared to a loss of $1.9 million in the prior fiscal year quarter, primarily due to restructuring expenses of $1.2 million in the UK, partially offset by a favorable foreign exchange rate.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382"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80" w:type="dxa"/>
            <w:vAlign w:val="bottom"/>
          </w:tcPr>
          <w:p>
            <w:pPr>
              <w:spacing w:after="0"/>
              <w:rPr>
                <w:sz w:val="20"/>
                <w:szCs w:val="20"/>
                <w:color w:val="auto"/>
              </w:rPr>
            </w:pPr>
            <w:r>
              <w:rPr>
                <w:rFonts w:ascii="Arial" w:cs="Arial" w:eastAsia="Arial" w:hAnsi="Arial"/>
                <w:sz w:val="18"/>
                <w:szCs w:val="18"/>
                <w:b w:val="1"/>
                <w:bCs w:val="1"/>
                <w:i w:val="1"/>
                <w:iCs w:val="1"/>
                <w:color w:val="auto"/>
              </w:rPr>
              <w:t>Media, Licensing and Advertising</w:t>
            </w:r>
          </w:p>
        </w:tc>
        <w:tc>
          <w:tcPr>
            <w:tcW w:w="3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9"/>
        </w:trPr>
        <w:tc>
          <w:tcPr>
            <w:tcW w:w="4880" w:type="dxa"/>
            <w:vAlign w:val="bottom"/>
          </w:tcPr>
          <w:p>
            <w:pPr>
              <w:spacing w:after="0"/>
              <w:rPr>
                <w:sz w:val="24"/>
                <w:szCs w:val="24"/>
                <w:color w:val="auto"/>
              </w:rPr>
            </w:pPr>
          </w:p>
        </w:tc>
        <w:tc>
          <w:tcPr>
            <w:tcW w:w="4400" w:type="dxa"/>
            <w:vAlign w:val="bottom"/>
            <w:gridSpan w:val="3"/>
          </w:tcPr>
          <w:p>
            <w:pPr>
              <w:jc w:val="center"/>
              <w:ind w:left="2672"/>
              <w:spacing w:after="0"/>
              <w:rPr>
                <w:sz w:val="20"/>
                <w:szCs w:val="20"/>
                <w:color w:val="auto"/>
              </w:rPr>
            </w:pPr>
            <w:r>
              <w:rPr>
                <w:rFonts w:ascii="Arial" w:cs="Arial" w:eastAsia="Arial" w:hAnsi="Arial"/>
                <w:sz w:val="18"/>
                <w:szCs w:val="18"/>
                <w:b w:val="1"/>
                <w:bCs w:val="1"/>
                <w:i w:val="1"/>
                <w:iCs w:val="1"/>
                <w:color w:val="auto"/>
                <w:w w:val="83"/>
              </w:rPr>
              <w:t>Three months ended</w:t>
            </w:r>
          </w:p>
        </w:tc>
        <w:tc>
          <w:tcPr>
            <w:tcW w:w="460" w:type="dxa"/>
            <w:vAlign w:val="bottom"/>
          </w:tcPr>
          <w:p>
            <w:pPr>
              <w:spacing w:after="0"/>
              <w:rPr>
                <w:sz w:val="24"/>
                <w:szCs w:val="24"/>
                <w:color w:val="auto"/>
              </w:rPr>
            </w:pPr>
          </w:p>
        </w:tc>
      </w:tr>
      <w:tr>
        <w:trPr>
          <w:trHeight w:val="222"/>
        </w:trPr>
        <w:tc>
          <w:tcPr>
            <w:tcW w:w="488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3100" w:type="dxa"/>
            <w:vAlign w:val="bottom"/>
          </w:tcPr>
          <w:p>
            <w:pPr>
              <w:spacing w:after="0"/>
              <w:rPr>
                <w:sz w:val="19"/>
                <w:szCs w:val="19"/>
                <w:color w:val="auto"/>
              </w:rPr>
            </w:pPr>
          </w:p>
        </w:tc>
        <w:tc>
          <w:tcPr>
            <w:tcW w:w="1300" w:type="dxa"/>
            <w:vAlign w:val="bottom"/>
            <w:gridSpan w:val="2"/>
          </w:tcPr>
          <w:p>
            <w:pPr>
              <w:jc w:val="center"/>
              <w:ind w:right="272"/>
              <w:spacing w:after="0"/>
              <w:rPr>
                <w:sz w:val="20"/>
                <w:szCs w:val="20"/>
                <w:color w:val="auto"/>
              </w:rPr>
            </w:pPr>
            <w:r>
              <w:rPr>
                <w:rFonts w:ascii="Arial" w:cs="Arial" w:eastAsia="Arial" w:hAnsi="Arial"/>
                <w:sz w:val="18"/>
                <w:szCs w:val="18"/>
                <w:b w:val="1"/>
                <w:bCs w:val="1"/>
                <w:i w:val="1"/>
                <w:iCs w:val="1"/>
                <w:color w:val="auto"/>
                <w:w w:val="84"/>
              </w:rPr>
              <w:t>August 31,</w:t>
            </w:r>
          </w:p>
        </w:tc>
        <w:tc>
          <w:tcPr>
            <w:tcW w:w="460" w:type="dxa"/>
            <w:vAlign w:val="bottom"/>
          </w:tcPr>
          <w:p>
            <w:pPr>
              <w:spacing w:after="0"/>
              <w:rPr>
                <w:sz w:val="19"/>
                <w:szCs w:val="19"/>
                <w:color w:val="auto"/>
              </w:rPr>
            </w:pPr>
          </w:p>
        </w:tc>
      </w:tr>
      <w:tr>
        <w:trPr>
          <w:trHeight w:val="110"/>
        </w:trPr>
        <w:tc>
          <w:tcPr>
            <w:tcW w:w="488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r>
      <w:tr>
        <w:trPr>
          <w:trHeight w:val="316"/>
        </w:trPr>
        <w:tc>
          <w:tcPr>
            <w:tcW w:w="4880" w:type="dxa"/>
            <w:vAlign w:val="bottom"/>
          </w:tcPr>
          <w:p>
            <w:pPr>
              <w:spacing w:after="0"/>
              <w:rPr>
                <w:sz w:val="24"/>
                <w:szCs w:val="24"/>
                <w:color w:val="auto"/>
              </w:rPr>
            </w:pP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24"/>
                <w:szCs w:val="24"/>
                <w:color w:val="auto"/>
              </w:rPr>
            </w:pPr>
          </w:p>
        </w:tc>
      </w:tr>
      <w:tr>
        <w:trPr>
          <w:trHeight w:val="110"/>
        </w:trPr>
        <w:tc>
          <w:tcPr>
            <w:tcW w:w="488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r>
      <w:tr>
        <w:trPr>
          <w:trHeight w:val="458"/>
        </w:trPr>
        <w:tc>
          <w:tcPr>
            <w:tcW w:w="4880" w:type="dxa"/>
            <w:vAlign w:val="bottom"/>
          </w:tcPr>
          <w:p>
            <w:pPr>
              <w:spacing w:after="0"/>
              <w:rPr>
                <w:sz w:val="20"/>
                <w:szCs w:val="20"/>
                <w:color w:val="auto"/>
              </w:rPr>
            </w:pPr>
            <w:r>
              <w:rPr>
                <w:rFonts w:ascii="Arial" w:cs="Arial" w:eastAsia="Arial" w:hAnsi="Arial"/>
                <w:sz w:val="18"/>
                <w:szCs w:val="18"/>
                <w:color w:val="auto"/>
              </w:rPr>
              <w:t>Revenues</w:t>
            </w:r>
          </w:p>
        </w:tc>
        <w:tc>
          <w:tcPr>
            <w:tcW w:w="3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17.6</w:t>
            </w:r>
          </w:p>
        </w:tc>
        <w:tc>
          <w:tcPr>
            <w:tcW w:w="80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15.1</w:t>
            </w: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Operating loss</w:t>
            </w:r>
          </w:p>
        </w:tc>
        <w:tc>
          <w:tcPr>
            <w:tcW w:w="3100" w:type="dxa"/>
            <w:vAlign w:val="bottom"/>
          </w:tcPr>
          <w:p>
            <w:pPr>
              <w:spacing w:after="0"/>
              <w:rPr>
                <w:sz w:val="19"/>
                <w:szCs w:val="19"/>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w w:val="97"/>
              </w:rPr>
              <w:t>(2.9)</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(3.7)</w:t>
            </w:r>
          </w:p>
        </w:tc>
      </w:tr>
      <w:tr>
        <w:trPr>
          <w:trHeight w:val="110"/>
        </w:trPr>
        <w:tc>
          <w:tcPr>
            <w:tcW w:w="488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r>
      <w:tr>
        <w:trPr>
          <w:trHeight w:val="464"/>
        </w:trPr>
        <w:tc>
          <w:tcPr>
            <w:tcW w:w="488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3100" w:type="dxa"/>
            <w:vAlign w:val="bottom"/>
          </w:tcPr>
          <w:p>
            <w:pPr>
              <w:spacing w:after="0"/>
              <w:rPr>
                <w:sz w:val="24"/>
                <w:szCs w:val="24"/>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4"/>
                <w:szCs w:val="24"/>
                <w:color w:val="auto"/>
              </w:rPr>
            </w:pPr>
          </w:p>
        </w:tc>
        <w:tc>
          <w:tcPr>
            <w:tcW w:w="4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r>
      <w:tr>
        <w:trPr>
          <w:trHeight w:val="432"/>
        </w:trPr>
        <w:tc>
          <w:tcPr>
            <w:tcW w:w="4880" w:type="dxa"/>
            <w:vAlign w:val="bottom"/>
          </w:tcPr>
          <w:p>
            <w:pPr>
              <w:ind w:left="180"/>
              <w:spacing w:after="0"/>
              <w:rPr>
                <w:sz w:val="20"/>
                <w:szCs w:val="20"/>
                <w:color w:val="auto"/>
              </w:rPr>
            </w:pPr>
            <w:r>
              <w:rPr>
                <w:rFonts w:ascii="Arial" w:cs="Arial" w:eastAsia="Arial" w:hAnsi="Arial"/>
                <w:sz w:val="18"/>
                <w:szCs w:val="18"/>
                <w:color w:val="auto"/>
              </w:rPr>
              <w:t>* Not meaningful</w:t>
            </w:r>
          </w:p>
        </w:tc>
        <w:tc>
          <w:tcPr>
            <w:tcW w:w="3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10"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for the quarter ended August 31, 2010 increased by $2.5 million, or 16.6%, to $17.6 million, compared to $15.1 million in the prior fiscal year quarter, primarily due to revenue of $3.6 million received from a third party film distribution agreement.</w:t>
      </w:r>
    </w:p>
    <w:p>
      <w:pPr>
        <w:spacing w:after="0" w:line="13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Segment operating loss for the quarter ended August 31, 2010 decreased to a loss of $2.9 million, compared to a loss of $3.7 million in the prior fiscal year quarter, primarily related to the film distribution agreement noted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are highest in the first and fourth quarters. The Company typically experiences losses from operations in the first and third quarters of each fiscal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Company’s cash and cash equivalents, including cash from discontinued operations, totaled $124.2 million at August 31, 2010, compared to $244.1 million at May 31, 2010 and $54.2 million at August 31, 2009.</w:t>
      </w:r>
    </w:p>
    <w:p>
      <w:pPr>
        <w:spacing w:after="0" w:line="18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Cash used in operating activities increased by $17.5 million to $73.1 million for the three months ended August 31, 2010, compared to $55.6 million in the prior fiscal year period. In addition to the increased loss, adjusted for non-cash items of $7.0 million, the increase of $17.5 million was primarily related to unfavorable working capital changes which included:</w:t>
      </w:r>
    </w:p>
    <w:p>
      <w:pPr>
        <w:spacing w:after="0" w:line="208" w:lineRule="exact"/>
        <w:rPr>
          <w:sz w:val="20"/>
          <w:szCs w:val="20"/>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$122.4 million increase in inventory in the current period compared to a $94.9 million increase in the prior fiscal year period.</w:t>
      </w:r>
    </w:p>
    <w:p>
      <w:pPr>
        <w:spacing w:after="0" w:line="157" w:lineRule="exact"/>
        <w:rPr>
          <w:rFonts w:ascii="Arial" w:cs="Arial" w:eastAsia="Arial" w:hAnsi="Arial"/>
          <w:sz w:val="18"/>
          <w:szCs w:val="18"/>
          <w:color w:val="auto"/>
        </w:rPr>
      </w:pPr>
    </w:p>
    <w:p>
      <w:pPr>
        <w:ind w:left="920" w:right="320" w:hanging="453"/>
        <w:spacing w:after="0" w:line="268"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in other accrued expenses of $16.9 million in the current fiscal year period compared to an increase of $20.1 million in the prior fiscal year period.</w:t>
      </w:r>
    </w:p>
    <w:p>
      <w:pPr>
        <w:spacing w:after="0" w:line="118" w:lineRule="exact"/>
        <w:rPr>
          <w:rFonts w:ascii="Arial" w:cs="Arial" w:eastAsia="Arial" w:hAnsi="Arial"/>
          <w:sz w:val="18"/>
          <w:szCs w:val="18"/>
          <w:color w:val="auto"/>
        </w:rPr>
      </w:pPr>
    </w:p>
    <w:p>
      <w:pPr>
        <w:ind w:left="920" w:hanging="453"/>
        <w:spacing w:after="0"/>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$22.0 million increase in other current assets in the current period compared to a $11.5 million increase in the prior fiscal year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158" w:lineRule="exact"/>
        <w:rPr>
          <w:sz w:val="20"/>
          <w:szCs w:val="20"/>
          <w:color w:val="auto"/>
        </w:rPr>
      </w:pPr>
    </w:p>
    <w:p>
      <w:pPr>
        <w:ind w:left="920" w:hanging="453"/>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 increase in accounts receivable of $1.0 million in the current period compared to an increase of $32.5 million in the prior fiscal year period.</w:t>
      </w:r>
    </w:p>
    <w:p>
      <w:pPr>
        <w:spacing w:after="0" w:line="180" w:lineRule="exact"/>
        <w:rPr>
          <w:rFonts w:ascii="Arial" w:cs="Arial" w:eastAsia="Arial" w:hAnsi="Arial"/>
          <w:sz w:val="16"/>
          <w:szCs w:val="16"/>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$75.8 million increase in accounts payable compared to a $38.7 million increase in the prior fiscal year period.</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Inventory increases resulted from the timing of purchases. Increases in other current assets were related to an increase in promotional spending, primarily in the Company’s book clubs business. These were offset by a lower increase in accounts receivable in the current year, primarily related to the prior year’s higher sales of educational technology products.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Cash used in investing activities increased by $5.6 million to $24.8 million for the three months ended August 31, 2010, compared to $19.2 million in the prior fiscal year period. This change was primarily related to increased investments in property, plant and equipment. In the second quarter of fiscal 2011, the Company is investing in an acquisition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and the purchase of the real property underlying a portion of its principal offices in New York City, for approximately $36 million, as well as additional spending for property, plant and equipment and prepublication costs.</w:t>
      </w:r>
    </w:p>
    <w:p>
      <w:pPr>
        <w:spacing w:after="0" w:line="16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Cash used in financing activities was $23.4 million for the three months ended August 31, 2010, compared to $13.2 million for the prior fiscal year period. The change was primarily due to higher repurchases of Common Stock of $8.7 million in the fiscal 2011 first quarter, as well as a decrease in net borrowings under the Company’s lines of credit of $6.2 million, partially offset by a $4.1 million 5% Note repurchases in the prior year. On September 28, 2010, the Company commenced a share repurchase for up to $150 million of its Common Stock through a “Dutch auction” style tender offer (the “Tender Offer”).</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Due to the seasonal nature of its business as discussed under “Seasonality” above, the Company usually experiences negative cash flows in the June through October time period. As a result of the Company’s business cycle, borrowings have historically increased during June, July and August, have generally peaked in September or October, and have been at their lowest point in May.</w:t>
      </w:r>
    </w:p>
    <w:p>
      <w:pPr>
        <w:spacing w:after="0" w:line="19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Company’s operating philosophy is to use cash provided from operating activities to create value by paying down debt, reinvesting in existing businesses and, from time to time, making acquisitions that will complement its portfolio of businesses, as well as engaging in shareholder enhancement initiatives, such as share repurchases or dividend declarations. The Company believes that funds generated by its operations and funds available under its current credit facilities will be sufficient to finance its short-and long-term capital requirements, including the Tender Offer, for the foreseeable future.</w:t>
      </w:r>
    </w:p>
    <w:p>
      <w:pPr>
        <w:spacing w:after="0" w:line="16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On September 23, 2010, the Company announced its intention to proceed with a “Dutch auction” style Tender Offer to acquire up to $150 million of its common shares, to be funded from available cash balances, initially including temporarily drawing on the Company’s existing credit facility (see “Loan Agreement” below). The Tender Offer was commenced on September 28, 2010, pursuant to which the Company has offered to acquire up to $150 million of its common shares at not less than a minimum price of $27.00 per share and not more that a maximum price of $31.00 per share. The Tender Offer is only being made pursuant to the offering materials and related documentation as filed with the SEC, to which reference is hereby made.</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has maintained sufficient liquidity to fund ongoing operations, dividends, authorized common share repurchases, debt service, planned capital expenditures and other investments. As of August 31, 2010, the Company’s primary sources of liquidity consisted of cash and cash equivalents of $124.2 million, cash from operations, and borrowings remaining available under the Revolving Loan (as described under “Financing” below) totaling $325.0 million. Approximately 66% of the Company’s outstanding debt is not due until fiscal 2013, 31% is spread ratably over each preceding period and the remaining 3% represents borrowings under the Company’s lines of credit. The Company may at any time, but in any event not more than once in any calendar year, request that the aggregate availability of credit under the Revolving Loan be increased by an amount of $10.0 million or an integral multiple of $10.0 million (but not to exceed $150.0 million). Accordingly, the Company believes these sources of liquidity are sufficient to finance its ongoing operating needs, as well as its financing and investing activities. The Company’s credit rating from Standard &amp; Poor’s Rating Services is “BB-” and its credit rating from Moody’s Investors Service is “Ba2.” Moody’s Investors Service has rated the outlook for the Company as “Positive,” and Standard and Poor’s Rating Services has rated the outlook for the Company as “Stable.” The Company believes that existing committed credit lines, cash from operations and other sources of cash are sufficient to meet the Company’s liquidity needs for the near term, including any funds required for the Tender Offer, as the Company is currently compliant with its debt covenants and expects to remain compliant for the foreseeable future.</w:t>
      </w:r>
    </w:p>
    <w:p>
      <w:pPr>
        <w:spacing w:after="0" w:line="17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Company’s interest rates for the Loan Agreement are associated with certain leverage ratios, and, accordingly, a change in the Company’s credit rating does not result in an increase in interest costs under the Company’s Loan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As of August 31, 2010, the Company’s credit lines available under unsecured money market bid rate credit lines totaled $20.0 million. There were no outstanding borrowings under these credit lines at August 31, 2010, May 31, 2010 and August 31, 2009. All loans made under these credit lines are at the sole discretion of the lender and at an interest rate and term, not to exceed 180 days, agreed to at the time each loan is made.</w:t>
      </w:r>
    </w:p>
    <w:p>
      <w:pPr>
        <w:spacing w:after="0" w:line="16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August 31, 2010, the Company had various local currency credit lines, with maximum available borrowings in amounts equivalent to $28.3 million,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international facilities equivalent to $7.7 million at August 31, 2010 at a weighted average interest rate of 3.9%; $7.5 million at May 31, 2010 at a weighted average interest rate of 3.9%; and $13.4 million at August 31, 2009 at a weighted average interest rate of 2.9%.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June 1, 2007, Scholastic Corporation and Scholastic Inc. (each, a “Borrower” and together, the “Borrowers”) entered into a $525.0 million credit facility with certain banks (the “Loan Agreement”), consisting of a $325.0 million revolving credit component (the “Revolving Loan”) and a $200.0 million amortizing term loan component (the “Term Loan”). The Loan Agreement is a contractually committed unsecured credit facility that is scheduled to expire on June 1, 2012. The $325.0 million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million. The Term Loan, which may be prepaid at any time without penalty, requires quarterly principal payments of $10.7 million, with the first payment on December 31, 2007, and a final payment of $7.4 million due on June 1, 2012.</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On August 16, 2010, the Borrowers entered into an amendment to the Loan Agreement, which added certain provisions related to covenants and interest.</w:t>
      </w:r>
    </w:p>
    <w:p>
      <w:pPr>
        <w:spacing w:after="0" w:line="2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as amended, is based on (1) a rate equal to the higher of (i) the prime rate, (ii) the prevailing Federal Funds rate plus 0.500% or (iii) the Eurodollar Rate for a one month interest period plus 1%; or (2) an adjusted LIBOR rate plus an applicable margin, ranging from 0.500% to 1.250% based upon the Company’s prevailing consolidated debt to total capital ratio. As of August 31, 2010, there were no borrowings outstanding under the Revolving Loan.</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August 31, 2010, the applicable margin of the Term Loan was 0.750% and the applicable margin on the Revolving Loan was 0.600%. The Loan Agreement also provides for the payment of a facility fee ranging from 0.125% to 0.250% per annum on the Revolving Loan only, which at August 31, 2010, was 0.150%. As of August 31, 2010, $82.3 million was outstanding under the Term Loan at an interest rate of 1.1%.</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August 31, 2010, there was $7.2 million of outstanding standby letters of credit issued under the Loan Agreement. The Loan Agreement contains certain covenants, including interest coverage and leverage ratio tests and certain limitations on the amount of dividends and other distributions, and at August 31, 2010, the Company was in compliance with these covenants. See Note 4 of Notes to condensed consolidated financial statements – unaudited in Item 1, “Financial Statements,” for outstanding balances and interest rates for these notes.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In April 2003, Scholastic Corporation issued $175.0 million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w:t>
      </w:r>
    </w:p>
    <w:p>
      <w:pPr>
        <w:spacing w:after="0" w:line="1" w:lineRule="exact"/>
        <w:rPr>
          <w:sz w:val="20"/>
          <w:szCs w:val="20"/>
          <w:color w:val="auto"/>
        </w:rPr>
      </w:pPr>
    </w:p>
    <w:p>
      <w:pPr>
        <w:ind w:right="100" w:firstLine="8"/>
        <w:spacing w:after="0" w:line="255" w:lineRule="auto"/>
        <w:tabs>
          <w:tab w:leader="none" w:pos="25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discounted to the date of redemption. The Company repurchased $5.0 million and $2.5 million of the 5% Notes on the open market in fiscal 2010 and 2009, respectively. The Company did not make any additional repurchases during the three-month period ended August 31, 2010.</w:t>
      </w:r>
    </w:p>
    <w:p>
      <w:pPr>
        <w:spacing w:after="0" w:line="198"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Company’s total debt obligations were $242.3 million at August 31, 2010, $252.8 million at May 31, 2010 and $290.6 million at August 31, 2009. The lower level of debt at August 31, 2010 as compared to May 31, 2010 and August 31, 2009 was primarily due to repayments made on the Term Loan, repurchases of the Company’s 5% Notes on the open market in fiscal 2010 and reduced borrowings resulting from lower debt requirements. The Company utilized existing cash balances in the first fiscal quarter of 2011 to meet seasonal working capital requirements. As a result, cash balances declined $119.9 million in such fiscal quarter.</w:t>
      </w:r>
    </w:p>
    <w:p>
      <w:pPr>
        <w:spacing w:after="0" w:line="15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a more complete description of the Company’s debt obligations, see Note 4 of Notes to condensed consolidated financial statements – unaudited in Item 1, “Financial Statements.”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Reference is made to Note 1 of Notes to condensed consolidated financial statements in Item 1, “Financial Statements,” for information concerning recent accounting pronouncements since the filing of the Company’s Annual Report.</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240" w:top="382" w:right="8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Quarterly Report on Form 10-Q contains forward-looking statements. Additional written and oral forward-looking statements may be made by the Company from time to time in Securities and Exchange Commission (the “SEC”) filings and otherwise. The Company cautions readers that results or expectations expressed by forward-looking statements, including, without limitation, those relating to the Company’s future business prospects, plans, conditions in the children’s book and educational material markets and acceptance of the Company’s products in those markets, e-commerce and digital initiatives strategies, goals, revenues, improved efficiencies, general costs, manufacturing costs, medical costs, merit pay, operating margins, working capital, liquidity, capital needs, expected investing activity, interest costs and income, are subject to risks and uncertainties that could cause actual results to differ materially from those indicated in the forward-looking statements, due to factors including those noted in the Annual Report and other risks and factors identified from time to time in the Company’s filings with the SEC.</w:t>
      </w:r>
    </w:p>
    <w:p>
      <w:pPr>
        <w:spacing w:after="0" w:line="17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Company disclaims any intention or obligation to update or revise forward-looking statements, whether as a result of new information, future events or otherwise.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both"/>
        <w:ind w:right="480"/>
        <w:spacing w:after="0" w:line="298" w:lineRule="auto"/>
        <w:rPr>
          <w:sz w:val="20"/>
          <w:szCs w:val="20"/>
          <w:color w:val="auto"/>
        </w:rPr>
      </w:pPr>
      <w:r>
        <w:rPr>
          <w:rFonts w:ascii="Arial" w:cs="Arial" w:eastAsia="Arial" w:hAnsi="Arial"/>
          <w:sz w:val="16"/>
          <w:szCs w:val="16"/>
          <w:color w:val="auto"/>
        </w:rPr>
        <w:t>The Company conducts its business in various foreign countries, and as such, its cash flows and earnings are subject to fluctuations from changes in foreign currency exchange rates. The Company manages its exposures to this market risk through internally established procedures and, when deemed appropriate, through the use of short-term forward exchange contracts. As of August 31, 2010, these transactions were not significant. The Company does not enter into derivative transactions or use other financial instruments for trading or speculative purposes.</w:t>
      </w:r>
    </w:p>
    <w:p>
      <w:pPr>
        <w:spacing w:after="0" w:line="16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Approximately 40% of the Company’s debt at August 31, 2010 and May 31, 2010 bore interest at a variable rate and was sensitive to changes in interest rates, compared to approximately 50% at August 31, 2009. The decrease in variable-rate debt as of August 31, 2010 and May 31, 2010, compared to August 31, 2009, was primarily due to repayments made on the Term Loan. The Company is subject to the risk that market interest rates and its cost of borrowing will increase and thereby increase the interest charged under its variable-rate debt.</w:t>
      </w:r>
    </w:p>
    <w:p>
      <w:pPr>
        <w:spacing w:after="0" w:line="19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Additional information relating to the Company’s outstanding financial instruments is included in Item 2, “Management’s Discussion and Analysis of Financial Condition and Results of Operations.”</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sets forth information about the Company’s debt instruments as of August 31, 2010 (see Note 4 of Notes to condensed consolidated financial statements - unaudited in Item 1,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4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gridSpan w:val="4"/>
          </w:tcPr>
          <w:p>
            <w:pPr>
              <w:jc w:val="right"/>
              <w:spacing w:after="0"/>
              <w:rPr>
                <w:sz w:val="20"/>
                <w:szCs w:val="20"/>
                <w:color w:val="auto"/>
              </w:rPr>
            </w:pPr>
            <w:r>
              <w:rPr>
                <w:rFonts w:ascii="Arial" w:cs="Arial" w:eastAsia="Arial" w:hAnsi="Arial"/>
                <w:sz w:val="18"/>
                <w:szCs w:val="18"/>
                <w:b w:val="1"/>
                <w:bCs w:val="1"/>
                <w:color w:val="auto"/>
              </w:rPr>
              <w:t>Fiscal Year Maturity</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10"/>
        </w:trPr>
        <w:tc>
          <w:tcPr>
            <w:tcW w:w="3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r>
      <w:tr>
        <w:trPr>
          <w:trHeight w:val="466"/>
        </w:trPr>
        <w:tc>
          <w:tcPr>
            <w:tcW w:w="32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jc w:val="right"/>
              <w:ind w:right="272"/>
              <w:spacing w:after="0"/>
              <w:rPr>
                <w:sz w:val="20"/>
                <w:szCs w:val="20"/>
                <w:color w:val="auto"/>
              </w:rPr>
            </w:pPr>
            <w:r>
              <w:rPr>
                <w:rFonts w:ascii="Arial" w:cs="Arial" w:eastAsia="Arial" w:hAnsi="Arial"/>
                <w:sz w:val="18"/>
                <w:szCs w:val="18"/>
                <w:b w:val="1"/>
                <w:bCs w:val="1"/>
                <w:color w:val="auto"/>
                <w:w w:val="78"/>
              </w:rPr>
              <w:t xml:space="preserve">2011 </w:t>
            </w:r>
            <w:r>
              <w:rPr>
                <w:rFonts w:ascii="Arial" w:cs="Arial" w:eastAsia="Arial" w:hAnsi="Arial"/>
                <w:sz w:val="29"/>
                <w:szCs w:val="29"/>
                <w:b w:val="1"/>
                <w:bCs w:val="1"/>
                <w:color w:val="auto"/>
                <w:w w:val="78"/>
                <w:vertAlign w:val="superscript"/>
              </w:rPr>
              <w:t>(1)</w:t>
            </w:r>
          </w:p>
        </w:tc>
        <w:tc>
          <w:tcPr>
            <w:tcW w:w="2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w w:val="94"/>
              </w:rPr>
              <w:t>2012</w:t>
            </w:r>
          </w:p>
        </w:tc>
        <w:tc>
          <w:tcPr>
            <w:tcW w:w="1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ind w:right="252"/>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jc w:val="right"/>
              <w:ind w:right="172"/>
              <w:spacing w:after="0"/>
              <w:rPr>
                <w:sz w:val="20"/>
                <w:szCs w:val="20"/>
                <w:color w:val="auto"/>
              </w:rPr>
            </w:pPr>
            <w:r>
              <w:rPr>
                <w:rFonts w:ascii="Arial" w:cs="Arial" w:eastAsia="Arial" w:hAnsi="Arial"/>
                <w:sz w:val="18"/>
                <w:szCs w:val="18"/>
                <w:b w:val="1"/>
                <w:bCs w:val="1"/>
                <w:color w:val="auto"/>
                <w:w w:val="89"/>
              </w:rPr>
              <w:t>2014</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Thereafter</w:t>
            </w:r>
          </w:p>
        </w:tc>
        <w:tc>
          <w:tcPr>
            <w:tcW w:w="3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jc w:val="right"/>
              <w:ind w:right="392"/>
              <w:spacing w:after="0"/>
              <w:rPr>
                <w:sz w:val="20"/>
                <w:szCs w:val="20"/>
                <w:color w:val="auto"/>
              </w:rPr>
            </w:pPr>
            <w:r>
              <w:rPr>
                <w:rFonts w:ascii="Arial" w:cs="Arial" w:eastAsia="Arial" w:hAnsi="Arial"/>
                <w:sz w:val="18"/>
                <w:szCs w:val="18"/>
                <w:b w:val="1"/>
                <w:bCs w:val="1"/>
                <w:color w:val="auto"/>
              </w:rPr>
              <w:t>Total</w:t>
            </w:r>
          </w:p>
        </w:tc>
      </w:tr>
      <w:tr>
        <w:trPr>
          <w:trHeight w:val="458"/>
        </w:trPr>
        <w:tc>
          <w:tcPr>
            <w:tcW w:w="3240" w:type="dxa"/>
            <w:vAlign w:val="bottom"/>
          </w:tcPr>
          <w:p>
            <w:pPr>
              <w:spacing w:after="0"/>
              <w:rPr>
                <w:sz w:val="20"/>
                <w:szCs w:val="20"/>
                <w:color w:val="auto"/>
              </w:rPr>
            </w:pPr>
            <w:r>
              <w:rPr>
                <w:rFonts w:ascii="Arial" w:cs="Arial" w:eastAsia="Arial" w:hAnsi="Arial"/>
                <w:sz w:val="18"/>
                <w:szCs w:val="18"/>
                <w:b w:val="1"/>
                <w:bCs w:val="1"/>
                <w:color w:val="auto"/>
              </w:rPr>
              <w:t>Debt Obligations</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3240" w:type="dxa"/>
            <w:vAlign w:val="bottom"/>
          </w:tcPr>
          <w:p>
            <w:pPr>
              <w:ind w:left="160"/>
              <w:spacing w:after="0"/>
              <w:rPr>
                <w:sz w:val="20"/>
                <w:szCs w:val="20"/>
                <w:color w:val="auto"/>
              </w:rPr>
            </w:pPr>
            <w:r>
              <w:rPr>
                <w:rFonts w:ascii="Arial" w:cs="Arial" w:eastAsia="Arial" w:hAnsi="Arial"/>
                <w:sz w:val="18"/>
                <w:szCs w:val="18"/>
                <w:color w:val="auto"/>
              </w:rPr>
              <w:t>Lines of Credit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7.7</w:t>
            </w:r>
          </w:p>
        </w:tc>
      </w:tr>
      <w:tr>
        <w:trPr>
          <w:trHeight w:val="222"/>
        </w:trPr>
        <w:tc>
          <w:tcPr>
            <w:tcW w:w="3240" w:type="dxa"/>
            <w:vAlign w:val="bottom"/>
          </w:tcPr>
          <w:p>
            <w:pPr>
              <w:ind w:left="160"/>
              <w:spacing w:after="0"/>
              <w:rPr>
                <w:sz w:val="20"/>
                <w:szCs w:val="20"/>
                <w:color w:val="auto"/>
              </w:rPr>
            </w:pPr>
            <w:r>
              <w:rPr>
                <w:rFonts w:ascii="Arial" w:cs="Arial" w:eastAsia="Arial" w:hAnsi="Arial"/>
                <w:sz w:val="18"/>
                <w:szCs w:val="18"/>
                <w:color w:val="auto"/>
              </w:rPr>
              <w:t>Average interest rate</w:t>
            </w:r>
          </w:p>
        </w:tc>
        <w:tc>
          <w:tcPr>
            <w:tcW w:w="8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58"/>
        </w:trPr>
        <w:tc>
          <w:tcPr>
            <w:tcW w:w="3240" w:type="dxa"/>
            <w:vAlign w:val="bottom"/>
          </w:tcPr>
          <w:p>
            <w:pPr>
              <w:ind w:left="160"/>
              <w:spacing w:after="0"/>
              <w:rPr>
                <w:sz w:val="20"/>
                <w:szCs w:val="20"/>
                <w:color w:val="auto"/>
              </w:rPr>
            </w:pPr>
            <w:r>
              <w:rPr>
                <w:rFonts w:ascii="Arial" w:cs="Arial" w:eastAsia="Arial" w:hAnsi="Arial"/>
                <w:sz w:val="18"/>
                <w:szCs w:val="18"/>
                <w:color w:val="auto"/>
              </w:rPr>
              <w:t>Long-term debt including current</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3240" w:type="dxa"/>
            <w:vAlign w:val="bottom"/>
          </w:tcPr>
          <w:p>
            <w:pPr>
              <w:ind w:left="320"/>
              <w:spacing w:after="0"/>
              <w:rPr>
                <w:sz w:val="20"/>
                <w:szCs w:val="20"/>
                <w:color w:val="auto"/>
              </w:rPr>
            </w:pPr>
            <w:r>
              <w:rPr>
                <w:rFonts w:ascii="Arial" w:cs="Arial" w:eastAsia="Arial" w:hAnsi="Arial"/>
                <w:sz w:val="18"/>
                <w:szCs w:val="18"/>
                <w:color w:val="auto"/>
              </w:rPr>
              <w:t>Fixed-rate debt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153.0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153.0</w:t>
            </w:r>
          </w:p>
        </w:tc>
      </w:tr>
      <w:tr>
        <w:trPr>
          <w:trHeight w:val="222"/>
        </w:trPr>
        <w:tc>
          <w:tcPr>
            <w:tcW w:w="324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59"/>
        </w:trPr>
        <w:tc>
          <w:tcPr>
            <w:tcW w:w="3240" w:type="dxa"/>
            <w:vAlign w:val="bottom"/>
          </w:tcPr>
          <w:p>
            <w:pPr>
              <w:ind w:left="320"/>
              <w:spacing w:after="0"/>
              <w:rPr>
                <w:sz w:val="20"/>
                <w:szCs w:val="20"/>
                <w:color w:val="auto"/>
              </w:rPr>
            </w:pPr>
            <w:r>
              <w:rPr>
                <w:rFonts w:ascii="Arial" w:cs="Arial" w:eastAsia="Arial" w:hAnsi="Arial"/>
                <w:sz w:val="18"/>
                <w:szCs w:val="18"/>
                <w:color w:val="auto"/>
              </w:rPr>
              <w:t>Variable-rate debt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32.1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42.8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w:t>
            </w:r>
            <w:r>
              <w:rPr>
                <w:rFonts w:ascii="Arial" w:cs="Arial" w:eastAsia="Arial" w:hAnsi="Arial"/>
                <w:sz w:val="14"/>
                <w:szCs w:val="14"/>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82.3</w:t>
            </w:r>
          </w:p>
        </w:tc>
      </w:tr>
      <w:tr>
        <w:trPr>
          <w:trHeight w:val="372"/>
        </w:trPr>
        <w:tc>
          <w:tcPr>
            <w:tcW w:w="3240" w:type="dxa"/>
            <w:vAlign w:val="bottom"/>
            <w:tcBorders>
              <w:bottom w:val="single" w:sz="8" w:color="808080"/>
            </w:tcBorders>
          </w:tcPr>
          <w:p>
            <w:pPr>
              <w:ind w:left="320"/>
              <w:spacing w:after="0"/>
              <w:rPr>
                <w:sz w:val="20"/>
                <w:szCs w:val="20"/>
                <w:color w:val="auto"/>
              </w:rPr>
            </w:pPr>
            <w:r>
              <w:rPr>
                <w:rFonts w:ascii="Arial" w:cs="Arial" w:eastAsia="Arial" w:hAnsi="Arial"/>
                <w:sz w:val="18"/>
                <w:szCs w:val="18"/>
                <w:color w:val="auto"/>
              </w:rPr>
              <w:t xml:space="preserve">Interest rate </w:t>
            </w:r>
            <w:r>
              <w:rPr>
                <w:rFonts w:ascii="Arial" w:cs="Arial" w:eastAsia="Arial" w:hAnsi="Arial"/>
                <w:sz w:val="29"/>
                <w:szCs w:val="29"/>
                <w:color w:val="auto"/>
                <w:vertAlign w:val="superscript"/>
              </w:rPr>
              <w:t>(2)</w:t>
            </w:r>
          </w:p>
        </w:tc>
        <w:tc>
          <w:tcPr>
            <w:tcW w:w="8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jc w:val="right"/>
              <w:ind w:right="32"/>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r>
    </w:tbl>
    <w:p>
      <w:pPr>
        <w:spacing w:after="0" w:line="356"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2011 includes the remaining nine months of the current fiscal year.</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the interest rate under the Term Loan at August 31, 2010; the interest rate is subject to change over the life of the Term Loan.</w:t>
      </w:r>
    </w:p>
    <w:p>
      <w:pPr>
        <w:spacing w:after="0" w:line="180" w:lineRule="exact"/>
        <w:rPr>
          <w:rFonts w:ascii="Arial" w:cs="Arial" w:eastAsia="Arial" w:hAnsi="Arial"/>
          <w:sz w:val="16"/>
          <w:szCs w:val="16"/>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final payment under the Term Loan, which has a final maturity of June 1, 2012 but may be repaid at any time.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Chief Executive Officer and the Chief Financial Officer of the Corporation, after conducting an evaluation, together with other members of the Company’s management, of the effectiveness of the design and operation of the Corporation’s disclosure controls and procedures as of August 31, 2010,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 There was no change in the Corporation’s internal control over financial reporting that occurred during the quarter ended August 31, 2010 that has materially affected, or is reasonably likely to materially affect, the Corporation’s internal control over financial reporting.</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table provides information with respect to repurchases of shares of Common Stock by the Corporation during the three months ended August 31, 2010:</w:t>
      </w:r>
    </w:p>
    <w:p>
      <w:pPr>
        <w:spacing w:after="0" w:line="19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Maximum number of</w:t>
            </w:r>
          </w:p>
        </w:tc>
      </w:tr>
      <w:tr>
        <w:trPr>
          <w:trHeight w:val="217"/>
        </w:trPr>
        <w:tc>
          <w:tcPr>
            <w:tcW w:w="2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7"/>
              </w:rPr>
              <w:t>Total cumulative</w:t>
            </w:r>
          </w:p>
        </w:tc>
        <w:tc>
          <w:tcPr>
            <w:tcW w:w="2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shares (or approximate</w:t>
            </w:r>
          </w:p>
        </w:tc>
      </w:tr>
      <w:tr>
        <w:trPr>
          <w:trHeight w:val="216"/>
        </w:trPr>
        <w:tc>
          <w:tcPr>
            <w:tcW w:w="2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shares</w:t>
            </w:r>
          </w:p>
        </w:tc>
        <w:tc>
          <w:tcPr>
            <w:tcW w:w="2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 value) that may</w:t>
            </w:r>
          </w:p>
        </w:tc>
      </w:tr>
      <w:tr>
        <w:trPr>
          <w:trHeight w:val="216"/>
        </w:trPr>
        <w:tc>
          <w:tcPr>
            <w:tcW w:w="2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 as part of</w:t>
            </w:r>
          </w:p>
        </w:tc>
        <w:tc>
          <w:tcPr>
            <w:tcW w:w="2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yet be purchased</w:t>
            </w:r>
          </w:p>
        </w:tc>
      </w:tr>
      <w:tr>
        <w:trPr>
          <w:trHeight w:val="218"/>
        </w:trPr>
        <w:tc>
          <w:tcPr>
            <w:tcW w:w="2420" w:type="dxa"/>
            <w:vAlign w:val="bottom"/>
          </w:tcPr>
          <w:p>
            <w:pPr>
              <w:spacing w:after="0"/>
              <w:rPr>
                <w:sz w:val="18"/>
                <w:szCs w:val="18"/>
                <w:color w:val="auto"/>
              </w:rPr>
            </w:pPr>
          </w:p>
        </w:tc>
        <w:tc>
          <w:tcPr>
            <w:tcW w:w="2300" w:type="dxa"/>
            <w:vAlign w:val="bottom"/>
          </w:tcPr>
          <w:p>
            <w:pPr>
              <w:jc w:val="right"/>
              <w:ind w:right="232"/>
              <w:spacing w:after="0"/>
              <w:rPr>
                <w:sz w:val="20"/>
                <w:szCs w:val="20"/>
                <w:color w:val="auto"/>
              </w:rPr>
            </w:pPr>
            <w:r>
              <w:rPr>
                <w:rFonts w:ascii="Arial" w:cs="Arial" w:eastAsia="Arial" w:hAnsi="Arial"/>
                <w:sz w:val="18"/>
                <w:szCs w:val="18"/>
                <w:b w:val="1"/>
                <w:bCs w:val="1"/>
                <w:color w:val="auto"/>
              </w:rPr>
              <w:t>Total number of</w:t>
            </w:r>
          </w:p>
        </w:tc>
        <w:tc>
          <w:tcPr>
            <w:tcW w:w="198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Average price paid</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7"/>
              </w:rPr>
              <w:t>publicly announced</w:t>
            </w:r>
          </w:p>
        </w:tc>
        <w:tc>
          <w:tcPr>
            <w:tcW w:w="2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under the plans or</w:t>
            </w:r>
          </w:p>
        </w:tc>
      </w:tr>
      <w:tr>
        <w:trPr>
          <w:trHeight w:val="376"/>
        </w:trPr>
        <w:tc>
          <w:tcPr>
            <w:tcW w:w="2420" w:type="dxa"/>
            <w:vAlign w:val="bottom"/>
            <w:tcBorders>
              <w:bottom w:val="single" w:sz="8" w:color="808080"/>
            </w:tcBorders>
          </w:tcPr>
          <w:p>
            <w:pPr>
              <w:ind w:left="700"/>
              <w:spacing w:after="0"/>
              <w:rPr>
                <w:sz w:val="20"/>
                <w:szCs w:val="20"/>
                <w:color w:val="auto"/>
              </w:rPr>
            </w:pPr>
            <w:r>
              <w:rPr>
                <w:rFonts w:ascii="Arial" w:cs="Arial" w:eastAsia="Arial" w:hAnsi="Arial"/>
                <w:sz w:val="18"/>
                <w:szCs w:val="18"/>
                <w:b w:val="1"/>
                <w:bCs w:val="1"/>
                <w:color w:val="auto"/>
              </w:rPr>
              <w:t>Period</w:t>
            </w:r>
          </w:p>
        </w:tc>
        <w:tc>
          <w:tcPr>
            <w:tcW w:w="2300" w:type="dxa"/>
            <w:vAlign w:val="bottom"/>
            <w:tcBorders>
              <w:bottom w:val="single" w:sz="8" w:color="808080"/>
            </w:tcBorders>
          </w:tcPr>
          <w:p>
            <w:pPr>
              <w:jc w:val="right"/>
              <w:ind w:right="192"/>
              <w:spacing w:after="0"/>
              <w:rPr>
                <w:sz w:val="20"/>
                <w:szCs w:val="20"/>
                <w:color w:val="auto"/>
              </w:rPr>
            </w:pPr>
            <w:r>
              <w:rPr>
                <w:rFonts w:ascii="Arial" w:cs="Arial" w:eastAsia="Arial" w:hAnsi="Arial"/>
                <w:sz w:val="18"/>
                <w:szCs w:val="18"/>
                <w:b w:val="1"/>
                <w:bCs w:val="1"/>
                <w:color w:val="auto"/>
              </w:rPr>
              <w:t>shares purchased</w:t>
            </w:r>
          </w:p>
        </w:tc>
        <w:tc>
          <w:tcPr>
            <w:tcW w:w="5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jc w:val="right"/>
              <w:ind w:right="572"/>
              <w:spacing w:after="0"/>
              <w:rPr>
                <w:sz w:val="20"/>
                <w:szCs w:val="20"/>
                <w:color w:val="auto"/>
              </w:rPr>
            </w:pPr>
            <w:r>
              <w:rPr>
                <w:rFonts w:ascii="Arial" w:cs="Arial" w:eastAsia="Arial" w:hAnsi="Arial"/>
                <w:sz w:val="18"/>
                <w:szCs w:val="18"/>
                <w:b w:val="1"/>
                <w:bCs w:val="1"/>
                <w:color w:val="auto"/>
                <w:w w:val="88"/>
              </w:rPr>
              <w:t>per share</w:t>
            </w:r>
          </w:p>
        </w:tc>
        <w:tc>
          <w:tcPr>
            <w:tcW w:w="2220" w:type="dxa"/>
            <w:vAlign w:val="bottom"/>
            <w:tcBorders>
              <w:bottom w:val="single" w:sz="8" w:color="808080"/>
            </w:tcBorders>
          </w:tcPr>
          <w:p>
            <w:pPr>
              <w:jc w:val="center"/>
              <w:spacing w:after="0"/>
              <w:rPr>
                <w:sz w:val="20"/>
                <w:szCs w:val="20"/>
                <w:color w:val="auto"/>
              </w:rPr>
            </w:pPr>
            <w:r>
              <w:rPr>
                <w:rFonts w:ascii="Arial" w:cs="Arial" w:eastAsia="Arial" w:hAnsi="Arial"/>
                <w:sz w:val="18"/>
                <w:szCs w:val="18"/>
                <w:b w:val="1"/>
                <w:bCs w:val="1"/>
                <w:color w:val="auto"/>
                <w:w w:val="88"/>
              </w:rPr>
              <w:t>plans or programs</w:t>
            </w:r>
          </w:p>
        </w:tc>
        <w:tc>
          <w:tcPr>
            <w:tcW w:w="2520" w:type="dxa"/>
            <w:vAlign w:val="bottom"/>
            <w:tcBorders>
              <w:bottom w:val="single" w:sz="8" w:color="808080"/>
            </w:tcBorders>
            <w:gridSpan w:val="2"/>
          </w:tcPr>
          <w:p>
            <w:pPr>
              <w:jc w:val="center"/>
              <w:spacing w:after="0"/>
              <w:rPr>
                <w:sz w:val="20"/>
                <w:szCs w:val="20"/>
                <w:color w:val="auto"/>
              </w:rPr>
            </w:pPr>
            <w:r>
              <w:rPr>
                <w:rFonts w:ascii="Arial" w:cs="Arial" w:eastAsia="Arial" w:hAnsi="Arial"/>
                <w:sz w:val="18"/>
                <w:szCs w:val="18"/>
                <w:b w:val="1"/>
                <w:bCs w:val="1"/>
                <w:color w:val="auto"/>
                <w:w w:val="84"/>
              </w:rPr>
              <w:t xml:space="preserve">programs </w:t>
            </w:r>
            <w:r>
              <w:rPr>
                <w:rFonts w:ascii="Arial" w:cs="Arial" w:eastAsia="Arial" w:hAnsi="Arial"/>
                <w:sz w:val="29"/>
                <w:szCs w:val="29"/>
                <w:b w:val="1"/>
                <w:bCs w:val="1"/>
                <w:color w:val="auto"/>
                <w:w w:val="84"/>
                <w:vertAlign w:val="superscript"/>
              </w:rPr>
              <w:t>(1)</w:t>
            </w:r>
          </w:p>
        </w:tc>
      </w:tr>
      <w:tr>
        <w:trPr>
          <w:trHeight w:val="309"/>
        </w:trPr>
        <w:tc>
          <w:tcPr>
            <w:tcW w:w="2420" w:type="dxa"/>
            <w:vAlign w:val="bottom"/>
          </w:tcPr>
          <w:p>
            <w:pPr>
              <w:spacing w:after="0"/>
              <w:rPr>
                <w:sz w:val="20"/>
                <w:szCs w:val="20"/>
                <w:color w:val="auto"/>
              </w:rPr>
            </w:pPr>
            <w:r>
              <w:rPr>
                <w:rFonts w:ascii="Arial" w:cs="Arial" w:eastAsia="Arial" w:hAnsi="Arial"/>
                <w:sz w:val="18"/>
                <w:szCs w:val="18"/>
                <w:color w:val="auto"/>
              </w:rPr>
              <w:t>June 1, 2010 through</w:t>
            </w:r>
          </w:p>
        </w:tc>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2"/>
        </w:trPr>
        <w:tc>
          <w:tcPr>
            <w:tcW w:w="2420" w:type="dxa"/>
            <w:vAlign w:val="bottom"/>
          </w:tcPr>
          <w:p>
            <w:pPr>
              <w:ind w:left="160"/>
              <w:spacing w:after="0"/>
              <w:rPr>
                <w:sz w:val="20"/>
                <w:szCs w:val="20"/>
                <w:color w:val="auto"/>
              </w:rPr>
            </w:pPr>
            <w:r>
              <w:rPr>
                <w:rFonts w:ascii="Arial" w:cs="Arial" w:eastAsia="Arial" w:hAnsi="Arial"/>
                <w:sz w:val="18"/>
                <w:szCs w:val="18"/>
                <w:color w:val="auto"/>
              </w:rPr>
              <w:t>June 30, 2010</w:t>
            </w:r>
          </w:p>
        </w:tc>
        <w:tc>
          <w:tcPr>
            <w:tcW w:w="2300" w:type="dxa"/>
            <w:vAlign w:val="bottom"/>
          </w:tcPr>
          <w:p>
            <w:pPr>
              <w:jc w:val="right"/>
              <w:ind w:right="512"/>
              <w:spacing w:after="0"/>
              <w:rPr>
                <w:sz w:val="20"/>
                <w:szCs w:val="20"/>
                <w:color w:val="auto"/>
              </w:rPr>
            </w:pPr>
            <w:r>
              <w:rPr>
                <w:rFonts w:ascii="Arial" w:cs="Arial" w:eastAsia="Arial" w:hAnsi="Arial"/>
                <w:sz w:val="18"/>
                <w:szCs w:val="18"/>
                <w:color w:val="auto"/>
              </w:rPr>
              <w:t>123,800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92"/>
              <w:spacing w:after="0"/>
              <w:rPr>
                <w:sz w:val="20"/>
                <w:szCs w:val="20"/>
                <w:color w:val="auto"/>
              </w:rPr>
            </w:pPr>
            <w:r>
              <w:rPr>
                <w:rFonts w:ascii="Arial" w:cs="Arial" w:eastAsia="Arial" w:hAnsi="Arial"/>
                <w:sz w:val="18"/>
                <w:szCs w:val="18"/>
                <w:color w:val="auto"/>
              </w:rPr>
              <w:t>24.84</w:t>
            </w:r>
          </w:p>
        </w:tc>
        <w:tc>
          <w:tcPr>
            <w:tcW w:w="2220" w:type="dxa"/>
            <w:vAlign w:val="bottom"/>
          </w:tcPr>
          <w:p>
            <w:pPr>
              <w:jc w:val="right"/>
              <w:ind w:right="672"/>
              <w:spacing w:after="0"/>
              <w:rPr>
                <w:sz w:val="20"/>
                <w:szCs w:val="20"/>
                <w:color w:val="auto"/>
              </w:rPr>
            </w:pPr>
            <w:r>
              <w:rPr>
                <w:rFonts w:ascii="Arial" w:cs="Arial" w:eastAsia="Arial" w:hAnsi="Arial"/>
                <w:sz w:val="18"/>
                <w:szCs w:val="18"/>
                <w:color w:val="auto"/>
              </w:rPr>
              <w:t>123,800</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812"/>
              <w:spacing w:after="0"/>
              <w:rPr>
                <w:sz w:val="20"/>
                <w:szCs w:val="20"/>
                <w:color w:val="auto"/>
              </w:rPr>
            </w:pPr>
            <w:r>
              <w:rPr>
                <w:rFonts w:ascii="Arial" w:cs="Arial" w:eastAsia="Arial" w:hAnsi="Arial"/>
                <w:sz w:val="18"/>
                <w:szCs w:val="18"/>
                <w:color w:val="auto"/>
              </w:rPr>
              <w:t>7.1</w:t>
            </w:r>
          </w:p>
        </w:tc>
      </w:tr>
      <w:tr>
        <w:trPr>
          <w:trHeight w:val="358"/>
        </w:trPr>
        <w:tc>
          <w:tcPr>
            <w:tcW w:w="2420" w:type="dxa"/>
            <w:vAlign w:val="bottom"/>
          </w:tcPr>
          <w:p>
            <w:pPr>
              <w:spacing w:after="0"/>
              <w:rPr>
                <w:sz w:val="20"/>
                <w:szCs w:val="20"/>
                <w:color w:val="auto"/>
              </w:rPr>
            </w:pPr>
            <w:r>
              <w:rPr>
                <w:rFonts w:ascii="Arial" w:cs="Arial" w:eastAsia="Arial" w:hAnsi="Arial"/>
                <w:sz w:val="18"/>
                <w:szCs w:val="18"/>
                <w:color w:val="auto"/>
              </w:rPr>
              <w:t>July 1, 2010 through</w:t>
            </w:r>
          </w:p>
        </w:tc>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2"/>
        </w:trPr>
        <w:tc>
          <w:tcPr>
            <w:tcW w:w="2420" w:type="dxa"/>
            <w:vAlign w:val="bottom"/>
          </w:tcPr>
          <w:p>
            <w:pPr>
              <w:ind w:left="160"/>
              <w:spacing w:after="0"/>
              <w:rPr>
                <w:sz w:val="20"/>
                <w:szCs w:val="20"/>
                <w:color w:val="auto"/>
              </w:rPr>
            </w:pPr>
            <w:r>
              <w:rPr>
                <w:rFonts w:ascii="Arial" w:cs="Arial" w:eastAsia="Arial" w:hAnsi="Arial"/>
                <w:sz w:val="18"/>
                <w:szCs w:val="18"/>
                <w:color w:val="auto"/>
              </w:rPr>
              <w:t>July 31, 2010</w:t>
            </w:r>
          </w:p>
        </w:tc>
        <w:tc>
          <w:tcPr>
            <w:tcW w:w="2300" w:type="dxa"/>
            <w:vAlign w:val="bottom"/>
          </w:tcPr>
          <w:p>
            <w:pPr>
              <w:jc w:val="right"/>
              <w:ind w:right="512"/>
              <w:spacing w:after="0"/>
              <w:rPr>
                <w:sz w:val="20"/>
                <w:szCs w:val="20"/>
                <w:color w:val="auto"/>
              </w:rPr>
            </w:pPr>
            <w:r>
              <w:rPr>
                <w:rFonts w:ascii="Arial" w:cs="Arial" w:eastAsia="Arial" w:hAnsi="Arial"/>
                <w:sz w:val="18"/>
                <w:szCs w:val="18"/>
                <w:color w:val="auto"/>
              </w:rPr>
              <w:t>127,962</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92"/>
              <w:spacing w:after="0"/>
              <w:rPr>
                <w:sz w:val="20"/>
                <w:szCs w:val="20"/>
                <w:color w:val="auto"/>
              </w:rPr>
            </w:pPr>
            <w:r>
              <w:rPr>
                <w:rFonts w:ascii="Arial" w:cs="Arial" w:eastAsia="Arial" w:hAnsi="Arial"/>
                <w:sz w:val="18"/>
                <w:szCs w:val="18"/>
                <w:color w:val="auto"/>
              </w:rPr>
              <w:t>25.40</w:t>
            </w:r>
          </w:p>
        </w:tc>
        <w:tc>
          <w:tcPr>
            <w:tcW w:w="2220" w:type="dxa"/>
            <w:vAlign w:val="bottom"/>
          </w:tcPr>
          <w:p>
            <w:pPr>
              <w:jc w:val="right"/>
              <w:ind w:right="672"/>
              <w:spacing w:after="0"/>
              <w:rPr>
                <w:sz w:val="20"/>
                <w:szCs w:val="20"/>
                <w:color w:val="auto"/>
              </w:rPr>
            </w:pPr>
            <w:r>
              <w:rPr>
                <w:rFonts w:ascii="Arial" w:cs="Arial" w:eastAsia="Arial" w:hAnsi="Arial"/>
                <w:sz w:val="18"/>
                <w:szCs w:val="18"/>
                <w:color w:val="auto"/>
              </w:rPr>
              <w:t>251,762</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812"/>
              <w:spacing w:after="0"/>
              <w:rPr>
                <w:sz w:val="20"/>
                <w:szCs w:val="20"/>
                <w:color w:val="auto"/>
              </w:rPr>
            </w:pPr>
            <w:r>
              <w:rPr>
                <w:rFonts w:ascii="Arial" w:cs="Arial" w:eastAsia="Arial" w:hAnsi="Arial"/>
                <w:sz w:val="18"/>
                <w:szCs w:val="18"/>
                <w:color w:val="auto"/>
              </w:rPr>
              <w:t>3.9</w:t>
            </w:r>
          </w:p>
        </w:tc>
      </w:tr>
      <w:tr>
        <w:trPr>
          <w:trHeight w:val="358"/>
        </w:trPr>
        <w:tc>
          <w:tcPr>
            <w:tcW w:w="2420" w:type="dxa"/>
            <w:vAlign w:val="bottom"/>
          </w:tcPr>
          <w:p>
            <w:pPr>
              <w:spacing w:after="0"/>
              <w:rPr>
                <w:sz w:val="20"/>
                <w:szCs w:val="20"/>
                <w:color w:val="auto"/>
              </w:rPr>
            </w:pPr>
            <w:r>
              <w:rPr>
                <w:rFonts w:ascii="Arial" w:cs="Arial" w:eastAsia="Arial" w:hAnsi="Arial"/>
                <w:sz w:val="18"/>
                <w:szCs w:val="18"/>
                <w:color w:val="auto"/>
              </w:rPr>
              <w:t>August 1, 2010 through</w:t>
            </w:r>
          </w:p>
        </w:tc>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2"/>
        </w:trPr>
        <w:tc>
          <w:tcPr>
            <w:tcW w:w="2420" w:type="dxa"/>
            <w:vAlign w:val="bottom"/>
          </w:tcPr>
          <w:p>
            <w:pPr>
              <w:ind w:left="160"/>
              <w:spacing w:after="0"/>
              <w:rPr>
                <w:sz w:val="20"/>
                <w:szCs w:val="20"/>
                <w:color w:val="auto"/>
              </w:rPr>
            </w:pPr>
            <w:r>
              <w:rPr>
                <w:rFonts w:ascii="Arial" w:cs="Arial" w:eastAsia="Arial" w:hAnsi="Arial"/>
                <w:sz w:val="18"/>
                <w:szCs w:val="18"/>
                <w:color w:val="auto"/>
              </w:rPr>
              <w:t>August 31, 2010</w:t>
            </w:r>
          </w:p>
        </w:tc>
        <w:tc>
          <w:tcPr>
            <w:tcW w:w="2300" w:type="dxa"/>
            <w:vAlign w:val="bottom"/>
          </w:tcPr>
          <w:p>
            <w:pPr>
              <w:jc w:val="right"/>
              <w:ind w:right="512"/>
              <w:spacing w:after="0"/>
              <w:rPr>
                <w:sz w:val="20"/>
                <w:szCs w:val="20"/>
                <w:color w:val="auto"/>
              </w:rPr>
            </w:pPr>
            <w:r>
              <w:rPr>
                <w:rFonts w:ascii="Arial" w:cs="Arial" w:eastAsia="Arial" w:hAnsi="Arial"/>
                <w:sz w:val="18"/>
                <w:szCs w:val="18"/>
                <w:color w:val="auto"/>
              </w:rPr>
              <w:t>136,664</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92"/>
              <w:spacing w:after="0"/>
              <w:rPr>
                <w:sz w:val="20"/>
                <w:szCs w:val="20"/>
                <w:color w:val="auto"/>
              </w:rPr>
            </w:pPr>
            <w:r>
              <w:rPr>
                <w:rFonts w:ascii="Arial" w:cs="Arial" w:eastAsia="Arial" w:hAnsi="Arial"/>
                <w:sz w:val="18"/>
                <w:szCs w:val="18"/>
                <w:color w:val="auto"/>
              </w:rPr>
              <w:t>24.72</w:t>
            </w:r>
          </w:p>
        </w:tc>
        <w:tc>
          <w:tcPr>
            <w:tcW w:w="2220" w:type="dxa"/>
            <w:vAlign w:val="bottom"/>
          </w:tcPr>
          <w:p>
            <w:pPr>
              <w:jc w:val="right"/>
              <w:ind w:right="672"/>
              <w:spacing w:after="0"/>
              <w:rPr>
                <w:sz w:val="20"/>
                <w:szCs w:val="20"/>
                <w:color w:val="auto"/>
              </w:rPr>
            </w:pPr>
            <w:r>
              <w:rPr>
                <w:rFonts w:ascii="Arial" w:cs="Arial" w:eastAsia="Arial" w:hAnsi="Arial"/>
                <w:sz w:val="18"/>
                <w:szCs w:val="18"/>
                <w:color w:val="auto"/>
              </w:rPr>
              <w:t>388,426</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812"/>
              <w:spacing w:after="0"/>
              <w:rPr>
                <w:sz w:val="20"/>
                <w:szCs w:val="20"/>
                <w:color w:val="auto"/>
              </w:rPr>
            </w:pPr>
            <w:r>
              <w:rPr>
                <w:rFonts w:ascii="Arial" w:cs="Arial" w:eastAsia="Arial" w:hAnsi="Arial"/>
                <w:sz w:val="18"/>
                <w:szCs w:val="18"/>
                <w:color w:val="auto"/>
              </w:rPr>
              <w:t>0.5</w:t>
            </w:r>
          </w:p>
        </w:tc>
      </w:tr>
      <w:tr>
        <w:trPr>
          <w:trHeight w:val="365"/>
        </w:trPr>
        <w:tc>
          <w:tcPr>
            <w:tcW w:w="2420" w:type="dxa"/>
            <w:vAlign w:val="bottom"/>
          </w:tcPr>
          <w:p>
            <w:pPr>
              <w:ind w:left="320"/>
              <w:spacing w:after="0"/>
              <w:rPr>
                <w:sz w:val="20"/>
                <w:szCs w:val="20"/>
                <w:color w:val="auto"/>
              </w:rPr>
            </w:pPr>
            <w:r>
              <w:rPr>
                <w:rFonts w:ascii="Arial" w:cs="Arial" w:eastAsia="Arial" w:hAnsi="Arial"/>
                <w:sz w:val="18"/>
                <w:szCs w:val="18"/>
                <w:color w:val="auto"/>
              </w:rPr>
              <w:t>Total</w:t>
            </w:r>
          </w:p>
        </w:tc>
        <w:tc>
          <w:tcPr>
            <w:tcW w:w="2300" w:type="dxa"/>
            <w:vAlign w:val="bottom"/>
          </w:tcPr>
          <w:p>
            <w:pPr>
              <w:jc w:val="right"/>
              <w:ind w:right="512"/>
              <w:spacing w:after="0"/>
              <w:rPr>
                <w:sz w:val="20"/>
                <w:szCs w:val="20"/>
                <w:color w:val="auto"/>
              </w:rPr>
            </w:pPr>
            <w:r>
              <w:rPr>
                <w:rFonts w:ascii="Arial" w:cs="Arial" w:eastAsia="Arial" w:hAnsi="Arial"/>
                <w:sz w:val="18"/>
                <w:szCs w:val="18"/>
                <w:color w:val="auto"/>
              </w:rPr>
              <w:t>388,426</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92"/>
              <w:spacing w:after="0"/>
              <w:rPr>
                <w:sz w:val="20"/>
                <w:szCs w:val="20"/>
                <w:color w:val="auto"/>
              </w:rPr>
            </w:pPr>
            <w:r>
              <w:rPr>
                <w:rFonts w:ascii="Arial" w:cs="Arial" w:eastAsia="Arial" w:hAnsi="Arial"/>
                <w:sz w:val="18"/>
                <w:szCs w:val="18"/>
                <w:color w:val="auto"/>
              </w:rPr>
              <w:t>24.98</w:t>
            </w: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0"/>
        </w:trPr>
        <w:tc>
          <w:tcPr>
            <w:tcW w:w="242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r>
    </w:tbl>
    <w:p>
      <w:pPr>
        <w:spacing w:after="0" w:line="356" w:lineRule="exact"/>
        <w:rPr>
          <w:sz w:val="20"/>
          <w:szCs w:val="20"/>
          <w:color w:val="auto"/>
        </w:rPr>
      </w:pPr>
    </w:p>
    <w:p>
      <w:pPr>
        <w:jc w:val="both"/>
        <w:ind w:left="580" w:right="200" w:hanging="572"/>
        <w:spacing w:after="0" w:line="259"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December 16, 2009, the Company announced that its Board of Directors had authorized a new program to purchase up to $20.0 million of Common Stock, from time to time as conditions allow, on the open market or through negotiated private transactions. As of August 31, 2010, approximately $0.5 million remained of the current authorization.</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34" w:name="page35"/>
    <w:bookmarkEnd w:id="34"/>
    <w:p>
      <w:pPr>
        <w:spacing w:after="0" w:line="204" w:lineRule="auto"/>
        <w:framePr w:w="1940" w:h="156" w:wrap="auto" w:vAnchor="page" w:hAnchor="page" w:x="1240" w:y="4008"/>
        <w:rPr>
          <w:rFonts w:ascii="Arial" w:cs="Arial" w:eastAsia="Arial" w:hAnsi="Arial"/>
          <w:sz w:val="16"/>
          <w:szCs w:val="16"/>
          <w:color w:val="auto"/>
        </w:rPr>
      </w:pPr>
      <w:r>
        <w:rPr>
          <w:rFonts w:ascii="Arial" w:cs="Arial" w:eastAsia="Arial" w:hAnsi="Arial"/>
          <w:sz w:val="16"/>
          <w:szCs w:val="16"/>
          <w:color w:val="auto"/>
        </w:rPr>
        <w:t>XBRL Instance Document</w:t>
      </w:r>
    </w:p>
    <w:p>
      <w:pPr>
        <w:spacing w:after="0" w:line="421" w:lineRule="auto"/>
        <w:framePr w:w="3760" w:h="1615" w:wrap="auto" w:vAnchor="page" w:hAnchor="page" w:x="1240" w:y="4373"/>
        <w:rPr>
          <w:rFonts w:ascii="Arial" w:cs="Arial" w:eastAsia="Arial" w:hAnsi="Arial"/>
          <w:sz w:val="16"/>
          <w:szCs w:val="16"/>
          <w:color w:val="auto"/>
        </w:rPr>
      </w:pPr>
      <w:r>
        <w:rPr>
          <w:rFonts w:ascii="Arial" w:cs="Arial" w:eastAsia="Arial" w:hAnsi="Arial"/>
          <w:sz w:val="16"/>
          <w:szCs w:val="16"/>
          <w:color w:val="auto"/>
        </w:rPr>
        <w:t>XBRL Taxonomy Extension Schema Document XBRL Taxonomy Extension Calculation Document XBRL Taxonomy Extension Definitions Document XBRL Taxonomy Extension Labels Document XBRL Taxonomy Extension Presentation Document</w:t>
      </w: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Exhibits:</w:t>
            </w:r>
          </w:p>
        </w:tc>
        <w:tc>
          <w:tcPr>
            <w:tcW w:w="10260" w:type="dxa"/>
            <w:vAlign w:val="bottom"/>
          </w:tcPr>
          <w:p>
            <w:pPr>
              <w:spacing w:after="0"/>
              <w:rPr>
                <w:sz w:val="19"/>
                <w:szCs w:val="19"/>
                <w:color w:val="auto"/>
              </w:rPr>
            </w:pPr>
          </w:p>
        </w:tc>
      </w:tr>
      <w:tr>
        <w:trPr>
          <w:trHeight w:val="358"/>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10260" w:type="dxa"/>
            <w:vAlign w:val="bottom"/>
          </w:tcPr>
          <w:p>
            <w:pPr>
              <w:ind w:left="200"/>
              <w:spacing w:after="0"/>
              <w:rPr>
                <w:sz w:val="20"/>
                <w:szCs w:val="20"/>
                <w:color w:val="auto"/>
              </w:rPr>
            </w:pPr>
            <w:r>
              <w:rPr>
                <w:rFonts w:ascii="Arial" w:cs="Arial" w:eastAsia="Arial" w:hAnsi="Arial"/>
                <w:sz w:val="18"/>
                <w:szCs w:val="18"/>
                <w:color w:val="auto"/>
                <w:w w:val="87"/>
              </w:rPr>
              <w:t>Amendment No. 1, dated as of August 16, 2010, to the Credit Agreement, dated as of June 1, 2007, among the registrant and Scholastic Inc., as</w:t>
            </w:r>
          </w:p>
        </w:tc>
      </w:tr>
      <w:tr>
        <w:trPr>
          <w:trHeight w:val="216"/>
        </w:trPr>
        <w:tc>
          <w:tcPr>
            <w:tcW w:w="840" w:type="dxa"/>
            <w:vAlign w:val="bottom"/>
          </w:tcPr>
          <w:p>
            <w:pPr>
              <w:spacing w:after="0"/>
              <w:rPr>
                <w:sz w:val="18"/>
                <w:szCs w:val="18"/>
                <w:color w:val="auto"/>
              </w:rPr>
            </w:pPr>
          </w:p>
        </w:tc>
        <w:tc>
          <w:tcPr>
            <w:tcW w:w="10260" w:type="dxa"/>
            <w:vAlign w:val="bottom"/>
          </w:tcPr>
          <w:p>
            <w:pPr>
              <w:ind w:left="200"/>
              <w:spacing w:after="0"/>
              <w:rPr>
                <w:sz w:val="20"/>
                <w:szCs w:val="20"/>
                <w:color w:val="auto"/>
              </w:rPr>
            </w:pPr>
            <w:r>
              <w:rPr>
                <w:rFonts w:ascii="Arial" w:cs="Arial" w:eastAsia="Arial" w:hAnsi="Arial"/>
                <w:sz w:val="18"/>
                <w:szCs w:val="18"/>
                <w:color w:val="auto"/>
                <w:w w:val="89"/>
              </w:rPr>
              <w:t>borrowers, the Initial Lenders named therein, JP Morgan Chase Bank, N.A., as administrative agent, J.P. Morgan Securities Inc. and Bank of</w:t>
            </w:r>
          </w:p>
        </w:tc>
      </w:tr>
      <w:tr>
        <w:trPr>
          <w:trHeight w:val="216"/>
        </w:trPr>
        <w:tc>
          <w:tcPr>
            <w:tcW w:w="840" w:type="dxa"/>
            <w:vAlign w:val="bottom"/>
          </w:tcPr>
          <w:p>
            <w:pPr>
              <w:spacing w:after="0"/>
              <w:rPr>
                <w:sz w:val="18"/>
                <w:szCs w:val="18"/>
                <w:color w:val="auto"/>
              </w:rPr>
            </w:pPr>
          </w:p>
        </w:tc>
        <w:tc>
          <w:tcPr>
            <w:tcW w:w="10260" w:type="dxa"/>
            <w:vAlign w:val="bottom"/>
          </w:tcPr>
          <w:p>
            <w:pPr>
              <w:ind w:left="200"/>
              <w:spacing w:after="0"/>
              <w:rPr>
                <w:sz w:val="20"/>
                <w:szCs w:val="20"/>
                <w:color w:val="auto"/>
              </w:rPr>
            </w:pPr>
            <w:r>
              <w:rPr>
                <w:rFonts w:ascii="Arial" w:cs="Arial" w:eastAsia="Arial" w:hAnsi="Arial"/>
                <w:sz w:val="18"/>
                <w:szCs w:val="18"/>
                <w:color w:val="auto"/>
                <w:w w:val="90"/>
              </w:rPr>
              <w:t>America Securities LLC, as joint lead arrangers and joint lead bookrunners, Bank of America, N.A. and Wachovia Bank, N.A., as syndication</w:t>
            </w:r>
          </w:p>
        </w:tc>
      </w:tr>
      <w:tr>
        <w:trPr>
          <w:trHeight w:val="222"/>
        </w:trPr>
        <w:tc>
          <w:tcPr>
            <w:tcW w:w="840" w:type="dxa"/>
            <w:vAlign w:val="bottom"/>
          </w:tcPr>
          <w:p>
            <w:pPr>
              <w:spacing w:after="0"/>
              <w:rPr>
                <w:sz w:val="19"/>
                <w:szCs w:val="19"/>
                <w:color w:val="auto"/>
              </w:rPr>
            </w:pPr>
          </w:p>
        </w:tc>
        <w:tc>
          <w:tcPr>
            <w:tcW w:w="10260" w:type="dxa"/>
            <w:vAlign w:val="bottom"/>
          </w:tcPr>
          <w:p>
            <w:pPr>
              <w:ind w:left="200"/>
              <w:spacing w:after="0"/>
              <w:rPr>
                <w:sz w:val="20"/>
                <w:szCs w:val="20"/>
                <w:color w:val="auto"/>
              </w:rPr>
            </w:pPr>
            <w:r>
              <w:rPr>
                <w:rFonts w:ascii="Arial" w:cs="Arial" w:eastAsia="Arial" w:hAnsi="Arial"/>
                <w:sz w:val="18"/>
                <w:szCs w:val="18"/>
                <w:color w:val="auto"/>
              </w:rPr>
              <w:t>agents, and SunTrust Bank and The Royal Bank of Scotland, plc as Documentation Agents.</w:t>
            </w: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tcPr>
          <w:p>
            <w:pPr>
              <w:ind w:left="200"/>
              <w:spacing w:after="0"/>
              <w:rPr>
                <w:sz w:val="20"/>
                <w:szCs w:val="20"/>
                <w:color w:val="auto"/>
              </w:rPr>
            </w:pPr>
            <w:r>
              <w:rPr>
                <w:rFonts w:ascii="Arial" w:cs="Arial" w:eastAsia="Arial" w:hAnsi="Arial"/>
                <w:sz w:val="18"/>
                <w:szCs w:val="18"/>
                <w:color w:val="auto"/>
                <w:w w:val="94"/>
              </w:rPr>
              <w:t>Certification of the Chief Executive Officer of Scholastic Corporation filed pursuant to Section 302 of the Sarbanes-Oxley Act of 2002.</w:t>
            </w: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tcPr>
          <w:p>
            <w:pPr>
              <w:ind w:left="200"/>
              <w:spacing w:after="0"/>
              <w:rPr>
                <w:sz w:val="20"/>
                <w:szCs w:val="20"/>
                <w:color w:val="auto"/>
              </w:rPr>
            </w:pPr>
            <w:r>
              <w:rPr>
                <w:rFonts w:ascii="Arial" w:cs="Arial" w:eastAsia="Arial" w:hAnsi="Arial"/>
                <w:sz w:val="18"/>
                <w:szCs w:val="18"/>
                <w:color w:val="auto"/>
                <w:w w:val="95"/>
              </w:rPr>
              <w:t>Certification of the Chief Financial Officer of Scholastic Corporation filed pursuant to Section 302 of the Sarbanes-Oxley Act of 2002.</w:t>
            </w:r>
          </w:p>
        </w:tc>
      </w:tr>
    </w:tbl>
    <w:p>
      <w:pPr>
        <w:spacing w:after="0" w:line="142" w:lineRule="exact"/>
        <w:rPr>
          <w:rFonts w:ascii="Arial" w:cs="Arial" w:eastAsia="Arial" w:hAnsi="Arial"/>
          <w:sz w:val="16"/>
          <w:szCs w:val="16"/>
          <w:color w:val="auto"/>
        </w:rPr>
      </w:pPr>
    </w:p>
    <w:p>
      <w:pPr>
        <w:ind w:left="1040" w:right="240" w:hanging="1032"/>
        <w:spacing w:after="0" w:line="268"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11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101.INS</w:t>
      </w:r>
    </w:p>
    <w:p>
      <w:pPr>
        <w:spacing w:after="0" w:line="15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101.SCH</w:t>
      </w:r>
    </w:p>
    <w:p>
      <w:pPr>
        <w:spacing w:after="0" w:line="15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101.CAL</w:t>
      </w:r>
    </w:p>
    <w:p>
      <w:pPr>
        <w:spacing w:after="0" w:line="15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101.DEF</w:t>
      </w:r>
    </w:p>
    <w:p>
      <w:pPr>
        <w:spacing w:after="0" w:line="15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101.LAB</w:t>
      </w:r>
    </w:p>
    <w:p>
      <w:pPr>
        <w:spacing w:after="0" w:line="15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101.PRE</w:t>
      </w:r>
    </w:p>
    <w:p>
      <w:pPr>
        <w:spacing w:after="0" w:line="225" w:lineRule="exact"/>
        <w:rPr>
          <w:rFonts w:ascii="Arial" w:cs="Arial" w:eastAsia="Arial" w:hAnsi="Arial"/>
          <w:sz w:val="16"/>
          <w:szCs w:val="16"/>
          <w:color w:val="auto"/>
        </w:rPr>
      </w:pPr>
    </w:p>
    <w:p>
      <w:pPr>
        <w:jc w:val="center"/>
        <w:ind w:right="-319"/>
        <w:spacing w:after="0"/>
        <w:rPr>
          <w:sz w:val="20"/>
          <w:szCs w:val="20"/>
          <w:color w:val="auto"/>
        </w:rPr>
      </w:pPr>
      <w:r>
        <w:rPr>
          <w:rFonts w:ascii="Arial" w:cs="Arial" w:eastAsia="Arial" w:hAnsi="Arial"/>
          <w:sz w:val="18"/>
          <w:szCs w:val="18"/>
          <w:color w:val="auto"/>
        </w:rPr>
        <w:t>33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00"/>
          </w:cols>
          <w:pgMar w:left="240" w:top="382" w:right="5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(Registrant)</w:t>
      </w:r>
    </w:p>
    <w:p>
      <w:pPr>
        <w:spacing w:after="0" w:line="151" w:lineRule="exact"/>
        <w:rPr>
          <w:sz w:val="20"/>
          <w:szCs w:val="20"/>
          <w:color w:val="auto"/>
        </w:rPr>
      </w:pPr>
    </w:p>
    <w:p>
      <w:pPr>
        <w:spacing w:after="0"/>
        <w:tabs>
          <w:tab w:leader="none" w:pos="5480" w:val="left"/>
          <w:tab w:leader="none" w:pos="5940" w:val="left"/>
        </w:tabs>
        <w:rPr>
          <w:sz w:val="20"/>
          <w:szCs w:val="20"/>
          <w:color w:val="auto"/>
        </w:rPr>
      </w:pPr>
      <w:r>
        <w:rPr>
          <w:rFonts w:ascii="Arial" w:cs="Arial" w:eastAsia="Arial" w:hAnsi="Arial"/>
          <w:sz w:val="18"/>
          <w:szCs w:val="18"/>
          <w:color w:val="auto"/>
        </w:rPr>
        <w:t>Date: October 1,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34905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6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Executive Officer</w:t>
      </w:r>
    </w:p>
    <w:p>
      <w:pPr>
        <w:spacing w:after="0" w:line="151" w:lineRule="exact"/>
        <w:rPr>
          <w:sz w:val="20"/>
          <w:szCs w:val="20"/>
          <w:color w:val="auto"/>
        </w:rPr>
      </w:pPr>
    </w:p>
    <w:p>
      <w:pPr>
        <w:spacing w:after="0"/>
        <w:tabs>
          <w:tab w:leader="none" w:pos="5480" w:val="left"/>
          <w:tab w:leader="none" w:pos="5940" w:val="left"/>
        </w:tabs>
        <w:rPr>
          <w:sz w:val="20"/>
          <w:szCs w:val="20"/>
          <w:color w:val="auto"/>
        </w:rPr>
      </w:pPr>
      <w:r>
        <w:rPr>
          <w:rFonts w:ascii="Arial" w:cs="Arial" w:eastAsia="Arial" w:hAnsi="Arial"/>
          <w:sz w:val="18"/>
          <w:szCs w:val="18"/>
          <w:color w:val="auto"/>
        </w:rPr>
        <w:t>Date: October 1,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34905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6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Chief Administrative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and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240" w:top="382" w:right="6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REPORT ON FORM 10-Q, DATED AUGUST 31,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580" w:type="dxa"/>
            <w:vAlign w:val="bottom"/>
          </w:tcPr>
          <w:p>
            <w:pPr>
              <w:spacing w:after="0"/>
              <w:rPr>
                <w:sz w:val="18"/>
                <w:szCs w:val="18"/>
                <w:color w:val="auto"/>
              </w:rPr>
            </w:pPr>
          </w:p>
        </w:tc>
      </w:tr>
      <w:tr>
        <w:trPr>
          <w:trHeight w:val="228"/>
        </w:trPr>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10200" w:type="dxa"/>
            <w:vAlign w:val="bottom"/>
            <w:gridSpan w:val="3"/>
          </w:tcPr>
          <w:p>
            <w:pPr>
              <w:ind w:left="320"/>
              <w:spacing w:after="0"/>
              <w:rPr>
                <w:sz w:val="20"/>
                <w:szCs w:val="20"/>
                <w:color w:val="auto"/>
              </w:rPr>
            </w:pPr>
            <w:r>
              <w:rPr>
                <w:rFonts w:ascii="Arial" w:cs="Arial" w:eastAsia="Arial" w:hAnsi="Arial"/>
                <w:sz w:val="18"/>
                <w:szCs w:val="18"/>
                <w:b w:val="1"/>
                <w:bCs w:val="1"/>
                <w:color w:val="auto"/>
              </w:rPr>
              <w:t>Description of Document</w:t>
            </w:r>
          </w:p>
        </w:tc>
      </w:tr>
      <w:tr>
        <w:trPr>
          <w:trHeight w:val="110"/>
        </w:trPr>
        <w:tc>
          <w:tcPr>
            <w:tcW w:w="11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7580" w:type="dxa"/>
            <w:vAlign w:val="bottom"/>
          </w:tcPr>
          <w:p>
            <w:pPr>
              <w:spacing w:after="0"/>
              <w:rPr>
                <w:sz w:val="9"/>
                <w:szCs w:val="9"/>
                <w:color w:val="auto"/>
              </w:rPr>
            </w:pPr>
          </w:p>
        </w:tc>
      </w:tr>
      <w:tr>
        <w:trPr>
          <w:trHeight w:val="458"/>
        </w:trPr>
        <w:tc>
          <w:tcPr>
            <w:tcW w:w="1180" w:type="dxa"/>
            <w:vAlign w:val="bottom"/>
          </w:tcPr>
          <w:p>
            <w:pPr>
              <w:ind w:left="240"/>
              <w:spacing w:after="0"/>
              <w:rPr>
                <w:sz w:val="20"/>
                <w:szCs w:val="20"/>
                <w:color w:val="auto"/>
              </w:rPr>
            </w:pPr>
            <w:r>
              <w:rPr>
                <w:rFonts w:ascii="Arial" w:cs="Arial" w:eastAsia="Arial" w:hAnsi="Arial"/>
                <w:sz w:val="18"/>
                <w:szCs w:val="18"/>
                <w:color w:val="auto"/>
              </w:rPr>
              <w:t>4.1</w:t>
            </w:r>
          </w:p>
        </w:tc>
        <w:tc>
          <w:tcPr>
            <w:tcW w:w="10200" w:type="dxa"/>
            <w:vAlign w:val="bottom"/>
            <w:gridSpan w:val="3"/>
          </w:tcPr>
          <w:p>
            <w:pPr>
              <w:ind w:left="320"/>
              <w:spacing w:after="0"/>
              <w:rPr>
                <w:sz w:val="20"/>
                <w:szCs w:val="20"/>
                <w:color w:val="auto"/>
              </w:rPr>
            </w:pPr>
            <w:r>
              <w:rPr>
                <w:rFonts w:ascii="Arial" w:cs="Arial" w:eastAsia="Arial" w:hAnsi="Arial"/>
                <w:sz w:val="18"/>
                <w:szCs w:val="18"/>
                <w:color w:val="auto"/>
                <w:w w:val="87"/>
              </w:rPr>
              <w:t>Amendment No. 1, dated as of August 16, 2010, to the Credit Agreement, dated as of June 1, 2007, among the registrant and Scholastic Inc.,</w:t>
            </w:r>
          </w:p>
        </w:tc>
      </w:tr>
      <w:tr>
        <w:trPr>
          <w:trHeight w:val="216"/>
        </w:trPr>
        <w:tc>
          <w:tcPr>
            <w:tcW w:w="1180" w:type="dxa"/>
            <w:vAlign w:val="bottom"/>
          </w:tcPr>
          <w:p>
            <w:pPr>
              <w:spacing w:after="0"/>
              <w:rPr>
                <w:sz w:val="18"/>
                <w:szCs w:val="18"/>
                <w:color w:val="auto"/>
              </w:rPr>
            </w:pPr>
          </w:p>
        </w:tc>
        <w:tc>
          <w:tcPr>
            <w:tcW w:w="10200" w:type="dxa"/>
            <w:vAlign w:val="bottom"/>
            <w:gridSpan w:val="3"/>
          </w:tcPr>
          <w:p>
            <w:pPr>
              <w:ind w:left="320"/>
              <w:spacing w:after="0"/>
              <w:rPr>
                <w:sz w:val="20"/>
                <w:szCs w:val="20"/>
                <w:color w:val="auto"/>
              </w:rPr>
            </w:pPr>
            <w:r>
              <w:rPr>
                <w:rFonts w:ascii="Arial" w:cs="Arial" w:eastAsia="Arial" w:hAnsi="Arial"/>
                <w:sz w:val="18"/>
                <w:szCs w:val="18"/>
                <w:color w:val="auto"/>
                <w:w w:val="87"/>
              </w:rPr>
              <w:t>as borrowers, the Initial Lenders named therein, JP Morgan Chase Bank, N.A., as administrative agent, J.P. Morgan Securities Inc. and Bank</w:t>
            </w:r>
          </w:p>
        </w:tc>
      </w:tr>
      <w:tr>
        <w:trPr>
          <w:trHeight w:val="216"/>
        </w:trPr>
        <w:tc>
          <w:tcPr>
            <w:tcW w:w="1180" w:type="dxa"/>
            <w:vAlign w:val="bottom"/>
          </w:tcPr>
          <w:p>
            <w:pPr>
              <w:spacing w:after="0"/>
              <w:rPr>
                <w:sz w:val="18"/>
                <w:szCs w:val="18"/>
                <w:color w:val="auto"/>
              </w:rPr>
            </w:pPr>
          </w:p>
        </w:tc>
        <w:tc>
          <w:tcPr>
            <w:tcW w:w="10200" w:type="dxa"/>
            <w:vAlign w:val="bottom"/>
            <w:gridSpan w:val="3"/>
          </w:tcPr>
          <w:p>
            <w:pPr>
              <w:ind w:left="320"/>
              <w:spacing w:after="0"/>
              <w:rPr>
                <w:sz w:val="20"/>
                <w:szCs w:val="20"/>
                <w:color w:val="auto"/>
              </w:rPr>
            </w:pPr>
            <w:r>
              <w:rPr>
                <w:rFonts w:ascii="Arial" w:cs="Arial" w:eastAsia="Arial" w:hAnsi="Arial"/>
                <w:sz w:val="18"/>
                <w:szCs w:val="18"/>
                <w:color w:val="auto"/>
                <w:w w:val="94"/>
              </w:rPr>
              <w:t>of America Securities LLC, as joint lead arrangers and joint lead bookrunners, Bank of America, N.A. and Wachovia Bank, N.A., as</w:t>
            </w:r>
          </w:p>
        </w:tc>
      </w:tr>
      <w:tr>
        <w:trPr>
          <w:trHeight w:val="222"/>
        </w:trPr>
        <w:tc>
          <w:tcPr>
            <w:tcW w:w="1180" w:type="dxa"/>
            <w:vAlign w:val="bottom"/>
          </w:tcPr>
          <w:p>
            <w:pPr>
              <w:spacing w:after="0"/>
              <w:rPr>
                <w:sz w:val="19"/>
                <w:szCs w:val="19"/>
                <w:color w:val="auto"/>
              </w:rPr>
            </w:pPr>
          </w:p>
        </w:tc>
        <w:tc>
          <w:tcPr>
            <w:tcW w:w="10200" w:type="dxa"/>
            <w:vAlign w:val="bottom"/>
            <w:gridSpan w:val="3"/>
          </w:tcPr>
          <w:p>
            <w:pPr>
              <w:ind w:left="320"/>
              <w:spacing w:after="0"/>
              <w:rPr>
                <w:sz w:val="20"/>
                <w:szCs w:val="20"/>
                <w:color w:val="auto"/>
              </w:rPr>
            </w:pPr>
            <w:r>
              <w:rPr>
                <w:rFonts w:ascii="Arial" w:cs="Arial" w:eastAsia="Arial" w:hAnsi="Arial"/>
                <w:sz w:val="18"/>
                <w:szCs w:val="18"/>
                <w:color w:val="auto"/>
              </w:rPr>
              <w:t>syndication agents, and SunTrust Bank and The Royal Bank of Scotland, plc as Documentation Agents.</w:t>
            </w:r>
          </w:p>
        </w:tc>
      </w:tr>
      <w:tr>
        <w:trPr>
          <w:trHeight w:val="365"/>
        </w:trPr>
        <w:tc>
          <w:tcPr>
            <w:tcW w:w="1180" w:type="dxa"/>
            <w:vAlign w:val="bottom"/>
          </w:tcPr>
          <w:p>
            <w:pPr>
              <w:ind w:left="240"/>
              <w:spacing w:after="0"/>
              <w:rPr>
                <w:sz w:val="20"/>
                <w:szCs w:val="20"/>
                <w:color w:val="auto"/>
              </w:rPr>
            </w:pPr>
            <w:r>
              <w:rPr>
                <w:rFonts w:ascii="Arial" w:cs="Arial" w:eastAsia="Arial" w:hAnsi="Arial"/>
                <w:sz w:val="18"/>
                <w:szCs w:val="18"/>
                <w:color w:val="auto"/>
              </w:rPr>
              <w:t>31.1</w:t>
            </w:r>
          </w:p>
        </w:tc>
        <w:tc>
          <w:tcPr>
            <w:tcW w:w="10200" w:type="dxa"/>
            <w:vAlign w:val="bottom"/>
            <w:gridSpan w:val="3"/>
          </w:tcPr>
          <w:p>
            <w:pPr>
              <w:ind w:left="320"/>
              <w:spacing w:after="0"/>
              <w:rPr>
                <w:sz w:val="20"/>
                <w:szCs w:val="20"/>
                <w:color w:val="auto"/>
              </w:rPr>
            </w:pPr>
            <w:r>
              <w:rPr>
                <w:rFonts w:ascii="Arial" w:cs="Arial" w:eastAsia="Arial" w:hAnsi="Arial"/>
                <w:sz w:val="18"/>
                <w:szCs w:val="18"/>
                <w:color w:val="auto"/>
                <w:w w:val="93"/>
              </w:rPr>
              <w:t>Certification of the Chief Executive Officer of Scholastic Corporation filed pursuant to Section 302 of the Sarbanes-Oxley Act of 2002.</w:t>
            </w:r>
          </w:p>
        </w:tc>
      </w:tr>
      <w:tr>
        <w:trPr>
          <w:trHeight w:val="365"/>
        </w:trPr>
        <w:tc>
          <w:tcPr>
            <w:tcW w:w="1180" w:type="dxa"/>
            <w:vAlign w:val="bottom"/>
          </w:tcPr>
          <w:p>
            <w:pPr>
              <w:ind w:left="240"/>
              <w:spacing w:after="0"/>
              <w:rPr>
                <w:sz w:val="20"/>
                <w:szCs w:val="20"/>
                <w:color w:val="auto"/>
              </w:rPr>
            </w:pPr>
            <w:r>
              <w:rPr>
                <w:rFonts w:ascii="Arial" w:cs="Arial" w:eastAsia="Arial" w:hAnsi="Arial"/>
                <w:sz w:val="18"/>
                <w:szCs w:val="18"/>
                <w:color w:val="auto"/>
              </w:rPr>
              <w:t>31.2</w:t>
            </w:r>
          </w:p>
        </w:tc>
        <w:tc>
          <w:tcPr>
            <w:tcW w:w="10200" w:type="dxa"/>
            <w:vAlign w:val="bottom"/>
            <w:gridSpan w:val="3"/>
          </w:tcPr>
          <w:p>
            <w:pPr>
              <w:ind w:left="320"/>
              <w:spacing w:after="0"/>
              <w:rPr>
                <w:sz w:val="20"/>
                <w:szCs w:val="20"/>
                <w:color w:val="auto"/>
              </w:rPr>
            </w:pPr>
            <w:r>
              <w:rPr>
                <w:rFonts w:ascii="Arial" w:cs="Arial" w:eastAsia="Arial" w:hAnsi="Arial"/>
                <w:sz w:val="18"/>
                <w:szCs w:val="18"/>
                <w:color w:val="auto"/>
                <w:w w:val="93"/>
              </w:rPr>
              <w:t>Certification of the Chief Financial Officer of Scholastic Corporation filed pursuant to Section 302 of the Sarbanes-Oxley Act of 2002.</w:t>
            </w:r>
          </w:p>
        </w:tc>
      </w:tr>
    </w:tbl>
    <w:p>
      <w:pPr>
        <w:spacing w:after="0" w:line="142" w:lineRule="exact"/>
        <w:rPr>
          <w:sz w:val="20"/>
          <w:szCs w:val="20"/>
          <w:color w:val="auto"/>
        </w:rPr>
      </w:pPr>
    </w:p>
    <w:p>
      <w:pPr>
        <w:ind w:left="1500" w:right="60" w:hanging="1262"/>
        <w:spacing w:after="0" w:line="268" w:lineRule="auto"/>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118" w:lineRule="exact"/>
        <w:rPr>
          <w:sz w:val="20"/>
          <w:szCs w:val="20"/>
          <w:color w:val="auto"/>
        </w:rPr>
      </w:pPr>
    </w:p>
    <w:tbl>
      <w:tblPr>
        <w:tblLayout w:type="fixed"/>
        <w:tblInd w:w="24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4120" w:type="dxa"/>
            <w:vAlign w:val="bottom"/>
          </w:tcPr>
          <w:p>
            <w:pPr>
              <w:ind w:left="300"/>
              <w:spacing w:after="0"/>
              <w:rPr>
                <w:sz w:val="20"/>
                <w:szCs w:val="20"/>
                <w:color w:val="auto"/>
              </w:rPr>
            </w:pPr>
            <w:r>
              <w:rPr>
                <w:rFonts w:ascii="Arial" w:cs="Arial" w:eastAsia="Arial" w:hAnsi="Arial"/>
                <w:sz w:val="18"/>
                <w:szCs w:val="18"/>
                <w:color w:val="auto"/>
              </w:rPr>
              <w:t>XBRL Instance Document *</w:t>
            </w:r>
          </w:p>
        </w:tc>
      </w:tr>
      <w:tr>
        <w:trPr>
          <w:trHeight w:val="365"/>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4120" w:type="dxa"/>
            <w:vAlign w:val="bottom"/>
          </w:tcPr>
          <w:p>
            <w:pPr>
              <w:ind w:left="300"/>
              <w:spacing w:after="0"/>
              <w:rPr>
                <w:sz w:val="20"/>
                <w:szCs w:val="20"/>
                <w:color w:val="auto"/>
              </w:rPr>
            </w:pPr>
            <w:r>
              <w:rPr>
                <w:rFonts w:ascii="Arial" w:cs="Arial" w:eastAsia="Arial" w:hAnsi="Arial"/>
                <w:sz w:val="18"/>
                <w:szCs w:val="18"/>
                <w:color w:val="auto"/>
                <w:w w:val="97"/>
              </w:rPr>
              <w:t>XBRL Taxonomy Extension Schema Document *</w:t>
            </w:r>
          </w:p>
        </w:tc>
      </w:tr>
      <w:tr>
        <w:trPr>
          <w:trHeight w:val="365"/>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4120" w:type="dxa"/>
            <w:vAlign w:val="bottom"/>
          </w:tcPr>
          <w:p>
            <w:pPr>
              <w:ind w:left="300"/>
              <w:spacing w:after="0"/>
              <w:rPr>
                <w:sz w:val="20"/>
                <w:szCs w:val="20"/>
                <w:color w:val="auto"/>
              </w:rPr>
            </w:pPr>
            <w:r>
              <w:rPr>
                <w:rFonts w:ascii="Arial" w:cs="Arial" w:eastAsia="Arial" w:hAnsi="Arial"/>
                <w:sz w:val="18"/>
                <w:szCs w:val="18"/>
                <w:color w:val="auto"/>
                <w:w w:val="91"/>
              </w:rPr>
              <w:t>XBRL Taxonomy Extension Calculation Document *</w:t>
            </w:r>
          </w:p>
        </w:tc>
      </w:tr>
      <w:tr>
        <w:trPr>
          <w:trHeight w:val="365"/>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4120" w:type="dxa"/>
            <w:vAlign w:val="bottom"/>
          </w:tcPr>
          <w:p>
            <w:pPr>
              <w:ind w:left="300"/>
              <w:spacing w:after="0"/>
              <w:rPr>
                <w:sz w:val="20"/>
                <w:szCs w:val="20"/>
                <w:color w:val="auto"/>
              </w:rPr>
            </w:pPr>
            <w:r>
              <w:rPr>
                <w:rFonts w:ascii="Arial" w:cs="Arial" w:eastAsia="Arial" w:hAnsi="Arial"/>
                <w:sz w:val="18"/>
                <w:szCs w:val="18"/>
                <w:color w:val="auto"/>
                <w:w w:val="93"/>
              </w:rPr>
              <w:t>XBRL Taxonomy Extension Definitions Document *</w:t>
            </w:r>
          </w:p>
        </w:tc>
      </w:tr>
      <w:tr>
        <w:trPr>
          <w:trHeight w:val="365"/>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4120" w:type="dxa"/>
            <w:vAlign w:val="bottom"/>
          </w:tcPr>
          <w:p>
            <w:pPr>
              <w:ind w:left="300"/>
              <w:spacing w:after="0"/>
              <w:rPr>
                <w:sz w:val="20"/>
                <w:szCs w:val="20"/>
                <w:color w:val="auto"/>
              </w:rPr>
            </w:pPr>
            <w:r>
              <w:rPr>
                <w:rFonts w:ascii="Arial" w:cs="Arial" w:eastAsia="Arial" w:hAnsi="Arial"/>
                <w:sz w:val="18"/>
                <w:szCs w:val="18"/>
                <w:color w:val="auto"/>
              </w:rPr>
              <w:t>XBRL Taxonomy Extension Labels Document *</w:t>
            </w:r>
          </w:p>
        </w:tc>
      </w:tr>
      <w:tr>
        <w:trPr>
          <w:trHeight w:val="365"/>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4120" w:type="dxa"/>
            <w:vAlign w:val="bottom"/>
          </w:tcPr>
          <w:p>
            <w:pPr>
              <w:ind w:left="300"/>
              <w:spacing w:after="0"/>
              <w:rPr>
                <w:sz w:val="20"/>
                <w:szCs w:val="20"/>
                <w:color w:val="auto"/>
              </w:rPr>
            </w:pPr>
            <w:r>
              <w:rPr>
                <w:rFonts w:ascii="Arial" w:cs="Arial" w:eastAsia="Arial" w:hAnsi="Arial"/>
                <w:sz w:val="18"/>
                <w:szCs w:val="18"/>
                <w:color w:val="auto"/>
                <w:w w:val="89"/>
              </w:rPr>
              <w:t>XBRL Taxonomy Extension Presentation Document *</w:t>
            </w:r>
          </w:p>
        </w:tc>
      </w:tr>
    </w:tbl>
    <w:p>
      <w:pPr>
        <w:spacing w:after="0" w:line="210" w:lineRule="exact"/>
        <w:rPr>
          <w:sz w:val="20"/>
          <w:szCs w:val="20"/>
          <w:color w:val="auto"/>
        </w:rPr>
      </w:pPr>
    </w:p>
    <w:p>
      <w:pPr>
        <w:ind w:right="40" w:firstLine="8"/>
        <w:spacing w:after="0" w:line="268" w:lineRule="auto"/>
        <w:tabs>
          <w:tab w:leader="none" w:pos="1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accordance with Regulation S-T, the XBRL-related information in Exhibit 101 to this Quarterly Report on Form 10-Q shall be deemed to be “furnished” and not “filed.”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16, 2010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June 1, 2007</w:t>
      </w:r>
    </w:p>
    <w:p>
      <w:pPr>
        <w:spacing w:after="0" w:line="225"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6"/>
          <w:szCs w:val="16"/>
          <w:color w:val="auto"/>
        </w:rPr>
        <w:t>THIS AMENDMENT NO. 1 (“</w:t>
      </w:r>
      <w:r>
        <w:rPr>
          <w:rFonts w:ascii="Arial" w:cs="Arial" w:eastAsia="Arial" w:hAnsi="Arial"/>
          <w:sz w:val="16"/>
          <w:szCs w:val="16"/>
          <w:u w:val="single" w:color="auto"/>
          <w:color w:val="auto"/>
        </w:rPr>
        <w:t>Amendment</w:t>
      </w:r>
      <w:r>
        <w:rPr>
          <w:rFonts w:ascii="Arial" w:cs="Arial" w:eastAsia="Arial" w:hAnsi="Arial"/>
          <w:sz w:val="16"/>
          <w:szCs w:val="16"/>
          <w:color w:val="auto"/>
        </w:rPr>
        <w:t>”) is made as of August 16, 2010 by and among Scholastic Corporation (the “</w:t>
      </w:r>
      <w:r>
        <w:rPr>
          <w:rFonts w:ascii="Arial" w:cs="Arial" w:eastAsia="Arial" w:hAnsi="Arial"/>
          <w:sz w:val="16"/>
          <w:szCs w:val="16"/>
          <w:u w:val="single" w:color="auto"/>
          <w:color w:val="auto"/>
        </w:rPr>
        <w:t>Holding Company</w:t>
      </w:r>
      <w:r>
        <w:rPr>
          <w:rFonts w:ascii="Arial" w:cs="Arial" w:eastAsia="Arial" w:hAnsi="Arial"/>
          <w:sz w:val="16"/>
          <w:szCs w:val="16"/>
          <w:color w:val="auto"/>
        </w:rPr>
        <w:t>”), Scholastic Inc. (the “</w:t>
      </w:r>
      <w:r>
        <w:rPr>
          <w:rFonts w:ascii="Arial" w:cs="Arial" w:eastAsia="Arial" w:hAnsi="Arial"/>
          <w:sz w:val="16"/>
          <w:szCs w:val="16"/>
          <w:u w:val="single" w:color="auto"/>
          <w:color w:val="auto"/>
        </w:rPr>
        <w:t>Operating Company</w:t>
      </w:r>
      <w:r>
        <w:rPr>
          <w:rFonts w:ascii="Arial" w:cs="Arial" w:eastAsia="Arial" w:hAnsi="Arial"/>
          <w:sz w:val="16"/>
          <w:szCs w:val="16"/>
          <w:color w:val="auto"/>
        </w:rPr>
        <w:t>” the Holding Company and the Operating Company are, collectively, the “</w:t>
      </w:r>
      <w:r>
        <w:rPr>
          <w:rFonts w:ascii="Arial" w:cs="Arial" w:eastAsia="Arial" w:hAnsi="Arial"/>
          <w:sz w:val="16"/>
          <w:szCs w:val="16"/>
          <w:u w:val="single" w:color="auto"/>
          <w:color w:val="auto"/>
        </w:rPr>
        <w:t>Borrowers</w:t>
      </w:r>
      <w:r>
        <w:rPr>
          <w:rFonts w:ascii="Arial" w:cs="Arial" w:eastAsia="Arial" w:hAnsi="Arial"/>
          <w:sz w:val="16"/>
          <w:szCs w:val="16"/>
          <w:color w:val="auto"/>
        </w:rPr>
        <w:t>” and, individually, each a “</w:t>
      </w:r>
      <w:r>
        <w:rPr>
          <w:rFonts w:ascii="Arial" w:cs="Arial" w:eastAsia="Arial" w:hAnsi="Arial"/>
          <w:sz w:val="16"/>
          <w:szCs w:val="16"/>
          <w:u w:val="single" w:color="auto"/>
          <w:color w:val="auto"/>
        </w:rPr>
        <w:t>Borrower</w:t>
      </w:r>
      <w:r>
        <w:rPr>
          <w:rFonts w:ascii="Arial" w:cs="Arial" w:eastAsia="Arial" w:hAnsi="Arial"/>
          <w:sz w:val="16"/>
          <w:szCs w:val="16"/>
          <w:color w:val="auto"/>
        </w:rPr>
        <w:t>”), the financial institutions listed on the signature pages hereof and JPMorgan Chase Bank, N.A., as Administrative Agent (the “</w:t>
      </w:r>
      <w:r>
        <w:rPr>
          <w:rFonts w:ascii="Arial" w:cs="Arial" w:eastAsia="Arial" w:hAnsi="Arial"/>
          <w:sz w:val="16"/>
          <w:szCs w:val="16"/>
          <w:u w:val="single" w:color="auto"/>
          <w:color w:val="auto"/>
        </w:rPr>
        <w:t>Agent</w:t>
      </w:r>
      <w:r>
        <w:rPr>
          <w:rFonts w:ascii="Arial" w:cs="Arial" w:eastAsia="Arial" w:hAnsi="Arial"/>
          <w:sz w:val="16"/>
          <w:szCs w:val="16"/>
          <w:color w:val="auto"/>
        </w:rPr>
        <w:t>”), under that certain Credit Agreement dated as of June 1, 2007 by and among the Borrowers, the financial institutions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and the Agent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Capitalized terms used herein and not otherwise defined herein shall have the respective meanings given to them in the Credit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Borrowers, the Lenders party hereto and the Agent have agreed to amend the Credit Agreement on the terms and conditions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set forth herein;</w:t>
      </w:r>
    </w:p>
    <w:p>
      <w:pPr>
        <w:spacing w:after="0" w:line="21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NOW, THEREFORE, in consideration of the premises set forth above, the terms and conditions contained herein, and other good and valuable consideration, the receipt and sufficiency of which are hereby acknowledged, the Borrowers, the Lenders party hereto and the Agent have agreed to the following amendments to the Credit Agreement.</w:t>
      </w:r>
    </w:p>
    <w:p>
      <w:pPr>
        <w:spacing w:after="0" w:line="194" w:lineRule="exact"/>
        <w:rPr>
          <w:sz w:val="20"/>
          <w:szCs w:val="20"/>
          <w:color w:val="auto"/>
        </w:rPr>
      </w:pPr>
    </w:p>
    <w:p>
      <w:pPr>
        <w:ind w:firstLine="1305"/>
        <w:spacing w:after="0" w:line="268" w:lineRule="auto"/>
        <w:tabs>
          <w:tab w:leader="none" w:pos="211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xml:space="preserve">. Subject to the satisfaction of the conditions precedent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the Credit Agreement is hereby amended as follows:</w:t>
      </w:r>
    </w:p>
    <w:p>
      <w:pPr>
        <w:spacing w:after="0" w:line="186" w:lineRule="exact"/>
        <w:rPr>
          <w:sz w:val="20"/>
          <w:szCs w:val="20"/>
          <w:color w:val="auto"/>
        </w:rPr>
      </w:pPr>
    </w:p>
    <w:p>
      <w:pPr>
        <w:ind w:left="1940" w:hanging="635"/>
        <w:spacing w:after="0"/>
        <w:tabs>
          <w:tab w:leader="none" w:pos="194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Credit Agreement is hereby amended to insert the following definition in the appropriate alphabetical order:</w:t>
      </w:r>
    </w:p>
    <w:p>
      <w:pPr>
        <w:spacing w:after="0" w:line="248" w:lineRule="exact"/>
        <w:rPr>
          <w:sz w:val="20"/>
          <w:szCs w:val="20"/>
          <w:color w:val="auto"/>
        </w:rPr>
      </w:pPr>
    </w:p>
    <w:p>
      <w:pPr>
        <w:jc w:val="both"/>
        <w:ind w:left="1300"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Leverage Ratio</w:t>
      </w:r>
      <w:r>
        <w:rPr>
          <w:rFonts w:ascii="Arial" w:cs="Arial" w:eastAsia="Arial" w:hAnsi="Arial"/>
          <w:sz w:val="16"/>
          <w:szCs w:val="16"/>
          <w:color w:val="auto"/>
        </w:rPr>
        <w:t xml:space="preserve">” shall mean, for any period of the most recent four consecutive fiscal quarters of the Borrowers and their Subsidiaries ending on or before any date of determination, the ratio of (a) Total Consolidated Debt to (b) the sum of (i) net income (or net loss), (ii) any extraordinary, non-recurring or unusual non-cash losses, (iii) income tax expense, (iv) depreciation expense, (v) amortization expense (but excluding any amortization of prepublication costs and expenses) and (vi) gross interest expense,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(vii) any extraordinary, non-recurring or unusual non-cash gains, all as recorded for such period.</w:t>
      </w:r>
    </w:p>
    <w:p>
      <w:pPr>
        <w:spacing w:after="0" w:line="170" w:lineRule="exact"/>
        <w:rPr>
          <w:sz w:val="20"/>
          <w:szCs w:val="20"/>
          <w:color w:val="auto"/>
        </w:rPr>
      </w:pPr>
    </w:p>
    <w:p>
      <w:pPr>
        <w:ind w:left="2120" w:hanging="815"/>
        <w:spacing w:after="0"/>
        <w:tabs>
          <w:tab w:leader="none" w:pos="2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definition of Base Rate appearing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Credit Agreement is amended and restated in its entirety to read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9" w:lineRule="exact"/>
        <w:rPr>
          <w:sz w:val="20"/>
          <w:szCs w:val="20"/>
          <w:color w:val="auto"/>
        </w:rPr>
      </w:pPr>
    </w:p>
    <w:p>
      <w:pPr>
        <w:ind w:left="130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for any day, a fluctuating interest rate per annum in effect from time to time, which rate per annum shall at all times be equal to the higher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481330</wp:posOffset>
            </wp:positionV>
            <wp:extent cx="7267575"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ind w:left="2600" w:hanging="647"/>
        <w:spacing w:after="0"/>
        <w:tabs>
          <w:tab w:leader="none" w:pos="26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Prime Rate in effect on such day;</w:t>
      </w:r>
    </w:p>
    <w:p>
      <w:pPr>
        <w:spacing w:after="0" w:line="373" w:lineRule="exact"/>
        <w:rPr>
          <w:rFonts w:ascii="Arial" w:cs="Arial" w:eastAsia="Arial" w:hAnsi="Arial"/>
          <w:sz w:val="18"/>
          <w:szCs w:val="18"/>
          <w:color w:val="auto"/>
        </w:rPr>
      </w:pPr>
    </w:p>
    <w:p>
      <w:pPr>
        <w:ind w:left="2600" w:hanging="647"/>
        <w:spacing w:after="0"/>
        <w:tabs>
          <w:tab w:leader="none" w:pos="26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½ of one percent per annum above the Federal Funds Rate; and</w:t>
      </w:r>
    </w:p>
    <w:p>
      <w:pPr>
        <w:spacing w:after="0" w:line="373" w:lineRule="exact"/>
        <w:rPr>
          <w:rFonts w:ascii="Arial" w:cs="Arial" w:eastAsia="Arial" w:hAnsi="Arial"/>
          <w:sz w:val="18"/>
          <w:szCs w:val="18"/>
          <w:color w:val="auto"/>
        </w:rPr>
      </w:pPr>
    </w:p>
    <w:p>
      <w:pPr>
        <w:ind w:left="1300" w:firstLine="653"/>
        <w:spacing w:after="0" w:line="268" w:lineRule="auto"/>
        <w:tabs>
          <w:tab w:leader="none" w:pos="2774"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the Eurodollar Rate for a one month Interest Period on such day (or if such day is not a Business Day, the immediately preceding Business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w:t>
      </w:r>
    </w:p>
    <w:p>
      <w:pPr>
        <w:spacing w:after="0" w:line="185" w:lineRule="exact"/>
        <w:rPr>
          <w:rFonts w:ascii="Arial" w:cs="Arial" w:eastAsia="Arial" w:hAnsi="Arial"/>
          <w:sz w:val="18"/>
          <w:szCs w:val="18"/>
          <w:color w:val="auto"/>
        </w:rPr>
      </w:pPr>
    </w:p>
    <w:p>
      <w:pPr>
        <w:ind w:left="1940" w:hanging="635"/>
        <w:spacing w:after="0"/>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the Credit Agreement is hereby amended to insert a new sentence at the end thereof as follows:</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6"/>
          <w:szCs w:val="16"/>
          <w:color w:val="auto"/>
        </w:rPr>
        <w:t>Notwithstanding any other provision contained herein, all terms of an accounting or financial nature used herein shall be construed,</w:t>
      </w:r>
    </w:p>
    <w:p>
      <w:pPr>
        <w:spacing w:after="0" w:line="38" w:lineRule="exact"/>
        <w:rPr>
          <w:sz w:val="20"/>
          <w:szCs w:val="20"/>
          <w:color w:val="auto"/>
        </w:rPr>
      </w:pPr>
    </w:p>
    <w:p>
      <w:pPr>
        <w:jc w:val="both"/>
        <w:ind w:left="1300"/>
        <w:spacing w:after="0" w:line="254" w:lineRule="auto"/>
        <w:rPr>
          <w:sz w:val="20"/>
          <w:szCs w:val="20"/>
          <w:color w:val="auto"/>
        </w:rPr>
      </w:pPr>
      <w:r>
        <w:rPr>
          <w:rFonts w:ascii="Arial" w:cs="Arial" w:eastAsia="Arial" w:hAnsi="Arial"/>
          <w:sz w:val="18"/>
          <w:szCs w:val="18"/>
          <w:color w:val="auto"/>
        </w:rPr>
        <w:t>and all computations of amounts and ratios referred to herein shall be made, (i) without giving effect to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Borrowers or any Subsidiary at “fair value”, as defined therein.</w:t>
      </w:r>
    </w:p>
    <w:p>
      <w:pPr>
        <w:spacing w:after="0" w:line="198" w:lineRule="exact"/>
        <w:rPr>
          <w:sz w:val="20"/>
          <w:szCs w:val="20"/>
          <w:color w:val="auto"/>
        </w:rPr>
      </w:pPr>
    </w:p>
    <w:p>
      <w:pPr>
        <w:ind w:firstLine="1305"/>
        <w:spacing w:after="0" w:line="268" w:lineRule="auto"/>
        <w:tabs>
          <w:tab w:leader="none" w:pos="203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Section 5.02(e)</w:t>
      </w:r>
      <w:r>
        <w:rPr>
          <w:rFonts w:ascii="Arial" w:cs="Arial" w:eastAsia="Arial" w:hAnsi="Arial"/>
          <w:sz w:val="18"/>
          <w:szCs w:val="18"/>
          <w:color w:val="auto"/>
        </w:rPr>
        <w:t xml:space="preserve"> of the Credit Agreement is hereby amended to (x) delete the word “and” immediately preceding clause (iii) thereof and replace it with a “,” and (y) insert the following immediately after such clause (iii):</w:t>
      </w:r>
    </w:p>
    <w:p>
      <w:pPr>
        <w:spacing w:after="0" w:line="186" w:lineRule="exact"/>
        <w:rPr>
          <w:sz w:val="20"/>
          <w:szCs w:val="20"/>
          <w:color w:val="auto"/>
        </w:rPr>
      </w:pPr>
    </w:p>
    <w:p>
      <w:pPr>
        <w:jc w:val="both"/>
        <w:ind w:left="660" w:firstLine="1297"/>
        <w:spacing w:after="0" w:line="312" w:lineRule="auto"/>
        <w:rPr>
          <w:sz w:val="20"/>
          <w:szCs w:val="20"/>
          <w:color w:val="auto"/>
        </w:rPr>
      </w:pPr>
      <w:r>
        <w:rPr>
          <w:rFonts w:ascii="Arial" w:cs="Arial" w:eastAsia="Arial" w:hAnsi="Arial"/>
          <w:sz w:val="15"/>
          <w:szCs w:val="15"/>
          <w:color w:val="auto"/>
        </w:rPr>
        <w:t>and (iv) in addition to the foregoing, declare or pay cash dividends to its stockholders and purchase, redeem or otherwise acquire shares of its common stock or warrants, rights or options to acquire any such shares (any, or any combination of the foregoing, solely for purposes of this subclause (iv), a “</w:t>
      </w:r>
      <w:r>
        <w:rPr>
          <w:rFonts w:ascii="Arial" w:cs="Arial" w:eastAsia="Arial" w:hAnsi="Arial"/>
          <w:sz w:val="15"/>
          <w:szCs w:val="15"/>
          <w:u w:val="single" w:color="auto"/>
          <w:color w:val="auto"/>
        </w:rPr>
        <w:t>Restricted Payment</w:t>
      </w:r>
      <w:r>
        <w:rPr>
          <w:rFonts w:ascii="Arial" w:cs="Arial" w:eastAsia="Arial" w:hAnsi="Arial"/>
          <w:sz w:val="15"/>
          <w:szCs w:val="15"/>
          <w:color w:val="auto"/>
        </w:rPr>
        <w:t>”), so long as immediately after giving effect to such Restricted Payment the aggregate amount of all Restricted Payments made pursuant to this clause (iv) during the remaining term of this Agreement will not exceed (x) $200,000,000 if the Consolidated Leverage Ratio after giving effect (including pro forma effect) to such Restricted Payment is less than 2.00 to 1.00, (y) $125,000,000 if the Consolidated Leverage Ratio after giving effect (including pro forma effect) to such Restricted Payment is greater than or equal to 2.00 to 1.00 but less than or equal to 2.50 to 1.00 or (z) $0 if the Consolidated Leverage Ratio after giving effect (including pro forma effect) to such Restricted Payment is greater than 2.50 to 1.00</w:t>
      </w:r>
    </w:p>
    <w:p>
      <w:pPr>
        <w:spacing w:after="0" w:line="159" w:lineRule="exact"/>
        <w:rPr>
          <w:sz w:val="20"/>
          <w:szCs w:val="20"/>
          <w:color w:val="auto"/>
        </w:rPr>
      </w:pPr>
    </w:p>
    <w:p>
      <w:pPr>
        <w:jc w:val="both"/>
        <w:ind w:firstLine="1305"/>
        <w:spacing w:after="0" w:line="254" w:lineRule="auto"/>
        <w:tabs>
          <w:tab w:leader="none" w:pos="209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 The effectiveness of this Amendment is subject to the conditions precedent that the Agent shall have received (i) counterparts of this Amendment duly executed by the Borrowers, the Required Lenders and the Agent, (ii) from the Borrowers, for the account of each Lender that executes and delivers its counterpart hereto as and by such time as is requested by the Agent, an amendment fee in an amount equal to 0.05% of the sum of such Lender’s Revolving Credit Commitment and outstanding Term Loans as of the date hereof and (iii) from the Borrowers, payment and/or reimbursement of the Agent’s and its affiliates’ fees and reasonable out-of-pocket expenses (including reasonable legal fees and expenses) in connection with this Amendment.</w:t>
      </w:r>
    </w:p>
    <w:p>
      <w:pPr>
        <w:spacing w:after="0" w:line="198" w:lineRule="exact"/>
        <w:rPr>
          <w:rFonts w:ascii="Arial" w:cs="Arial" w:eastAsia="Arial" w:hAnsi="Arial"/>
          <w:sz w:val="18"/>
          <w:szCs w:val="18"/>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Borrowers</w:t>
      </w:r>
      <w:r>
        <w:rPr>
          <w:rFonts w:ascii="Arial" w:cs="Arial" w:eastAsia="Arial" w:hAnsi="Arial"/>
          <w:sz w:val="18"/>
          <w:szCs w:val="18"/>
          <w:color w:val="auto"/>
        </w:rPr>
        <w:t>. Each Borrower hereby represents and warrants as follows:</w:t>
      </w:r>
    </w:p>
    <w:p>
      <w:pPr>
        <w:spacing w:after="0" w:line="225" w:lineRule="exact"/>
        <w:rPr>
          <w:sz w:val="20"/>
          <w:szCs w:val="20"/>
          <w:color w:val="auto"/>
        </w:rPr>
      </w:pPr>
    </w:p>
    <w:p>
      <w:pPr>
        <w:ind w:firstLine="1305"/>
        <w:spacing w:after="0" w:line="332" w:lineRule="auto"/>
        <w:tabs>
          <w:tab w:leader="none" w:pos="19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Amendment and the Credit Agreement as amended hereby constitute legal, valid and binding obligations of such Borrower and are enforceable against such Borrower in accordance with their terms, subject to applicable bankruptcy, insolvency, reorganization, moratorium or other laws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67575"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affecting creditors’ rights generally and subject to general principles of equity, regardless of whether considered in a proceeding in equity or at law.</w:t>
      </w:r>
    </w:p>
    <w:p>
      <w:pPr>
        <w:spacing w:after="0" w:line="248" w:lineRule="exact"/>
        <w:rPr>
          <w:sz w:val="20"/>
          <w:szCs w:val="20"/>
          <w:color w:val="auto"/>
        </w:rPr>
      </w:pPr>
    </w:p>
    <w:p>
      <w:pPr>
        <w:jc w:val="both"/>
        <w:ind w:firstLine="1305"/>
        <w:spacing w:after="0" w:line="255" w:lineRule="auto"/>
        <w:tabs>
          <w:tab w:leader="none" w:pos="20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As of the date hereof and giving effect to the terms of this Amendment, (i) there exists no Default and (ii) the representations and warranties contained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of the Credit Agreement (excluding the representation and warranty contained in </w:t>
      </w:r>
      <w:r>
        <w:rPr>
          <w:rFonts w:ascii="Arial" w:cs="Arial" w:eastAsia="Arial" w:hAnsi="Arial"/>
          <w:sz w:val="18"/>
          <w:szCs w:val="18"/>
          <w:u w:val="single" w:color="auto"/>
          <w:color w:val="auto"/>
        </w:rPr>
        <w:t>Section 4.01(f)(ii)</w:t>
      </w:r>
      <w:r>
        <w:rPr>
          <w:rFonts w:ascii="Arial" w:cs="Arial" w:eastAsia="Arial" w:hAnsi="Arial"/>
          <w:sz w:val="18"/>
          <w:szCs w:val="18"/>
          <w:color w:val="auto"/>
        </w:rPr>
        <w:t xml:space="preserve">), as amended hereby, are true and correct;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Lenders hereby acknowledge that (A) the financial statements referenced in </w:t>
      </w:r>
      <w:r>
        <w:rPr>
          <w:rFonts w:ascii="Arial" w:cs="Arial" w:eastAsia="Arial" w:hAnsi="Arial"/>
          <w:sz w:val="18"/>
          <w:szCs w:val="18"/>
          <w:u w:val="single" w:color="auto"/>
          <w:color w:val="auto"/>
        </w:rPr>
        <w:t>Section 4.01(f)(i)</w:t>
      </w:r>
      <w:r>
        <w:rPr>
          <w:rFonts w:ascii="Arial" w:cs="Arial" w:eastAsia="Arial" w:hAnsi="Arial"/>
          <w:sz w:val="18"/>
          <w:szCs w:val="18"/>
          <w:color w:val="auto"/>
        </w:rPr>
        <w:t xml:space="preserve"> have been, as previously advised, restated and (B) an updated list of the Company’s Subsidiaries (referenced </w:t>
      </w:r>
      <w:r>
        <w:rPr>
          <w:rFonts w:ascii="Arial" w:cs="Arial" w:eastAsia="Arial" w:hAnsi="Arial"/>
          <w:sz w:val="18"/>
          <w:szCs w:val="18"/>
          <w:u w:val="single" w:color="auto"/>
          <w:color w:val="auto"/>
        </w:rPr>
        <w:t>Section 4.01(i)</w:t>
      </w:r>
      <w:r>
        <w:rPr>
          <w:rFonts w:ascii="Arial" w:cs="Arial" w:eastAsia="Arial" w:hAnsi="Arial"/>
          <w:sz w:val="18"/>
          <w:szCs w:val="18"/>
          <w:color w:val="auto"/>
        </w:rPr>
        <w:t>) is set forth in Exhibit 21 to the Company’s annual report of Form 10-K for the fiscal year ended May 31, 2010.</w:t>
      </w:r>
    </w:p>
    <w:p>
      <w:pPr>
        <w:spacing w:after="0" w:line="197" w:lineRule="exact"/>
        <w:rPr>
          <w:sz w:val="20"/>
          <w:szCs w:val="20"/>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Reference to and Effect on the Credit Agreement</w:t>
      </w:r>
      <w:r>
        <w:rPr>
          <w:rFonts w:ascii="Arial" w:cs="Arial" w:eastAsia="Arial" w:hAnsi="Arial"/>
          <w:sz w:val="18"/>
          <w:szCs w:val="18"/>
          <w:color w:val="auto"/>
        </w:rPr>
        <w:t>.</w:t>
      </w:r>
    </w:p>
    <w:p>
      <w:pPr>
        <w:spacing w:after="0" w:line="374" w:lineRule="exact"/>
        <w:rPr>
          <w:sz w:val="20"/>
          <w:szCs w:val="20"/>
          <w:color w:val="auto"/>
        </w:rPr>
      </w:pPr>
    </w:p>
    <w:p>
      <w:pPr>
        <w:ind w:firstLine="1305"/>
        <w:spacing w:after="0" w:line="268" w:lineRule="auto"/>
        <w:tabs>
          <w:tab w:leader="none" w:pos="2038"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the effectiveness hereof, each reference to the Credit Agreement in the Credit Agreement or any other Loan Document shall mean and be a reference to the Credit Agreement as amended hereby.</w:t>
      </w:r>
    </w:p>
    <w:p>
      <w:pPr>
        <w:spacing w:after="0" w:line="185" w:lineRule="exact"/>
        <w:rPr>
          <w:rFonts w:ascii="Arial" w:cs="Arial" w:eastAsia="Arial" w:hAnsi="Arial"/>
          <w:sz w:val="18"/>
          <w:szCs w:val="18"/>
          <w:color w:val="auto"/>
        </w:rPr>
      </w:pPr>
    </w:p>
    <w:p>
      <w:pPr>
        <w:ind w:firstLine="1305"/>
        <w:spacing w:after="0" w:line="268" w:lineRule="auto"/>
        <w:tabs>
          <w:tab w:leader="none" w:pos="20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Except as specifically amended above, the Credit Agreement and all other documents, instruments and agreements executed and/or delivered in connection therewith shall remain in full force and effect and are hereby ratified and confirmed.</w:t>
      </w:r>
    </w:p>
    <w:p>
      <w:pPr>
        <w:spacing w:after="0" w:line="185" w:lineRule="exact"/>
        <w:rPr>
          <w:rFonts w:ascii="Arial" w:cs="Arial" w:eastAsia="Arial" w:hAnsi="Arial"/>
          <w:sz w:val="18"/>
          <w:szCs w:val="18"/>
          <w:color w:val="auto"/>
        </w:rPr>
      </w:pPr>
    </w:p>
    <w:p>
      <w:pPr>
        <w:jc w:val="both"/>
        <w:ind w:firstLine="1305"/>
        <w:spacing w:after="0" w:line="259" w:lineRule="auto"/>
        <w:tabs>
          <w:tab w:leader="none" w:pos="1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the Agent or the Lenders, nor constitute a waiver of any provision of the Credit Agreement or any other documents, instruments and agreements executed and/or delivered in connection therewith.</w:t>
      </w:r>
    </w:p>
    <w:p>
      <w:pPr>
        <w:spacing w:after="0" w:line="194" w:lineRule="exact"/>
        <w:rPr>
          <w:sz w:val="20"/>
          <w:szCs w:val="20"/>
          <w:color w:val="auto"/>
        </w:rPr>
      </w:pPr>
    </w:p>
    <w:p>
      <w:pPr>
        <w:ind w:left="1960" w:hanging="655"/>
        <w:spacing w:after="0"/>
        <w:tabs>
          <w:tab w:leader="none" w:pos="196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construed in accordance with and governed by the law of the State of New York.</w:t>
      </w:r>
    </w:p>
    <w:p>
      <w:pPr>
        <w:spacing w:after="0" w:line="248" w:lineRule="exact"/>
        <w:rPr>
          <w:rFonts w:ascii="Arial" w:cs="Arial" w:eastAsia="Arial" w:hAnsi="Arial"/>
          <w:sz w:val="16"/>
          <w:szCs w:val="16"/>
          <w:color w:val="auto"/>
        </w:rPr>
      </w:pPr>
    </w:p>
    <w:p>
      <w:pPr>
        <w:ind w:firstLine="1305"/>
        <w:spacing w:after="0" w:line="268" w:lineRule="auto"/>
        <w:tabs>
          <w:tab w:leader="none" w:pos="195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 Amendment for any other purpose.</w:t>
      </w:r>
    </w:p>
    <w:p>
      <w:pPr>
        <w:spacing w:after="0" w:line="185" w:lineRule="exact"/>
        <w:rPr>
          <w:rFonts w:ascii="Arial" w:cs="Arial" w:eastAsia="Arial" w:hAnsi="Arial"/>
          <w:sz w:val="18"/>
          <w:szCs w:val="18"/>
          <w:color w:val="auto"/>
        </w:rPr>
      </w:pPr>
    </w:p>
    <w:p>
      <w:pPr>
        <w:jc w:val="both"/>
        <w:ind w:firstLine="1305"/>
        <w:spacing w:after="0" w:line="259" w:lineRule="auto"/>
        <w:tabs>
          <w:tab w:leader="none" w:pos="198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67575"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0" w:name="page41"/>
    <w:bookmarkEnd w:id="40"/>
    <w:p>
      <w:pPr>
        <w:ind w:firstLine="913"/>
        <w:spacing w:after="0" w:line="268" w:lineRule="auto"/>
        <w:rPr>
          <w:sz w:val="20"/>
          <w:szCs w:val="20"/>
          <w:color w:val="auto"/>
        </w:rPr>
      </w:pPr>
      <w:r>
        <w:rPr>
          <w:rFonts w:ascii="Arial" w:cs="Arial" w:eastAsia="Arial" w:hAnsi="Arial"/>
          <w:sz w:val="18"/>
          <w:szCs w:val="18"/>
          <w:color w:val="auto"/>
        </w:rPr>
        <w:t>IN WITNESS WHEREOF, this the parties hereto have caused this Amendment to be duly executed by their respective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SCHOLASTIC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Borrower</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Gil A. Dickoff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Gil A. Dickoff</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SCHOLASTIC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Borrower</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Gil A. Dickoff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Gil A. Dickoff</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15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Signature Page to Amendment No. 1</w:t>
      </w:r>
    </w:p>
    <w:p>
      <w:pPr>
        <w:spacing w:after="0" w:line="1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Scholastic Corporation and Scholastic Inc.</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40"/>
          </w:cols>
          <w:pgMar w:left="240" w:top="563" w:right="419" w:bottom="1440" w:gutter="0" w:footer="0" w:header="0"/>
        </w:sectPr>
      </w:pPr>
    </w:p>
    <w:bookmarkStart w:id="41" w:name="page42"/>
    <w:bookmarkEnd w:id="41"/>
    <w:p>
      <w:pPr>
        <w:ind w:left="566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individually as a Lender, as an Issuing Bank</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as Administrative Agent</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Michelle Cipriani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Michelle Cipriani</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5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Amendment No. 1</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Scholastic Corporation and Scholastic Inc.</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227965</wp:posOffset>
            </wp:positionV>
            <wp:extent cx="7267575"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42" w:name="page43"/>
    <w:bookmarkEnd w:id="42"/>
    <w:p>
      <w:pPr>
        <w:ind w:left="566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individually as a Lender as an Issuing Bank and as a</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Syndication Agent</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Richard M.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Richard M. Williams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w:t>
      </w:r>
    </w:p>
    <w:p>
      <w:pPr>
        <w:spacing w:after="0" w:line="15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Amendment No. 1</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Scholastic Corporation and Scholastic Inc.</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340"/>
          </w:cols>
          <w:pgMar w:left="1440" w:top="563" w:right="1119" w:bottom="1440" w:gutter="0" w:footer="0" w:header="0"/>
        </w:sectPr>
      </w:pPr>
    </w:p>
    <w:bookmarkStart w:id="43" w:name="page44"/>
    <w:bookmarkEnd w:id="43"/>
    <w:p>
      <w:pPr>
        <w:ind w:left="5660"/>
        <w:spacing w:after="0"/>
        <w:rPr>
          <w:sz w:val="20"/>
          <w:szCs w:val="20"/>
          <w:color w:val="auto"/>
        </w:rPr>
      </w:pPr>
      <w:r>
        <w:rPr>
          <w:rFonts w:ascii="Arial" w:cs="Arial" w:eastAsia="Arial" w:hAnsi="Arial"/>
          <w:sz w:val="16"/>
          <w:szCs w:val="16"/>
          <w:color w:val="auto"/>
        </w:rPr>
        <w:t>WELLS FARGO BANK, NATIONAL ASSOCIATION,</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individually as a Lender and as a Syndication Agent</w:t>
      </w:r>
    </w:p>
    <w:p>
      <w:pPr>
        <w:spacing w:after="0" w:line="25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Dan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Dan O’Donnell</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pacing w:after="0" w:line="15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Amendment No. 1</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Scholastic Corporation and Scholastic Inc.</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600"/>
          </w:cols>
          <w:pgMar w:left="1440" w:top="131" w:right="859" w:bottom="1440" w:gutter="0" w:footer="0" w:header="0"/>
        </w:sectPr>
      </w:pPr>
    </w:p>
    <w:bookmarkStart w:id="44" w:name="page45"/>
    <w:bookmarkEnd w:id="44"/>
    <w:p>
      <w:pPr>
        <w:ind w:left="566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individually as a Lender and as a Documentation Agent</w:t>
      </w: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Vegh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Michael Vegh</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pacing w:after="0" w:line="15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Amendment No. 1</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Scholastic Corporation and Scholastic Inc.</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560"/>
          </w:cols>
          <w:pgMar w:left="1440" w:top="334" w:right="899" w:bottom="1440" w:gutter="0" w:footer="0" w:header="0"/>
        </w:sectPr>
      </w:pPr>
    </w:p>
    <w:bookmarkStart w:id="45" w:name="page46"/>
    <w:bookmarkEnd w:id="45"/>
    <w:p>
      <w:pPr>
        <w:ind w:left="5660"/>
        <w:spacing w:after="0"/>
        <w:rPr>
          <w:sz w:val="20"/>
          <w:szCs w:val="20"/>
          <w:color w:val="auto"/>
        </w:rPr>
      </w:pPr>
      <w:r>
        <w:rPr>
          <w:rFonts w:ascii="Arial" w:cs="Arial" w:eastAsia="Arial" w:hAnsi="Arial"/>
          <w:sz w:val="18"/>
          <w:szCs w:val="18"/>
          <w:color w:val="auto"/>
        </w:rPr>
        <w:t>THE ROYAL BANK OF SCOTLAND plc,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individually as a Lender and as a Documentation Agent</w:t>
      </w:r>
    </w:p>
    <w:p>
      <w:pPr>
        <w:spacing w:after="0" w:line="267"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Alex Daw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Alex Daw</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5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Amendment No. 1</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Scholastic Corporation and Scholastic Inc.</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560"/>
          </w:cols>
          <w:pgMar w:left="1440" w:top="131" w:right="899" w:bottom="1440" w:gutter="0" w:footer="0" w:header="0"/>
        </w:sectPr>
      </w:pPr>
    </w:p>
    <w:bookmarkStart w:id="46" w:name="page47"/>
    <w:bookmarkEnd w:id="46"/>
    <w:p>
      <w:pPr>
        <w:ind w:left="5660"/>
        <w:spacing w:after="0"/>
        <w:rPr>
          <w:sz w:val="20"/>
          <w:szCs w:val="20"/>
          <w:color w:val="auto"/>
        </w:rPr>
      </w:pPr>
      <w:r>
        <w:rPr>
          <w:rFonts w:ascii="Arial" w:cs="Arial" w:eastAsia="Arial" w:hAnsi="Arial"/>
          <w:sz w:val="16"/>
          <w:szCs w:val="16"/>
          <w:color w:val="auto"/>
        </w:rPr>
        <w:t>DEUTSCHE BANK AG NEW YORK BRANCH,</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Anca Trifan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Anca Trifan</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Heidi Sandquist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Heidi Sandquist</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pacing w:after="0" w:line="15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Amendment No. 1</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Scholastic Corporation and Scholastic Inc.</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220"/>
          </w:cols>
          <w:pgMar w:left="1440" w:top="131" w:right="1239" w:bottom="1440" w:gutter="0" w:footer="0" w:header="0"/>
        </w:sectPr>
      </w:pPr>
    </w:p>
    <w:bookmarkStart w:id="47" w:name="page48"/>
    <w:bookmarkEnd w:id="47"/>
    <w:p>
      <w:pPr>
        <w:ind w:left="5660"/>
        <w:spacing w:after="0"/>
        <w:rPr>
          <w:sz w:val="20"/>
          <w:szCs w:val="20"/>
          <w:color w:val="auto"/>
        </w:rPr>
      </w:pPr>
      <w:r>
        <w:rPr>
          <w:rFonts w:ascii="Arial" w:cs="Arial" w:eastAsia="Arial" w:hAnsi="Arial"/>
          <w:sz w:val="16"/>
          <w:szCs w:val="16"/>
          <w:color w:val="auto"/>
        </w:rPr>
        <w:t>HSBC BANK USA, NATIONAL ASSOCIATION,</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Robert H.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Robert H. Rogers</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VP, Senior Relationship Manager</w:t>
      </w:r>
    </w:p>
    <w:p>
      <w:pPr>
        <w:spacing w:after="0" w:line="15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Amendment No. 1</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Scholastic Corporation and Scholastic Inc.</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260"/>
          </w:cols>
          <w:pgMar w:left="1440" w:top="131" w:right="1199" w:bottom="1440" w:gutter="0" w:footer="0" w:header="0"/>
        </w:sectPr>
      </w:pPr>
    </w:p>
    <w:bookmarkStart w:id="48" w:name="page49"/>
    <w:bookmarkEnd w:id="48"/>
    <w:p>
      <w:pPr>
        <w:ind w:left="5660"/>
        <w:spacing w:after="0"/>
        <w:rPr>
          <w:sz w:val="20"/>
          <w:szCs w:val="20"/>
          <w:color w:val="auto"/>
        </w:rPr>
      </w:pPr>
      <w:r>
        <w:rPr>
          <w:rFonts w:ascii="Arial" w:cs="Arial" w:eastAsia="Arial" w:hAnsi="Arial"/>
          <w:sz w:val="18"/>
          <w:szCs w:val="18"/>
          <w:color w:val="auto"/>
        </w:rPr>
        <w:t>HSBC BANK plc,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Stephen Kemp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Stephen Kemp</w:t>
      </w:r>
    </w:p>
    <w:p>
      <w:pPr>
        <w:spacing w:after="0" w:line="15" w:lineRule="exact"/>
        <w:rPr>
          <w:sz w:val="20"/>
          <w:szCs w:val="20"/>
          <w:color w:val="auto"/>
        </w:rPr>
      </w:pPr>
    </w:p>
    <w:p>
      <w:pPr>
        <w:jc w:val="right"/>
        <w:ind w:right="439"/>
        <w:spacing w:after="0"/>
        <w:rPr>
          <w:sz w:val="20"/>
          <w:szCs w:val="20"/>
          <w:color w:val="auto"/>
        </w:rPr>
      </w:pPr>
      <w:r>
        <w:rPr>
          <w:rFonts w:ascii="Arial" w:cs="Arial" w:eastAsia="Arial" w:hAnsi="Arial"/>
          <w:sz w:val="18"/>
          <w:szCs w:val="18"/>
          <w:color w:val="auto"/>
        </w:rPr>
        <w:t>Title: Senior Corporate Banking Manager</w:t>
      </w:r>
    </w:p>
    <w:p>
      <w:pPr>
        <w:spacing w:after="0" w:line="15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Amendment No. 1</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Scholastic Corporation and Scholastic Inc.</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49" w:name="page50"/>
    <w:bookmarkEnd w:id="49"/>
    <w:p>
      <w:pPr>
        <w:ind w:left="5660"/>
        <w:spacing w:after="0"/>
        <w:rPr>
          <w:sz w:val="20"/>
          <w:szCs w:val="20"/>
          <w:color w:val="auto"/>
        </w:rPr>
      </w:pPr>
      <w:r>
        <w:rPr>
          <w:rFonts w:ascii="Arial" w:cs="Arial" w:eastAsia="Arial" w:hAnsi="Arial"/>
          <w:sz w:val="16"/>
          <w:szCs w:val="16"/>
          <w:color w:val="auto"/>
        </w:rPr>
        <w:t>THE GOVERNOR AND COMPANY OF THE BANK</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OF IRELAND,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Carla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Carla Ryan</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AUTHORISED SIGNATORY</w:t>
      </w:r>
    </w:p>
    <w:p>
      <w:pPr>
        <w:spacing w:after="0" w:line="21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Mary Gaffney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Mary Gaffney</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AUTHORISED SIGNATORY</w:t>
      </w:r>
    </w:p>
    <w:p>
      <w:pPr>
        <w:spacing w:after="0" w:line="15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Amendment No. 1</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Scholastic Corporation and Scholastic Inc.</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520"/>
          </w:cols>
          <w:pgMar w:left="1440" w:top="131" w:right="939" w:bottom="1440" w:gutter="0" w:footer="0" w:header="0"/>
        </w:sectPr>
      </w:pPr>
    </w:p>
    <w:bookmarkStart w:id="50" w:name="page51"/>
    <w:bookmarkEnd w:id="50"/>
    <w:p>
      <w:pPr>
        <w:ind w:left="5660"/>
        <w:spacing w:after="0"/>
        <w:rPr>
          <w:sz w:val="20"/>
          <w:szCs w:val="20"/>
          <w:color w:val="auto"/>
        </w:rPr>
      </w:pPr>
      <w:r>
        <w:rPr>
          <w:rFonts w:ascii="Arial" w:cs="Arial" w:eastAsia="Arial" w:hAnsi="Arial"/>
          <w:sz w:val="16"/>
          <w:szCs w:val="16"/>
          <w:color w:val="auto"/>
        </w:rPr>
        <w:t>THE BANK OF NEW YORK MELLON,</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Edward J. Dougherty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Edward J. Dougherty</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15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Amendment No. 1</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Scholastic Corporation and Scholastic Inc.</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1" w:name="page52"/>
    <w:bookmarkEnd w:id="51"/>
    <w:p>
      <w:pPr>
        <w:ind w:left="5660"/>
        <w:spacing w:after="0"/>
        <w:rPr>
          <w:sz w:val="20"/>
          <w:szCs w:val="20"/>
          <w:color w:val="auto"/>
        </w:rPr>
      </w:pPr>
      <w:r>
        <w:rPr>
          <w:rFonts w:ascii="Arial" w:cs="Arial" w:eastAsia="Arial" w:hAnsi="Arial"/>
          <w:sz w:val="18"/>
          <w:szCs w:val="18"/>
          <w:color w:val="auto"/>
        </w:rPr>
        <w:t>TD BANK,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Maria Willner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Maria Willner</w:t>
      </w:r>
    </w:p>
    <w:p>
      <w:pPr>
        <w:spacing w:after="0" w:line="15" w:lineRule="exact"/>
        <w:rPr>
          <w:sz w:val="20"/>
          <w:szCs w:val="20"/>
          <w:color w:val="auto"/>
        </w:rPr>
      </w:pPr>
    </w:p>
    <w:p>
      <w:pPr>
        <w:jc w:val="right"/>
        <w:ind w:right="1419"/>
        <w:spacing w:after="0"/>
        <w:rPr>
          <w:sz w:val="20"/>
          <w:szCs w:val="20"/>
          <w:color w:val="auto"/>
        </w:rPr>
      </w:pPr>
      <w:r>
        <w:rPr>
          <w:rFonts w:ascii="Arial" w:cs="Arial" w:eastAsia="Arial" w:hAnsi="Arial"/>
          <w:sz w:val="18"/>
          <w:szCs w:val="18"/>
          <w:color w:val="auto"/>
        </w:rPr>
        <w:t>Title: Senior Vice President</w:t>
      </w:r>
    </w:p>
    <w:p>
      <w:pPr>
        <w:spacing w:after="0" w:line="15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Amendment No. 1</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Scholastic Corporation and Scholastic Inc.</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2" w:name="page53"/>
    <w:bookmarkEnd w:id="52"/>
    <w:p>
      <w:pPr>
        <w:ind w:left="5660"/>
        <w:spacing w:after="0"/>
        <w:rPr>
          <w:sz w:val="20"/>
          <w:szCs w:val="20"/>
          <w:color w:val="auto"/>
        </w:rPr>
      </w:pPr>
      <w:r>
        <w:rPr>
          <w:rFonts w:ascii="Arial" w:cs="Arial" w:eastAsia="Arial" w:hAnsi="Arial"/>
          <w:sz w:val="16"/>
          <w:szCs w:val="16"/>
          <w:color w:val="auto"/>
        </w:rPr>
        <w:t>UBS AG, STAMFORD BRANCH</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Mary E.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Mary E. Evans</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Associate Director</w:t>
      </w:r>
    </w:p>
    <w:p>
      <w:pPr>
        <w:spacing w:after="0" w:line="21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Irja R. Otsa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Irja R. Otsa</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Associate Director</w:t>
      </w:r>
    </w:p>
    <w:p>
      <w:pPr>
        <w:spacing w:after="0" w:line="15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Amendment No. 1</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Scholastic Corporation and Scholastic Inc.</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53" w:name="page54"/>
    <w:bookmarkEnd w:id="53"/>
    <w:p>
      <w:pPr>
        <w:ind w:left="5660"/>
        <w:spacing w:after="0"/>
        <w:rPr>
          <w:sz w:val="20"/>
          <w:szCs w:val="20"/>
          <w:color w:val="auto"/>
        </w:rPr>
      </w:pPr>
      <w:r>
        <w:rPr>
          <w:rFonts w:ascii="Arial" w:cs="Arial" w:eastAsia="Arial" w:hAnsi="Arial"/>
          <w:sz w:val="18"/>
          <w:szCs w:val="18"/>
          <w:color w:val="auto"/>
        </w:rPr>
        <w:t>CAPITAL ONE,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jc w:val="both"/>
        <w:ind w:left="5660"/>
        <w:spacing w:after="0"/>
        <w:tabs>
          <w:tab w:leader="none" w:pos="6140" w:val="left"/>
        </w:tabs>
        <w:rPr>
          <w:sz w:val="20"/>
          <w:szCs w:val="20"/>
          <w:color w:val="auto"/>
        </w:rPr>
      </w:pPr>
      <w:r>
        <w:rPr>
          <w:rFonts w:ascii="Arial" w:cs="Arial" w:eastAsia="Arial" w:hAnsi="Arial"/>
          <w:sz w:val="18"/>
          <w:szCs w:val="18"/>
          <w:color w:val="auto"/>
        </w:rPr>
        <w:t>By:</w:t>
        <w:tab/>
        <w:t>/s/ Thomas P.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 Thomas P. Higgins</w:t>
      </w:r>
    </w:p>
    <w:p>
      <w:pPr>
        <w:spacing w:after="0" w:line="38"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pacing w:after="0" w:line="15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Amendment No. 1</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Scholastic Corporation and Scholastic Inc.</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158" w:lineRule="exact"/>
        <w:rPr>
          <w:sz w:val="20"/>
          <w:szCs w:val="20"/>
          <w:color w:val="auto"/>
        </w:rPr>
      </w:pPr>
    </w:p>
    <w:p>
      <w:pPr>
        <w:ind w:left="920" w:hanging="453"/>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280" w:hanging="453"/>
        <w:spacing w:after="0" w:line="259"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380" w:right="80" w:hanging="454"/>
        <w:spacing w:after="0" w:line="259" w:lineRule="auto"/>
        <w:tabs>
          <w:tab w:leader="none" w:pos="13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80" w:right="380" w:hanging="454"/>
        <w:spacing w:after="0" w:line="259" w:lineRule="auto"/>
        <w:tabs>
          <w:tab w:leader="none" w:pos="13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80" w:right="540" w:hanging="454"/>
        <w:spacing w:after="0" w:line="370" w:lineRule="auto"/>
        <w:tabs>
          <w:tab w:leader="none" w:pos="1380" w:val="left"/>
        </w:tabs>
        <w:numPr>
          <w:ilvl w:val="1"/>
          <w:numId w:val="2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80" w:right="60" w:hanging="454"/>
        <w:spacing w:after="0" w:line="259" w:lineRule="auto"/>
        <w:tabs>
          <w:tab w:leader="none" w:pos="13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3"/>
        <w:spacing w:after="0" w:line="332" w:lineRule="auto"/>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80" w:right="780" w:hanging="454"/>
        <w:spacing w:after="0" w:line="332" w:lineRule="auto"/>
        <w:tabs>
          <w:tab w:leader="none" w:pos="13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80" w:right="480" w:hanging="454"/>
        <w:spacing w:after="0" w:line="268" w:lineRule="auto"/>
        <w:tabs>
          <w:tab w:leader="none" w:pos="13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1, 2010</w:t>
      </w:r>
    </w:p>
    <w:p>
      <w:pPr>
        <w:spacing w:after="0" w:line="23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173990</wp:posOffset>
            </wp:positionV>
            <wp:extent cx="25730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6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26376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656590</wp:posOffset>
            </wp:positionV>
            <wp:extent cx="726757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Maureen O’Connell, the principal financial officer of Scholastic Corporation, certify that:</w:t>
      </w:r>
    </w:p>
    <w:p>
      <w:pPr>
        <w:spacing w:after="0" w:line="158" w:lineRule="exact"/>
        <w:rPr>
          <w:sz w:val="20"/>
          <w:szCs w:val="20"/>
          <w:color w:val="auto"/>
        </w:rPr>
      </w:pPr>
    </w:p>
    <w:p>
      <w:pPr>
        <w:ind w:left="920" w:hanging="453"/>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320" w:hanging="453"/>
        <w:spacing w:after="0" w:line="259"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26" w:lineRule="exact"/>
        <w:rPr>
          <w:rFonts w:ascii="Arial" w:cs="Arial" w:eastAsia="Arial" w:hAnsi="Arial"/>
          <w:sz w:val="18"/>
          <w:szCs w:val="18"/>
          <w:color w:val="auto"/>
        </w:rPr>
      </w:pPr>
    </w:p>
    <w:p>
      <w:pPr>
        <w:ind w:left="1380" w:right="80" w:hanging="454"/>
        <w:spacing w:after="0" w:line="259" w:lineRule="auto"/>
        <w:tabs>
          <w:tab w:leader="none" w:pos="13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80" w:right="380" w:hanging="454"/>
        <w:spacing w:after="0" w:line="259" w:lineRule="auto"/>
        <w:tabs>
          <w:tab w:leader="none" w:pos="13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80" w:right="540" w:hanging="454"/>
        <w:spacing w:after="0" w:line="370" w:lineRule="auto"/>
        <w:tabs>
          <w:tab w:leader="none" w:pos="1380" w:val="left"/>
        </w:tabs>
        <w:numPr>
          <w:ilvl w:val="1"/>
          <w:numId w:val="2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80" w:right="60" w:hanging="454"/>
        <w:spacing w:after="0" w:line="259" w:lineRule="auto"/>
        <w:tabs>
          <w:tab w:leader="none" w:pos="13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3"/>
        <w:spacing w:after="0" w:line="332" w:lineRule="auto"/>
        <w:tabs>
          <w:tab w:leader="none" w:pos="9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80" w:right="780" w:hanging="454"/>
        <w:spacing w:after="0" w:line="332" w:lineRule="auto"/>
        <w:tabs>
          <w:tab w:leader="none" w:pos="13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80" w:right="480" w:hanging="454"/>
        <w:spacing w:after="0" w:line="268" w:lineRule="auto"/>
        <w:tabs>
          <w:tab w:leader="none" w:pos="13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1, 2010</w:t>
      </w:r>
    </w:p>
    <w:p>
      <w:pPr>
        <w:spacing w:after="0" w:line="23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173990</wp:posOffset>
            </wp:positionV>
            <wp:extent cx="25730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6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26376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656590</wp:posOffset>
            </wp:positionV>
            <wp:extent cx="726757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August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19" w:lineRule="exact"/>
        <w:rPr>
          <w:sz w:val="20"/>
          <w:szCs w:val="20"/>
          <w:color w:val="auto"/>
        </w:rPr>
      </w:pPr>
    </w:p>
    <w:p>
      <w:pPr>
        <w:ind w:right="60" w:firstLine="439"/>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53" w:lineRule="exact"/>
        <w:rPr>
          <w:sz w:val="20"/>
          <w:szCs w:val="20"/>
          <w:color w:val="auto"/>
        </w:rPr>
      </w:pPr>
    </w:p>
    <w:p>
      <w:pPr>
        <w:ind w:left="1160" w:right="160" w:hanging="463"/>
        <w:spacing w:after="0" w:line="268"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August 31, 2010 (the “Form 10-Q”) fully complies with the requirements of Section 13(a) or 15(d) of the Securities Exchange Act of 1934, as amended; and</w:t>
      </w:r>
    </w:p>
    <w:p>
      <w:pPr>
        <w:spacing w:after="0" w:line="118" w:lineRule="exact"/>
        <w:rPr>
          <w:rFonts w:ascii="Arial" w:cs="Arial" w:eastAsia="Arial" w:hAnsi="Arial"/>
          <w:sz w:val="18"/>
          <w:szCs w:val="18"/>
          <w:color w:val="auto"/>
        </w:rPr>
      </w:pPr>
    </w:p>
    <w:p>
      <w:pPr>
        <w:ind w:left="1160" w:hanging="463"/>
        <w:spacing w:after="0"/>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Date: October 1, 2010</w:t>
            </w:r>
          </w:p>
        </w:tc>
        <w:tc>
          <w:tcPr>
            <w:tcW w:w="3120" w:type="dxa"/>
            <w:vAlign w:val="bottom"/>
          </w:tcPr>
          <w:p>
            <w:pPr>
              <w:spacing w:after="0"/>
              <w:rPr>
                <w:sz w:val="20"/>
                <w:szCs w:val="20"/>
                <w:color w:val="auto"/>
              </w:rPr>
            </w:pPr>
            <w:r>
              <w:rPr>
                <w:rFonts w:ascii="Arial" w:cs="Arial" w:eastAsia="Arial" w:hAnsi="Arial"/>
                <w:sz w:val="18"/>
                <w:szCs w:val="18"/>
                <w:color w:val="auto"/>
              </w:rPr>
              <w:t>/s/Richard Robinson</w:t>
            </w:r>
          </w:p>
        </w:tc>
      </w:tr>
      <w:tr>
        <w:trPr>
          <w:trHeight w:val="259"/>
        </w:trPr>
        <w:tc>
          <w:tcPr>
            <w:tcW w:w="6860" w:type="dxa"/>
            <w:vAlign w:val="bottom"/>
          </w:tcPr>
          <w:p>
            <w:pPr>
              <w:spacing w:after="0"/>
              <w:rPr>
                <w:sz w:val="22"/>
                <w:szCs w:val="22"/>
                <w:color w:val="auto"/>
              </w:rPr>
            </w:pPr>
          </w:p>
        </w:tc>
        <w:tc>
          <w:tcPr>
            <w:tcW w:w="3120" w:type="dxa"/>
            <w:vAlign w:val="bottom"/>
            <w:tcBorders>
              <w:bottom w:val="single" w:sz="8" w:color="808080"/>
            </w:tcBorders>
          </w:tcPr>
          <w:p>
            <w:pPr>
              <w:spacing w:after="0"/>
              <w:rPr>
                <w:sz w:val="22"/>
                <w:szCs w:val="22"/>
                <w:color w:val="auto"/>
              </w:rPr>
            </w:pPr>
          </w:p>
        </w:tc>
      </w:tr>
      <w:tr>
        <w:trPr>
          <w:trHeight w:val="309"/>
        </w:trPr>
        <w:tc>
          <w:tcPr>
            <w:tcW w:w="686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Richard Robinson</w:t>
            </w:r>
          </w:p>
        </w:tc>
      </w:tr>
      <w:tr>
        <w:trPr>
          <w:trHeight w:val="222"/>
        </w:trPr>
        <w:tc>
          <w:tcPr>
            <w:tcW w:w="686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65"/>
        </w:trPr>
        <w:tc>
          <w:tcPr>
            <w:tcW w:w="6860" w:type="dxa"/>
            <w:vAlign w:val="bottom"/>
          </w:tcPr>
          <w:p>
            <w:pPr>
              <w:spacing w:after="0"/>
              <w:rPr>
                <w:sz w:val="20"/>
                <w:szCs w:val="20"/>
                <w:color w:val="auto"/>
              </w:rPr>
            </w:pPr>
            <w:r>
              <w:rPr>
                <w:rFonts w:ascii="Arial" w:cs="Arial" w:eastAsia="Arial" w:hAnsi="Arial"/>
                <w:sz w:val="18"/>
                <w:szCs w:val="18"/>
                <w:color w:val="auto"/>
              </w:rPr>
              <w:t>Date: October 1, 2010</w:t>
            </w:r>
          </w:p>
        </w:tc>
        <w:tc>
          <w:tcPr>
            <w:tcW w:w="3120" w:type="dxa"/>
            <w:vAlign w:val="bottom"/>
          </w:tcPr>
          <w:p>
            <w:pPr>
              <w:spacing w:after="0"/>
              <w:rPr>
                <w:sz w:val="20"/>
                <w:szCs w:val="20"/>
                <w:color w:val="auto"/>
              </w:rPr>
            </w:pPr>
            <w:r>
              <w:rPr>
                <w:rFonts w:ascii="Arial" w:cs="Arial" w:eastAsia="Arial" w:hAnsi="Arial"/>
                <w:sz w:val="18"/>
                <w:szCs w:val="18"/>
                <w:color w:val="auto"/>
              </w:rPr>
              <w:t>/s/Maureen O’Connell</w:t>
            </w:r>
          </w:p>
        </w:tc>
      </w:tr>
      <w:tr>
        <w:trPr>
          <w:trHeight w:val="259"/>
        </w:trPr>
        <w:tc>
          <w:tcPr>
            <w:tcW w:w="6860" w:type="dxa"/>
            <w:vAlign w:val="bottom"/>
          </w:tcPr>
          <w:p>
            <w:pPr>
              <w:spacing w:after="0"/>
              <w:rPr>
                <w:sz w:val="22"/>
                <w:szCs w:val="22"/>
                <w:color w:val="auto"/>
              </w:rPr>
            </w:pPr>
          </w:p>
        </w:tc>
        <w:tc>
          <w:tcPr>
            <w:tcW w:w="3120" w:type="dxa"/>
            <w:vAlign w:val="bottom"/>
            <w:tcBorders>
              <w:bottom w:val="single" w:sz="8" w:color="808080"/>
            </w:tcBorders>
          </w:tcPr>
          <w:p>
            <w:pPr>
              <w:spacing w:after="0"/>
              <w:rPr>
                <w:sz w:val="22"/>
                <w:szCs w:val="22"/>
                <w:color w:val="auto"/>
              </w:rPr>
            </w:pPr>
          </w:p>
        </w:tc>
      </w:tr>
      <w:tr>
        <w:trPr>
          <w:trHeight w:val="309"/>
        </w:trPr>
        <w:tc>
          <w:tcPr>
            <w:tcW w:w="686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Maureen O’Connell</w:t>
            </w:r>
          </w:p>
        </w:tc>
      </w:tr>
      <w:tr>
        <w:trPr>
          <w:trHeight w:val="222"/>
        </w:trPr>
        <w:tc>
          <w:tcPr>
            <w:tcW w:w="686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certification set forth above is being furnished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421640</wp:posOffset>
            </wp:positionV>
            <wp:extent cx="726757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3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lowerRoman"/>
      <w:start w:val="2"/>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32"/>
    </w:lvl>
  </w:abstractNum>
  <w:abstractNum w:abstractNumId="12">
    <w:nsid w:val="628C895D"/>
    <w:multiLevelType w:val="hybridMultilevel"/>
    <w:lvl w:ilvl="0">
      <w:lvlJc w:val="left"/>
      <w:lvlText w:val="%1"/>
      <w:numFmt w:val="decimal"/>
      <w:start w:val="32"/>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2"/>
    </w:lvl>
  </w:abstractNum>
  <w:abstractNum w:abstractNumId="17">
    <w:nsid w:val="6763845E"/>
    <w:multiLevelType w:val="hybridMultilevel"/>
    <w:lvl w:ilvl="0">
      <w:lvlJc w:val="left"/>
      <w:lvlText w:val="%1"/>
      <w:numFmt w:val="lowerLetter"/>
      <w:start w:val="1"/>
    </w:lvl>
    <w:lvl w:ilvl="1">
      <w:lvlJc w:val="left"/>
      <w:lvlText w:val="(%2)"/>
      <w:numFmt w:val="lowerLetter"/>
      <w:start w:val="1"/>
    </w:lvl>
  </w:abstractNum>
  <w:abstractNum w:abstractNumId="18">
    <w:nsid w:val="75A2A8D4"/>
    <w:multiLevelType w:val="hybridMultilevel"/>
    <w:lvl w:ilvl="0">
      <w:lvlJc w:val="left"/>
      <w:lvlText w:val="(%1)"/>
      <w:numFmt w:val="lowerLetter"/>
      <w:start w:val="3"/>
    </w:lvl>
    <w:lvl w:ilvl="1">
      <w:lvlJc w:val="left"/>
      <w:lvlText w:val="%2"/>
      <w:numFmt w:val="lowerLetter"/>
      <w:start w:val="1"/>
    </w:lvl>
  </w:abstractNum>
  <w:abstractNum w:abstractNumId="19">
    <w:nsid w:val="8EDBDAB"/>
    <w:multiLevelType w:val="hybridMultilevel"/>
    <w:lvl w:ilvl="0">
      <w:lvlJc w:val="left"/>
      <w:lvlText w:val="(%1)"/>
      <w:numFmt w:val="lowerLetter"/>
      <w:start w:val="4"/>
    </w:lvl>
  </w:abstractNum>
  <w:abstractNum w:abstractNumId="20">
    <w:nsid w:val="79838CB2"/>
    <w:multiLevelType w:val="hybridMultilevel"/>
    <w:lvl w:ilvl="0">
      <w:lvlJc w:val="left"/>
      <w:lvlText w:val="%1."/>
      <w:numFmt w:val="decimal"/>
      <w:start w:val="2"/>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2"/>
    </w:lvl>
  </w:abstractNum>
  <w:abstractNum w:abstractNumId="23">
    <w:nsid w:val="189A769B"/>
    <w:multiLevelType w:val="hybridMultilevel"/>
    <w:lvl w:ilvl="0">
      <w:lvlJc w:val="left"/>
      <w:lvlText w:val="%1."/>
      <w:numFmt w:val="decimal"/>
      <w:start w:val="4"/>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2019-12-10T09:13:22Z</dcterms:created>
  <dcterms:modified xsi:type="dcterms:W3CDTF">2019-12-10T09:13:22Z</dcterms:modified>
</cp:coreProperties>
</file>