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102026_110857.xml.htm"/>
      <w:bookmarkStart w:id="1" w:name="ksform408102026_11085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Quinton Sasha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CORPORATE SECRETARY, SCHOLASTIC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557 BROADWAY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SCHOLASTIC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SCHL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Pres. CBG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70"/>
        <w:gridCol w:w="451"/>
        <w:gridCol w:w="752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22,151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20.63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75,979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22,151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53,828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20.63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22,151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09/22/2027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22,151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shares sold to cover the exercise price and satisfy withholding taxes.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Employee stock option that expires September 22, 2027 and vested ratably over a three year period beginning with the first anniversary after the September 22, 2020 date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Sasha Quinton by Andrew S. Hedden, Esq.,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99461" TargetMode="External"/><Relationship Id="rId5" Type="http://schemas.openxmlformats.org/officeDocument/2006/relationships/hyperlink" Target="http://www.sec.gov/cgi-bin/browse-edgar?action=getcompany&amp;CIK=00008667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638</Words>
  <Characters>3445</Characters>
  <CharactersWithSpaces>3994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