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72026_080830.xml.htm"/>
      <w:bookmarkStart w:id="1" w:name="ksform408272026_0808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Lucchese Iole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CORPORATE SECRETARY, SCHOLASTIC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557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SCHOLASTIC CORP</w:t>
              </w:r>
            </w:hyperlink>
            <w:r>
              <w:rPr/>
              <w:t xml:space="preserve"> [ </w:t>
            </w:r>
            <w:r>
              <w:rPr>
                <w:rFonts w:ascii="Times;serif" w:hAnsi="Times;serif"/>
                <w:color w:val="0000FF"/>
                <w:sz w:val="24"/>
                <w:shd w:fill="FFFFFF" w:val="clear"/>
              </w:rPr>
              <w:t>SCHL</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STRATEGY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96"/>
        <w:gridCol w:w="426"/>
        <w:gridCol w:w="924"/>
        <w:gridCol w:w="1115"/>
        <w:gridCol w:w="962"/>
        <w:gridCol w:w="10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289,624</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39.7603</w:t>
            </w:r>
          </w:p>
        </w:tc>
        <w:tc>
          <w:tcPr>
            <w:tcW w:w="11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289,623</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10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Estate of M. Richard Robinson</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55,162</w:t>
            </w:r>
            <w:r>
              <w:rPr>
                <w:rFonts w:ascii="Times;serif" w:hAnsi="Times;serif"/>
                <w:color w:val="008000"/>
                <w:position w:val="7"/>
                <w:sz w:val="16"/>
                <w:sz w:val="20"/>
                <w:shd w:fill="FFFFFF" w:val="clear"/>
              </w:rPr>
              <w:t>(3)</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26, 2026, the Estate of M. Richard Robinson, Jr. sold 289,624 shares of Common Stock, par value $.01 per share, to the Issuer in a privately negotiated transaction, for an aggregate cash amount of $11,515,537.13.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previously disclosed, Ms. Lucchese is a preliminary executor of the Estate of M. Richard Robinson, Jr. These securities are held by the Estate of M. Richard Robinson, Jr. Ms. Lucchese disclaims beneficial ownership of these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6,982 unvested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Iole Lucchese by Andrew S. Hedden, Esq.,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6522" TargetMode="External"/><Relationship Id="rId5" Type="http://schemas.openxmlformats.org/officeDocument/2006/relationships/hyperlink" Target="http://www.sec.gov/cgi-bin/browse-edgar?action=getcompany&amp;CIK=00008667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3651</Characters>
  <CharactersWithSpaces>4249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