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2841625</wp:posOffset>
            </wp:positionH>
            <wp:positionV relativeFrom="page">
              <wp:posOffset>320675</wp:posOffset>
            </wp:positionV>
            <wp:extent cx="188658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86585" cy="23177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w w:val="95"/>
              </w:rPr>
              <w:t>For the quarterly period ended August 31, 2012</w:t>
            </w:r>
          </w:p>
        </w:tc>
        <w:tc>
          <w:tcPr>
            <w:tcW w:w="6380" w:type="dxa"/>
            <w:vAlign w:val="bottom"/>
          </w:tcPr>
          <w:p>
            <w:pPr>
              <w:ind w:left="3080"/>
              <w:spacing w:after="0"/>
              <w:rPr>
                <w:sz w:val="20"/>
                <w:szCs w:val="20"/>
                <w:color w:val="auto"/>
              </w:rPr>
            </w:pPr>
            <w:r>
              <w:rPr>
                <w:rFonts w:ascii="Arial" w:cs="Arial" w:eastAsia="Arial" w:hAnsi="Arial"/>
                <w:sz w:val="18"/>
                <w:szCs w:val="18"/>
                <w:color w:val="auto"/>
              </w:rPr>
              <w:t>Commission File No. 000-19860</w:t>
            </w:r>
          </w:p>
        </w:tc>
      </w:tr>
      <w:tr>
        <w:trPr>
          <w:trHeight w:val="466"/>
        </w:trPr>
        <w:tc>
          <w:tcPr>
            <w:tcW w:w="3620" w:type="dxa"/>
            <w:vAlign w:val="bottom"/>
          </w:tcPr>
          <w:p>
            <w:pPr>
              <w:spacing w:after="0"/>
              <w:rPr>
                <w:sz w:val="24"/>
                <w:szCs w:val="24"/>
                <w:color w:val="auto"/>
              </w:rPr>
            </w:pPr>
          </w:p>
        </w:tc>
        <w:tc>
          <w:tcPr>
            <w:tcW w:w="6380" w:type="dxa"/>
            <w:vAlign w:val="bottom"/>
          </w:tcPr>
          <w:p>
            <w:pPr>
              <w:jc w:val="center"/>
              <w:ind w:right="209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620" w:type="dxa"/>
            <w:vAlign w:val="bottom"/>
          </w:tcPr>
          <w:p>
            <w:pPr>
              <w:spacing w:after="0"/>
              <w:rPr>
                <w:sz w:val="19"/>
                <w:szCs w:val="19"/>
                <w:color w:val="auto"/>
              </w:rPr>
            </w:pPr>
          </w:p>
        </w:tc>
        <w:tc>
          <w:tcPr>
            <w:tcW w:w="6380" w:type="dxa"/>
            <w:vAlign w:val="bottom"/>
          </w:tcPr>
          <w:p>
            <w:pPr>
              <w:jc w:val="center"/>
              <w:ind w:right="20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620" w:type="dxa"/>
            <w:vAlign w:val="bottom"/>
          </w:tcPr>
          <w:p>
            <w:pPr>
              <w:ind w:left="740"/>
              <w:spacing w:after="0"/>
              <w:rPr>
                <w:sz w:val="20"/>
                <w:szCs w:val="20"/>
                <w:color w:val="auto"/>
              </w:rPr>
            </w:pPr>
            <w:r>
              <w:rPr>
                <w:rFonts w:ascii="Arial" w:cs="Arial" w:eastAsia="Arial" w:hAnsi="Arial"/>
                <w:sz w:val="18"/>
                <w:szCs w:val="18"/>
                <w:b w:val="1"/>
                <w:bCs w:val="1"/>
                <w:color w:val="auto"/>
              </w:rPr>
              <w:t>Delaware</w:t>
            </w:r>
          </w:p>
        </w:tc>
        <w:tc>
          <w:tcPr>
            <w:tcW w:w="638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6380" w:type="dxa"/>
            <w:vAlign w:val="bottom"/>
          </w:tcPr>
          <w:p>
            <w:pPr>
              <w:jc w:val="center"/>
              <w:ind w:left="38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6380" w:type="dxa"/>
            <w:vAlign w:val="bottom"/>
          </w:tcPr>
          <w:p>
            <w:pPr>
              <w:spacing w:after="0"/>
              <w:rPr>
                <w:sz w:val="19"/>
                <w:szCs w:val="19"/>
                <w:color w:val="auto"/>
              </w:rPr>
            </w:pPr>
          </w:p>
        </w:tc>
      </w:tr>
      <w:tr>
        <w:trPr>
          <w:trHeight w:val="358"/>
        </w:trPr>
        <w:tc>
          <w:tcPr>
            <w:tcW w:w="362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638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6380" w:type="dxa"/>
            <w:vAlign w:val="bottom"/>
          </w:tcPr>
          <w:p>
            <w:pPr>
              <w:jc w:val="center"/>
              <w:ind w:left="3892"/>
              <w:spacing w:after="0"/>
              <w:rPr>
                <w:sz w:val="20"/>
                <w:szCs w:val="20"/>
                <w:color w:val="auto"/>
              </w:rPr>
            </w:pPr>
            <w:r>
              <w:rPr>
                <w:rFonts w:ascii="Arial" w:cs="Arial" w:eastAsia="Arial" w:hAnsi="Arial"/>
                <w:sz w:val="18"/>
                <w:szCs w:val="18"/>
                <w:color w:val="auto"/>
                <w:w w:val="89"/>
              </w:rPr>
              <w:t>(Zip Code)</w:t>
            </w:r>
          </w:p>
        </w:tc>
      </w:tr>
    </w:tbl>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94" w:lineRule="exact"/>
        <w:rPr>
          <w:sz w:val="24"/>
          <w:szCs w:val="24"/>
          <w:color w:val="auto"/>
        </w:rPr>
      </w:pPr>
    </w:p>
    <w:p>
      <w:pPr>
        <w:jc w:val="both"/>
        <w:ind w:right="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1003" w:right="199" w:bottom="1440" w:gutter="0" w:footer="0" w:header="0"/>
        </w:sectPr>
      </w:pP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5000" w:space="720"/>
            <w:col w:w="5740"/>
          </w:cols>
          <w:pgMar w:left="240" w:top="1003"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3"/>
              </w:rPr>
              <w:t>Title</w:t>
            </w:r>
          </w:p>
        </w:tc>
        <w:tc>
          <w:tcPr>
            <w:tcW w:w="22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16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5"/>
              </w:rPr>
              <w:t>of each class</w:t>
            </w:r>
          </w:p>
        </w:tc>
        <w:tc>
          <w:tcPr>
            <w:tcW w:w="22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as of August 31, 2012</w:t>
            </w:r>
          </w:p>
        </w:tc>
        <w:tc>
          <w:tcPr>
            <w:tcW w:w="1160" w:type="dxa"/>
            <w:vAlign w:val="bottom"/>
          </w:tcPr>
          <w:p>
            <w:pPr>
              <w:spacing w:after="0"/>
              <w:rPr>
                <w:sz w:val="19"/>
                <w:szCs w:val="19"/>
                <w:color w:val="auto"/>
              </w:rPr>
            </w:pPr>
          </w:p>
        </w:tc>
      </w:tr>
      <w:tr>
        <w:trPr>
          <w:trHeight w:val="110"/>
        </w:trPr>
        <w:tc>
          <w:tcPr>
            <w:tcW w:w="114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60" w:type="dxa"/>
            <w:vAlign w:val="bottom"/>
          </w:tcPr>
          <w:p>
            <w:pPr>
              <w:spacing w:after="0"/>
              <w:rPr>
                <w:sz w:val="9"/>
                <w:szCs w:val="9"/>
                <w:color w:val="auto"/>
              </w:rPr>
            </w:pPr>
          </w:p>
        </w:tc>
      </w:tr>
      <w:tr>
        <w:trPr>
          <w:trHeight w:val="458"/>
        </w:trPr>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8"/>
              </w:rPr>
              <w:t>Common Stock, $.01 par value</w:t>
            </w:r>
          </w:p>
        </w:tc>
        <w:tc>
          <w:tcPr>
            <w:tcW w:w="5720" w:type="dxa"/>
            <w:vAlign w:val="bottom"/>
            <w:gridSpan w:val="2"/>
          </w:tcPr>
          <w:p>
            <w:pPr>
              <w:jc w:val="right"/>
              <w:ind w:right="1252"/>
              <w:spacing w:after="0"/>
              <w:rPr>
                <w:sz w:val="20"/>
                <w:szCs w:val="20"/>
                <w:color w:val="auto"/>
              </w:rPr>
            </w:pPr>
            <w:r>
              <w:rPr>
                <w:rFonts w:ascii="Arial" w:cs="Arial" w:eastAsia="Arial" w:hAnsi="Arial"/>
                <w:sz w:val="18"/>
                <w:szCs w:val="18"/>
                <w:color w:val="auto"/>
              </w:rPr>
              <w:t>30,006,581</w:t>
            </w:r>
          </w:p>
        </w:tc>
        <w:tc>
          <w:tcPr>
            <w:tcW w:w="1160" w:type="dxa"/>
            <w:vAlign w:val="bottom"/>
          </w:tcPr>
          <w:p>
            <w:pPr>
              <w:spacing w:after="0"/>
              <w:rPr>
                <w:sz w:val="24"/>
                <w:szCs w:val="24"/>
                <w:color w:val="auto"/>
              </w:rPr>
            </w:pPr>
          </w:p>
        </w:tc>
      </w:tr>
      <w:tr>
        <w:trPr>
          <w:trHeight w:val="222"/>
        </w:trPr>
        <w:tc>
          <w:tcPr>
            <w:tcW w:w="114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88"/>
              </w:rPr>
              <w:t>Class A Stock, $.01 par value</w:t>
            </w:r>
          </w:p>
        </w:tc>
        <w:tc>
          <w:tcPr>
            <w:tcW w:w="5720" w:type="dxa"/>
            <w:vAlign w:val="bottom"/>
            <w:gridSpan w:val="2"/>
          </w:tcPr>
          <w:p>
            <w:pPr>
              <w:jc w:val="right"/>
              <w:ind w:right="1292"/>
              <w:spacing w:after="0"/>
              <w:rPr>
                <w:sz w:val="20"/>
                <w:szCs w:val="20"/>
                <w:color w:val="auto"/>
              </w:rPr>
            </w:pPr>
            <w:r>
              <w:rPr>
                <w:rFonts w:ascii="Arial" w:cs="Arial" w:eastAsia="Arial" w:hAnsi="Arial"/>
                <w:sz w:val="18"/>
                <w:szCs w:val="18"/>
                <w:color w:val="auto"/>
              </w:rPr>
              <w:t>1,656,200</w:t>
            </w:r>
          </w:p>
        </w:tc>
        <w:tc>
          <w:tcPr>
            <w:tcW w:w="116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tcPr>
          <w:p>
            <w:pPr>
              <w:jc w:val="right"/>
              <w:ind w:right="992"/>
              <w:spacing w:after="0"/>
              <w:rPr>
                <w:sz w:val="20"/>
                <w:szCs w:val="20"/>
                <w:color w:val="auto"/>
              </w:rPr>
            </w:pPr>
            <w:r>
              <w:rPr>
                <w:rFonts w:ascii="Arial" w:cs="Arial" w:eastAsia="Arial" w:hAnsi="Arial"/>
                <w:sz w:val="18"/>
                <w:szCs w:val="18"/>
                <w:color w:val="auto"/>
              </w:rPr>
              <w:t>1</w:t>
            </w:r>
          </w:p>
        </w:tc>
        <w:tc>
          <w:tcPr>
            <w:tcW w:w="3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11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61"/>
        </w:trPr>
        <w:tc>
          <w:tcPr>
            <w:tcW w:w="114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003"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AUGUST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93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9380" w:type="dxa"/>
            <w:vAlign w:val="bottom"/>
            <w:gridSpan w:val="18"/>
            <w:vMerge w:val="continue"/>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460" w:type="dxa"/>
            <w:vAlign w:val="bottom"/>
            <w:gridSpan w:val="2"/>
          </w:tcPr>
          <w:p>
            <w:pPr>
              <w:spacing w:after="0"/>
              <w:rPr>
                <w:sz w:val="24"/>
                <w:szCs w:val="24"/>
                <w:color w:val="auto"/>
              </w:rPr>
            </w:pPr>
          </w:p>
        </w:tc>
        <w:tc>
          <w:tcPr>
            <w:tcW w:w="79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Operations (Unaudited)</w:t>
              </w:r>
            </w:hyperlink>
          </w:p>
        </w:tc>
        <w:tc>
          <w:tcPr>
            <w:tcW w:w="3500" w:type="dxa"/>
            <w:vAlign w:val="bottom"/>
            <w:gridSpan w:val="4"/>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(Loss) (Unaudited)</w:t>
              </w:r>
            </w:hyperlink>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4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(Unaudited)</w:t>
              </w:r>
            </w:hyperlink>
          </w:p>
        </w:tc>
        <w:tc>
          <w:tcPr>
            <w:tcW w:w="2120" w:type="dxa"/>
            <w:vAlign w:val="bottom"/>
            <w:gridSpan w:val="2"/>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Borders>
              <w:top w:val="single" w:sz="8" w:color="0000EE"/>
            </w:tcBorders>
            <w:gridSpan w:val="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(Unaudited)</w:t>
              </w:r>
            </w:hyperlink>
          </w:p>
        </w:tc>
        <w:tc>
          <w:tcPr>
            <w:tcW w:w="4220" w:type="dxa"/>
            <w:vAlign w:val="bottom"/>
            <w:gridSpan w:val="6"/>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6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960" w:type="dxa"/>
            <w:vAlign w:val="bottom"/>
            <w:tcBorders>
              <w:bottom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1660" w:type="dxa"/>
            <w:vAlign w:val="bottom"/>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960" w:type="dxa"/>
            <w:vAlign w:val="bottom"/>
            <w:tcBorders>
              <w:bottom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42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3760" w:type="dxa"/>
            <w:vAlign w:val="bottom"/>
            <w:gridSpan w:val="5"/>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440" w:type="dxa"/>
            <w:vAlign w:val="bottom"/>
          </w:tcPr>
          <w:p>
            <w:pPr>
              <w:spacing w:after="0"/>
              <w:rPr>
                <w:sz w:val="24"/>
                <w:szCs w:val="24"/>
                <w:color w:val="auto"/>
              </w:rPr>
            </w:pPr>
          </w:p>
        </w:tc>
        <w:tc>
          <w:tcPr>
            <w:tcW w:w="172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Controls and Procedures</w:t>
              </w:r>
            </w:hyperlink>
          </w:p>
        </w:tc>
        <w:tc>
          <w:tcPr>
            <w:tcW w:w="6240" w:type="dxa"/>
            <w:vAlign w:val="bottom"/>
            <w:gridSpan w:val="8"/>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380" w:type="dxa"/>
            <w:vAlign w:val="bottom"/>
            <w:gridSpan w:val="18"/>
          </w:tcPr>
          <w:p>
            <w:pPr>
              <w:spacing w:after="0"/>
              <w:rPr>
                <w:sz w:val="20"/>
                <w:szCs w:val="20"/>
                <w:color w:val="auto"/>
              </w:rPr>
            </w:pPr>
            <w:r>
              <w:rPr>
                <w:rFonts w:ascii="Arial" w:cs="Arial" w:eastAsia="Arial" w:hAnsi="Arial"/>
                <w:sz w:val="18"/>
                <w:szCs w:val="18"/>
                <w:b w:val="1"/>
                <w:bCs w:val="1"/>
                <w:color w:val="auto"/>
              </w:rPr>
              <w:t>Part II – Other Information</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Borders>
              <w:top w:val="single" w:sz="8" w:color="auto"/>
            </w:tcBorders>
          </w:tcPr>
          <w:p>
            <w:pPr>
              <w:spacing w:after="0"/>
              <w:rPr>
                <w:sz w:val="24"/>
                <w:szCs w:val="24"/>
                <w:color w:val="auto"/>
              </w:rPr>
            </w:pPr>
          </w:p>
        </w:tc>
        <w:tc>
          <w:tcPr>
            <w:tcW w:w="500" w:type="dxa"/>
            <w:vAlign w:val="bottom"/>
            <w:tcBorders>
              <w:top w:val="single" w:sz="8" w:color="auto"/>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6.</w:t>
              </w:r>
            </w:hyperlink>
          </w:p>
        </w:tc>
        <w:tc>
          <w:tcPr>
            <w:tcW w:w="460" w:type="dxa"/>
            <w:vAlign w:val="bottom"/>
            <w:tcBorders>
              <w:top w:val="single" w:sz="8" w:color="auto"/>
            </w:tcBorders>
            <w:gridSpan w:val="2"/>
          </w:tcPr>
          <w:p>
            <w:pPr>
              <w:spacing w:after="0"/>
              <w:rPr>
                <w:sz w:val="24"/>
                <w:szCs w:val="24"/>
                <w:color w:val="auto"/>
              </w:rPr>
            </w:pPr>
          </w:p>
        </w:tc>
        <w:tc>
          <w:tcPr>
            <w:tcW w:w="58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Exhibits</w:t>
              </w:r>
            </w:hyperlink>
          </w:p>
        </w:tc>
        <w:tc>
          <w:tcPr>
            <w:tcW w:w="100" w:type="dxa"/>
            <w:vAlign w:val="bottom"/>
            <w:tcBorders>
              <w:top w:val="single" w:sz="8" w:color="auto"/>
            </w:tcBorders>
          </w:tcPr>
          <w:p>
            <w:pPr>
              <w:spacing w:after="0"/>
              <w:rPr>
                <w:sz w:val="24"/>
                <w:szCs w:val="24"/>
                <w:color w:val="auto"/>
              </w:rPr>
            </w:pPr>
          </w:p>
        </w:tc>
        <w:tc>
          <w:tcPr>
            <w:tcW w:w="7280" w:type="dxa"/>
            <w:vAlign w:val="bottom"/>
            <w:gridSpan w:val="11"/>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20" w:type="dxa"/>
            <w:vAlign w:val="bottom"/>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Signatures</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gridSpan w:val="9"/>
          </w:tcPr>
          <w:p>
            <w:pPr>
              <w:ind w:left="42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4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8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4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r>
      <w:tr>
        <w:trPr>
          <w:trHeight w:val="365"/>
        </w:trPr>
        <w:tc>
          <w:tcPr>
            <w:tcW w:w="7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84"/>
              </w:rPr>
              <w:t>August 31,</w:t>
            </w:r>
          </w:p>
        </w:tc>
        <w:tc>
          <w:tcPr>
            <w:tcW w:w="24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w w:val="86"/>
              </w:rPr>
              <w:t>August 31,</w:t>
            </w:r>
          </w:p>
        </w:tc>
      </w:tr>
      <w:tr>
        <w:trPr>
          <w:trHeight w:val="365"/>
        </w:trPr>
        <w:tc>
          <w:tcPr>
            <w:tcW w:w="7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2011</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b w:val="1"/>
                <w:bCs w:val="1"/>
                <w:color w:val="auto"/>
              </w:rPr>
              <w:t>293.6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318.0</w:t>
            </w:r>
          </w:p>
        </w:tc>
      </w:tr>
      <w:tr>
        <w:trPr>
          <w:trHeight w:val="358"/>
        </w:trPr>
        <w:tc>
          <w:tcPr>
            <w:tcW w:w="7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Cost of goods sold (exclusive of depreciation and amortization)</w:t>
            </w:r>
          </w:p>
        </w:tc>
        <w:tc>
          <w:tcPr>
            <w:tcW w:w="134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151.1</w:t>
            </w:r>
          </w:p>
        </w:tc>
        <w:tc>
          <w:tcPr>
            <w:tcW w:w="24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160.4</w:t>
            </w: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(exclusive of depreciation and amortization)</w:t>
            </w:r>
          </w:p>
        </w:tc>
        <w:tc>
          <w:tcPr>
            <w:tcW w:w="1340" w:type="dxa"/>
            <w:vAlign w:val="bottom"/>
          </w:tcPr>
          <w:p>
            <w:pPr>
              <w:spacing w:after="0"/>
              <w:rPr>
                <w:sz w:val="18"/>
                <w:szCs w:val="18"/>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175.7</w:t>
            </w:r>
          </w:p>
        </w:tc>
      </w:tr>
      <w:tr>
        <w:trPr>
          <w:trHeight w:val="222"/>
        </w:trPr>
        <w:tc>
          <w:tcPr>
            <w:tcW w:w="76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15.1</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34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341.1</w:t>
            </w:r>
          </w:p>
        </w:tc>
        <w:tc>
          <w:tcPr>
            <w:tcW w:w="240" w:type="dxa"/>
            <w:vAlign w:val="bottom"/>
          </w:tcPr>
          <w:p>
            <w:pPr>
              <w:spacing w:after="0"/>
              <w:rPr>
                <w:sz w:val="24"/>
                <w:szCs w:val="24"/>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351.2</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(47.5)</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(33.2)</w:t>
            </w:r>
          </w:p>
        </w:tc>
      </w:tr>
      <w:tr>
        <w:trPr>
          <w:trHeight w:val="365"/>
        </w:trPr>
        <w:tc>
          <w:tcPr>
            <w:tcW w:w="766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316"/>
        </w:trPr>
        <w:tc>
          <w:tcPr>
            <w:tcW w:w="7660" w:type="dxa"/>
            <w:vAlign w:val="bottom"/>
          </w:tcPr>
          <w:p>
            <w:pPr>
              <w:spacing w:after="0"/>
              <w:rPr>
                <w:sz w:val="20"/>
                <w:szCs w:val="20"/>
                <w:color w:val="auto"/>
              </w:rPr>
            </w:pPr>
            <w:r>
              <w:rPr>
                <w:rFonts w:ascii="Arial" w:cs="Arial" w:eastAsia="Arial" w:hAnsi="Arial"/>
                <w:sz w:val="18"/>
                <w:szCs w:val="18"/>
                <w:b w:val="1"/>
                <w:bCs w:val="1"/>
                <w:color w:val="auto"/>
              </w:rPr>
              <w:t>Earnings (loss) from continuing operations before income taxes</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(51.2)</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(37.1)</w:t>
            </w:r>
          </w:p>
        </w:tc>
      </w:tr>
      <w:tr>
        <w:trPr>
          <w:trHeight w:val="365"/>
        </w:trPr>
        <w:tc>
          <w:tcPr>
            <w:tcW w:w="7660" w:type="dxa"/>
            <w:vAlign w:val="bottom"/>
          </w:tcPr>
          <w:p>
            <w:pPr>
              <w:ind w:left="160"/>
              <w:spacing w:after="0"/>
              <w:rPr>
                <w:sz w:val="20"/>
                <w:szCs w:val="20"/>
                <w:color w:val="auto"/>
              </w:rPr>
            </w:pPr>
            <w:r>
              <w:rPr>
                <w:rFonts w:ascii="Arial" w:cs="Arial" w:eastAsia="Arial" w:hAnsi="Arial"/>
                <w:sz w:val="18"/>
                <w:szCs w:val="18"/>
                <w:color w:val="auto"/>
              </w:rPr>
              <w:t>Provision (benefit) for income taxes</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7660" w:type="dxa"/>
            <w:vAlign w:val="bottom"/>
          </w:tcPr>
          <w:p>
            <w:pPr>
              <w:spacing w:after="0"/>
              <w:rPr>
                <w:sz w:val="20"/>
                <w:szCs w:val="20"/>
                <w:color w:val="auto"/>
              </w:rPr>
            </w:pPr>
            <w:r>
              <w:rPr>
                <w:rFonts w:ascii="Arial" w:cs="Arial" w:eastAsia="Arial" w:hAnsi="Arial"/>
                <w:sz w:val="18"/>
                <w:szCs w:val="18"/>
                <w:b w:val="1"/>
                <w:bCs w:val="1"/>
                <w:color w:val="auto"/>
              </w:rPr>
              <w:t>Earnings (loss) from continuing operations</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(32.0)</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r>
      <w:tr>
        <w:trPr>
          <w:trHeight w:val="365"/>
        </w:trPr>
        <w:tc>
          <w:tcPr>
            <w:tcW w:w="766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34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76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(32.1)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(27.1)</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r>
        <w:trPr>
          <w:trHeight w:val="464"/>
        </w:trPr>
        <w:tc>
          <w:tcPr>
            <w:tcW w:w="7660" w:type="dxa"/>
            <w:vAlign w:val="bottom"/>
          </w:tcPr>
          <w:p>
            <w:pPr>
              <w:spacing w:after="0"/>
              <w:rPr>
                <w:sz w:val="20"/>
                <w:szCs w:val="20"/>
                <w:color w:val="auto"/>
              </w:rPr>
            </w:pPr>
            <w:r>
              <w:rPr>
                <w:rFonts w:ascii="Arial" w:cs="Arial" w:eastAsia="Arial" w:hAnsi="Arial"/>
                <w:sz w:val="18"/>
                <w:szCs w:val="18"/>
                <w:b w:val="1"/>
                <w:bCs w:val="1"/>
                <w:color w:val="auto"/>
              </w:rPr>
              <w:t>Basic and diluted earnings (loss) per Share of Class A and Common Stock</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7660" w:type="dxa"/>
            <w:vAlign w:val="bottom"/>
          </w:tcPr>
          <w:p>
            <w:pPr>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2"/>
        </w:trPr>
        <w:tc>
          <w:tcPr>
            <w:tcW w:w="766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358"/>
        </w:trPr>
        <w:tc>
          <w:tcPr>
            <w:tcW w:w="76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(0.87)</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766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358"/>
        </w:trPr>
        <w:tc>
          <w:tcPr>
            <w:tcW w:w="76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22"/>
        </w:trPr>
        <w:tc>
          <w:tcPr>
            <w:tcW w:w="7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(0.87)</w:t>
            </w:r>
          </w:p>
        </w:tc>
      </w:tr>
      <w:tr>
        <w:trPr>
          <w:trHeight w:val="365"/>
        </w:trPr>
        <w:tc>
          <w:tcPr>
            <w:tcW w:w="7660" w:type="dxa"/>
            <w:vAlign w:val="bottom"/>
          </w:tcPr>
          <w:p>
            <w:pPr>
              <w:spacing w:after="0"/>
              <w:rPr>
                <w:sz w:val="20"/>
                <w:szCs w:val="20"/>
                <w:color w:val="auto"/>
              </w:rPr>
            </w:pPr>
            <w:r>
              <w:rPr>
                <w:rFonts w:ascii="Arial" w:cs="Arial" w:eastAsia="Arial" w:hAnsi="Arial"/>
                <w:sz w:val="18"/>
                <w:szCs w:val="18"/>
                <w:color w:val="auto"/>
              </w:rPr>
              <w:t>Dividends declared per Class A and Common share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0.125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0.100</w:t>
            </w:r>
          </w:p>
        </w:tc>
      </w:tr>
      <w:tr>
        <w:trPr>
          <w:trHeight w:val="110"/>
        </w:trPr>
        <w:tc>
          <w:tcPr>
            <w:tcW w:w="7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318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COMPREHENSIVE INCOME (LOSS) - UNAUDITED </w:t>
      </w: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4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r>
      <w:tr>
        <w:trPr>
          <w:trHeight w:val="365"/>
        </w:trPr>
        <w:tc>
          <w:tcPr>
            <w:tcW w:w="5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84"/>
              </w:rPr>
              <w:t>August 31,</w:t>
            </w:r>
          </w:p>
        </w:tc>
        <w:tc>
          <w:tcPr>
            <w:tcW w:w="24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w w:val="86"/>
              </w:rPr>
              <w:t>August 31,</w:t>
            </w:r>
          </w:p>
        </w:tc>
        <w:tc>
          <w:tcPr>
            <w:tcW w:w="20" w:type="dxa"/>
            <w:vAlign w:val="bottom"/>
          </w:tcPr>
          <w:p>
            <w:pPr>
              <w:spacing w:after="0"/>
              <w:rPr>
                <w:sz w:val="24"/>
                <w:szCs w:val="24"/>
                <w:color w:val="auto"/>
              </w:rPr>
            </w:pPr>
          </w:p>
        </w:tc>
      </w:tr>
      <w:tr>
        <w:trPr>
          <w:trHeight w:val="365"/>
        </w:trPr>
        <w:tc>
          <w:tcPr>
            <w:tcW w:w="5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r>
      <w:tr>
        <w:trPr>
          <w:trHeight w:val="110"/>
        </w:trPr>
        <w:tc>
          <w:tcPr>
            <w:tcW w:w="55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color w:val="auto"/>
              </w:rPr>
              <w:t>Net income (loss)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4"/>
                <w:szCs w:val="24"/>
                <w:color w:val="auto"/>
              </w:rPr>
            </w:pPr>
          </w:p>
        </w:tc>
      </w:tr>
      <w:tr>
        <w:trPr>
          <w:trHeight w:val="358"/>
        </w:trPr>
        <w:tc>
          <w:tcPr>
            <w:tcW w:w="5540" w:type="dxa"/>
            <w:vAlign w:val="bottom"/>
          </w:tcPr>
          <w:p>
            <w:pPr>
              <w:ind w:left="160"/>
              <w:spacing w:after="0"/>
              <w:rPr>
                <w:sz w:val="20"/>
                <w:szCs w:val="20"/>
                <w:color w:val="auto"/>
              </w:rPr>
            </w:pPr>
            <w:r>
              <w:rPr>
                <w:rFonts w:ascii="Arial" w:cs="Arial" w:eastAsia="Arial" w:hAnsi="Arial"/>
                <w:sz w:val="18"/>
                <w:szCs w:val="18"/>
                <w:color w:val="auto"/>
              </w:rPr>
              <w:t>Other comprehensive income (loss), net:</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54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4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358"/>
        </w:trPr>
        <w:tc>
          <w:tcPr>
            <w:tcW w:w="5540" w:type="dxa"/>
            <w:vAlign w:val="bottom"/>
          </w:tcPr>
          <w:p>
            <w:pPr>
              <w:ind w:left="320"/>
              <w:spacing w:after="0"/>
              <w:rPr>
                <w:sz w:val="20"/>
                <w:szCs w:val="20"/>
                <w:color w:val="auto"/>
              </w:rPr>
            </w:pPr>
            <w:r>
              <w:rPr>
                <w:rFonts w:ascii="Arial" w:cs="Arial" w:eastAsia="Arial" w:hAnsi="Arial"/>
                <w:sz w:val="18"/>
                <w:szCs w:val="18"/>
                <w:color w:val="auto"/>
              </w:rPr>
              <w:t>Pension and post-retirement adjustments:</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40" w:type="dxa"/>
            <w:vAlign w:val="bottom"/>
          </w:tcPr>
          <w:p>
            <w:pPr>
              <w:ind w:left="480"/>
              <w:spacing w:after="0"/>
              <w:rPr>
                <w:sz w:val="20"/>
                <w:szCs w:val="20"/>
                <w:color w:val="auto"/>
              </w:rPr>
            </w:pPr>
            <w:r>
              <w:rPr>
                <w:rFonts w:ascii="Arial" w:cs="Arial" w:eastAsia="Arial" w:hAnsi="Arial"/>
                <w:sz w:val="18"/>
                <w:szCs w:val="18"/>
                <w:color w:val="auto"/>
              </w:rPr>
              <w:t>Amortization of prior service cost (credit)</w:t>
            </w:r>
          </w:p>
        </w:tc>
        <w:tc>
          <w:tcPr>
            <w:tcW w:w="34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22"/>
        </w:trPr>
        <w:tc>
          <w:tcPr>
            <w:tcW w:w="5540" w:type="dxa"/>
            <w:vAlign w:val="bottom"/>
          </w:tcPr>
          <w:p>
            <w:pPr>
              <w:ind w:left="480"/>
              <w:spacing w:after="0"/>
              <w:rPr>
                <w:sz w:val="20"/>
                <w:szCs w:val="20"/>
                <w:color w:val="auto"/>
              </w:rPr>
            </w:pPr>
            <w:r>
              <w:rPr>
                <w:rFonts w:ascii="Arial" w:cs="Arial" w:eastAsia="Arial" w:hAnsi="Arial"/>
                <w:sz w:val="18"/>
                <w:szCs w:val="18"/>
                <w:color w:val="auto"/>
                <w:w w:val="91"/>
              </w:rPr>
              <w:t>Amortization of unrecognized gain (loss) included in net periodic cost</w:t>
            </w:r>
          </w:p>
        </w:tc>
        <w:tc>
          <w:tcPr>
            <w:tcW w:w="34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110"/>
        </w:trPr>
        <w:tc>
          <w:tcPr>
            <w:tcW w:w="55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540" w:type="dxa"/>
            <w:vAlign w:val="bottom"/>
          </w:tcPr>
          <w:p>
            <w:pPr>
              <w:ind w:left="160"/>
              <w:spacing w:after="0"/>
              <w:rPr>
                <w:sz w:val="20"/>
                <w:szCs w:val="20"/>
                <w:color w:val="auto"/>
              </w:rPr>
            </w:pPr>
            <w:r>
              <w:rPr>
                <w:rFonts w:ascii="Arial" w:cs="Arial" w:eastAsia="Arial" w:hAnsi="Arial"/>
                <w:sz w:val="18"/>
                <w:szCs w:val="18"/>
                <w:color w:val="auto"/>
              </w:rPr>
              <w:t>Total other comprehensive income (loss)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110"/>
        </w:trPr>
        <w:tc>
          <w:tcPr>
            <w:tcW w:w="55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58"/>
        </w:trPr>
        <w:tc>
          <w:tcPr>
            <w:tcW w:w="554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4"/>
                <w:szCs w:val="24"/>
                <w:color w:val="auto"/>
              </w:rPr>
            </w:pPr>
          </w:p>
        </w:tc>
      </w:tr>
      <w:tr>
        <w:trPr>
          <w:trHeight w:val="134"/>
        </w:trPr>
        <w:tc>
          <w:tcPr>
            <w:tcW w:w="554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535"/>
        </w:trPr>
        <w:tc>
          <w:tcPr>
            <w:tcW w:w="554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540" w:type="dxa"/>
            <w:vAlign w:val="bottom"/>
          </w:tcPr>
          <w:p>
            <w:pPr>
              <w:spacing w:after="0"/>
              <w:rPr>
                <w:sz w:val="24"/>
                <w:szCs w:val="24"/>
                <w:color w:val="auto"/>
              </w:rPr>
            </w:pPr>
          </w:p>
        </w:tc>
        <w:tc>
          <w:tcPr>
            <w:tcW w:w="3460" w:type="dxa"/>
            <w:vAlign w:val="bottom"/>
          </w:tcPr>
          <w:p>
            <w:pPr>
              <w:jc w:val="right"/>
              <w:ind w:right="3152"/>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54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-817880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-817880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-817880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-817880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-817880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-817880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-817880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-817880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-817880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60" w:right="1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2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August 31, 2012</w:t>
            </w:r>
          </w:p>
        </w:tc>
        <w:tc>
          <w:tcPr>
            <w:tcW w:w="280" w:type="dxa"/>
            <w:vAlign w:val="bottom"/>
          </w:tcPr>
          <w:p>
            <w:pPr>
              <w:spacing w:after="0"/>
              <w:rPr>
                <w:sz w:val="19"/>
                <w:szCs w:val="19"/>
                <w:color w:val="auto"/>
              </w:rPr>
            </w:pPr>
          </w:p>
        </w:tc>
        <w:tc>
          <w:tcPr>
            <w:tcW w:w="1320" w:type="dxa"/>
            <w:vAlign w:val="bottom"/>
          </w:tcPr>
          <w:p>
            <w:pPr>
              <w:jc w:val="right"/>
              <w:ind w:right="212"/>
              <w:spacing w:after="0"/>
              <w:rPr>
                <w:sz w:val="20"/>
                <w:szCs w:val="20"/>
                <w:color w:val="auto"/>
              </w:rPr>
            </w:pPr>
            <w:r>
              <w:rPr>
                <w:rFonts w:ascii="Arial" w:cs="Arial" w:eastAsia="Arial" w:hAnsi="Arial"/>
                <w:sz w:val="18"/>
                <w:szCs w:val="18"/>
                <w:b w:val="1"/>
                <w:bCs w:val="1"/>
                <w:color w:val="auto"/>
                <w:w w:val="90"/>
              </w:rPr>
              <w:t>May 31, 2012</w:t>
            </w:r>
          </w:p>
        </w:tc>
        <w:tc>
          <w:tcPr>
            <w:tcW w:w="15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August 31, 2011</w:t>
            </w:r>
          </w:p>
        </w:tc>
        <w:tc>
          <w:tcPr>
            <w:tcW w:w="0" w:type="dxa"/>
            <w:vAlign w:val="bottom"/>
          </w:tcPr>
          <w:p>
            <w:pPr>
              <w:spacing w:after="0"/>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2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0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2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22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193.1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194.9</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2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211.6</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314.1</w:t>
            </w:r>
          </w:p>
        </w:tc>
        <w:tc>
          <w:tcPr>
            <w:tcW w:w="6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396.4</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295.3</w:t>
            </w:r>
          </w:p>
        </w:tc>
        <w:tc>
          <w:tcPr>
            <w:tcW w:w="6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71.4</w:t>
            </w:r>
          </w:p>
        </w:tc>
        <w:tc>
          <w:tcPr>
            <w:tcW w:w="6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50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97.7</w:t>
            </w:r>
          </w:p>
        </w:tc>
        <w:tc>
          <w:tcPr>
            <w:tcW w:w="280" w:type="dxa"/>
            <w:vAlign w:val="bottom"/>
          </w:tcPr>
          <w:p>
            <w:pPr>
              <w:spacing w:after="0"/>
              <w:rPr>
                <w:sz w:val="18"/>
                <w:szCs w:val="18"/>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47.2</w:t>
            </w:r>
          </w:p>
        </w:tc>
        <w:tc>
          <w:tcPr>
            <w:tcW w:w="6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2"/>
        </w:trPr>
        <w:tc>
          <w:tcPr>
            <w:tcW w:w="502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22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10"/>
        </w:trPr>
        <w:tc>
          <w:tcPr>
            <w:tcW w:w="502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assets</w:t>
            </w:r>
          </w:p>
        </w:tc>
        <w:tc>
          <w:tcPr>
            <w:tcW w:w="124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977.3</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929.9</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839.7</w:t>
            </w:r>
          </w:p>
        </w:tc>
      </w:tr>
      <w:tr>
        <w:trPr>
          <w:trHeight w:val="358"/>
        </w:trPr>
        <w:tc>
          <w:tcPr>
            <w:tcW w:w="600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1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327.3</w:t>
            </w:r>
          </w:p>
        </w:tc>
        <w:tc>
          <w:tcPr>
            <w:tcW w:w="5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327.2</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331.3</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129.2</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125.8</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116.9</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Royalty advances, net</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35.4</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34.8</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34.6</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7.5</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157.7</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157.7</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154.2</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16.4</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16.7</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19.4</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Noncurrent deferred income taxes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42.6</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42.3</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20.2</w:t>
            </w:r>
          </w:p>
        </w:tc>
      </w:tr>
      <w:tr>
        <w:trPr>
          <w:trHeight w:val="222"/>
        </w:trPr>
        <w:tc>
          <w:tcPr>
            <w:tcW w:w="600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124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34.8</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34.3</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35.3</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1,722.8</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1,670.3</w:t>
            </w:r>
          </w:p>
        </w:tc>
        <w:tc>
          <w:tcPr>
            <w:tcW w:w="5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1,559.1</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58"/>
        </w:trPr>
        <w:tc>
          <w:tcPr>
            <w:tcW w:w="6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0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Lines of credit, short-term debt and current portion of long-term debt</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5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47.4</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211.3</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119.6</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181.2</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109.1</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92.7</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52.7</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72.4</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47.1</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75.9</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188.1</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233.5</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169.7</w:t>
            </w:r>
          </w:p>
        </w:tc>
      </w:tr>
      <w:tr>
        <w:trPr>
          <w:trHeight w:val="222"/>
        </w:trPr>
        <w:tc>
          <w:tcPr>
            <w:tcW w:w="600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124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60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current liabilities</w:t>
            </w:r>
          </w:p>
        </w:tc>
        <w:tc>
          <w:tcPr>
            <w:tcW w:w="1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584.3</w:t>
            </w:r>
          </w:p>
        </w:tc>
        <w:tc>
          <w:tcPr>
            <w:tcW w:w="5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502.5</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528.6</w:t>
            </w:r>
          </w:p>
        </w:tc>
      </w:tr>
      <w:tr>
        <w:trPr>
          <w:trHeight w:val="358"/>
        </w:trPr>
        <w:tc>
          <w:tcPr>
            <w:tcW w:w="60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Noncurrent Liabilities:</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152.8</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152.8</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152.6</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56.7</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56.4</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55.3</w:t>
            </w:r>
          </w:p>
        </w:tc>
      </w:tr>
      <w:tr>
        <w:trPr>
          <w:trHeight w:val="222"/>
        </w:trPr>
        <w:tc>
          <w:tcPr>
            <w:tcW w:w="600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124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123.3</w:t>
            </w:r>
          </w:p>
        </w:tc>
        <w:tc>
          <w:tcPr>
            <w:tcW w:w="5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128.3</w:t>
            </w:r>
          </w:p>
        </w:tc>
        <w:tc>
          <w:tcPr>
            <w:tcW w:w="560" w:type="dxa"/>
            <w:vAlign w:val="bottom"/>
          </w:tcPr>
          <w:p>
            <w:pPr>
              <w:spacing w:after="0"/>
              <w:rPr>
                <w:sz w:val="19"/>
                <w:szCs w:val="19"/>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107.5</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464"/>
        </w:trPr>
        <w:tc>
          <w:tcPr>
            <w:tcW w:w="60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noncurrent liabilities</w:t>
            </w:r>
          </w:p>
        </w:tc>
        <w:tc>
          <w:tcPr>
            <w:tcW w:w="1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332.8</w:t>
            </w:r>
          </w:p>
        </w:tc>
        <w:tc>
          <w:tcPr>
            <w:tcW w:w="5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337.5</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315.4</w:t>
            </w:r>
          </w:p>
        </w:tc>
      </w:tr>
      <w:tr>
        <w:trPr>
          <w:trHeight w:val="365"/>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1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358"/>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0.4</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584.7</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583.0</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578.2</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56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(74.2)</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600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2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687.8</w:t>
            </w:r>
          </w:p>
        </w:tc>
        <w:tc>
          <w:tcPr>
            <w:tcW w:w="560" w:type="dxa"/>
            <w:vAlign w:val="bottom"/>
          </w:tcPr>
          <w:p>
            <w:pPr>
              <w:spacing w:after="0"/>
              <w:rPr>
                <w:sz w:val="18"/>
                <w:szCs w:val="18"/>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723.9</w:t>
            </w:r>
          </w:p>
        </w:tc>
        <w:tc>
          <w:tcPr>
            <w:tcW w:w="56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605.6</w:t>
            </w:r>
          </w:p>
        </w:tc>
      </w:tr>
      <w:tr>
        <w:trPr>
          <w:trHeight w:val="222"/>
        </w:trPr>
        <w:tc>
          <w:tcPr>
            <w:tcW w:w="600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124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(399.2)</w:t>
            </w:r>
          </w:p>
        </w:tc>
        <w:tc>
          <w:tcPr>
            <w:tcW w:w="56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(402.8)</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(417.0)</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Total stockholders’ equity</w:t>
            </w:r>
          </w:p>
        </w:tc>
        <w:tc>
          <w:tcPr>
            <w:tcW w:w="124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805.7</w:t>
            </w:r>
          </w:p>
        </w:tc>
        <w:tc>
          <w:tcPr>
            <w:tcW w:w="560" w:type="dxa"/>
            <w:vAlign w:val="bottom"/>
          </w:tcPr>
          <w:p>
            <w:pPr>
              <w:spacing w:after="0"/>
              <w:rPr>
                <w:sz w:val="24"/>
                <w:szCs w:val="24"/>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830.3</w:t>
            </w:r>
          </w:p>
        </w:tc>
        <w:tc>
          <w:tcPr>
            <w:tcW w:w="56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715.1</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316"/>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4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1,722.8</w:t>
            </w:r>
          </w:p>
        </w:tc>
        <w:tc>
          <w:tcPr>
            <w:tcW w:w="5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1,670.3</w:t>
            </w:r>
          </w:p>
        </w:tc>
        <w:tc>
          <w:tcPr>
            <w:tcW w:w="5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1,559.1</w:t>
            </w:r>
          </w:p>
        </w:tc>
      </w:tr>
      <w:tr>
        <w:trPr>
          <w:trHeight w:val="110"/>
        </w:trPr>
        <w:tc>
          <w:tcPr>
            <w:tcW w:w="6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539"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gridSpan w:val="3"/>
          </w:tcPr>
          <w:p>
            <w:pPr>
              <w:jc w:val="right"/>
              <w:ind w:right="832"/>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8"/>
                <w:szCs w:val="18"/>
                <w:color w:val="auto"/>
              </w:rPr>
            </w:pPr>
          </w:p>
        </w:tc>
      </w:tr>
      <w:tr>
        <w:trPr>
          <w:trHeight w:val="228"/>
        </w:trPr>
        <w:tc>
          <w:tcPr>
            <w:tcW w:w="7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w w:val="86"/>
              </w:rPr>
              <w:t>August 31, 2012</w:t>
            </w:r>
          </w:p>
        </w:tc>
        <w:tc>
          <w:tcPr>
            <w:tcW w:w="24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August 31, 2011</w:t>
            </w:r>
          </w:p>
        </w:tc>
        <w:tc>
          <w:tcPr>
            <w:tcW w:w="20" w:type="dxa"/>
            <w:vAlign w:val="bottom"/>
          </w:tcPr>
          <w:p>
            <w:pPr>
              <w:spacing w:after="0"/>
              <w:rPr>
                <w:sz w:val="19"/>
                <w:szCs w:val="19"/>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 net of tax</w:t>
            </w:r>
          </w:p>
        </w:tc>
        <w:tc>
          <w:tcPr>
            <w:tcW w:w="50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7800" w:type="dxa"/>
            <w:vAlign w:val="bottom"/>
          </w:tcPr>
          <w:p>
            <w:pPr>
              <w:ind w:left="320"/>
              <w:spacing w:after="0"/>
              <w:rPr>
                <w:sz w:val="20"/>
                <w:szCs w:val="20"/>
                <w:color w:val="auto"/>
              </w:rPr>
            </w:pPr>
            <w:r>
              <w:rPr>
                <w:rFonts w:ascii="Arial" w:cs="Arial" w:eastAsia="Arial" w:hAnsi="Arial"/>
                <w:sz w:val="18"/>
                <w:szCs w:val="18"/>
                <w:color w:val="auto"/>
              </w:rPr>
              <w:t>Earnings (loss) from continuing operations</w:t>
            </w:r>
          </w:p>
        </w:tc>
        <w:tc>
          <w:tcPr>
            <w:tcW w:w="50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4"/>
                <w:szCs w:val="24"/>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w w:val="93"/>
              </w:rPr>
              <w:t>Adjustments to reconcile earnings from continuing operations to net cash provided by (used in) operating</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activities of continuing operations:</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Provision for losses on inventory</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Provision for losses on royalty advances</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Non cash net gain on equity investments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16"/>
        </w:trPr>
        <w:tc>
          <w:tcPr>
            <w:tcW w:w="78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7800" w:type="dxa"/>
            <w:vAlign w:val="bottom"/>
          </w:tcPr>
          <w:p>
            <w:pPr>
              <w:ind w:left="480"/>
              <w:spacing w:after="0"/>
              <w:rPr>
                <w:sz w:val="20"/>
                <w:szCs w:val="20"/>
                <w:color w:val="auto"/>
              </w:rPr>
            </w:pPr>
            <w:r>
              <w:rPr>
                <w:rFonts w:ascii="Arial" w:cs="Arial" w:eastAsia="Arial" w:hAnsi="Arial"/>
                <w:sz w:val="18"/>
                <w:szCs w:val="18"/>
                <w:color w:val="auto"/>
              </w:rPr>
              <w:t>Other noncurrent liability</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78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50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80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50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4"/>
                <w:szCs w:val="24"/>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continuing operations</w:t>
            </w:r>
          </w:p>
        </w:tc>
        <w:tc>
          <w:tcPr>
            <w:tcW w:w="50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24"/>
                <w:szCs w:val="24"/>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50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50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24"/>
                <w:szCs w:val="24"/>
                <w:color w:val="auto"/>
              </w:rPr>
            </w:pPr>
          </w:p>
        </w:tc>
      </w:tr>
      <w:tr>
        <w:trPr>
          <w:trHeight w:val="358"/>
        </w:trPr>
        <w:tc>
          <w:tcPr>
            <w:tcW w:w="780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Prepublication and production expenditures</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78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50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22"/>
        </w:trPr>
        <w:tc>
          <w:tcPr>
            <w:tcW w:w="7800" w:type="dxa"/>
            <w:vAlign w:val="bottom"/>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50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r>
      <w:tr>
        <w:trPr>
          <w:trHeight w:val="110"/>
        </w:trPr>
        <w:tc>
          <w:tcPr>
            <w:tcW w:w="78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7800" w:type="dxa"/>
            <w:vAlign w:val="bottom"/>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50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800" w:type="dxa"/>
            <w:vAlign w:val="bottom"/>
          </w:tcPr>
          <w:p>
            <w:pPr>
              <w:ind w:left="568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7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78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40" w:type="dxa"/>
            <w:vAlign w:val="bottom"/>
            <w:gridSpan w:val="3"/>
          </w:tcPr>
          <w:p>
            <w:pPr>
              <w:jc w:val="right"/>
              <w:ind w:right="83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6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w w:val="86"/>
              </w:rPr>
              <w:t>August 31, 2012</w:t>
            </w:r>
          </w:p>
        </w:tc>
        <w:tc>
          <w:tcPr>
            <w:tcW w:w="240" w:type="dxa"/>
            <w:vAlign w:val="bottom"/>
          </w:tcPr>
          <w:p>
            <w:pPr>
              <w:spacing w:after="0"/>
              <w:rPr>
                <w:sz w:val="19"/>
                <w:szCs w:val="19"/>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w w:val="84"/>
              </w:rPr>
              <w:t>August 31, 2011</w:t>
            </w:r>
          </w:p>
        </w:tc>
      </w:tr>
      <w:tr>
        <w:trPr>
          <w:trHeight w:val="110"/>
        </w:trPr>
        <w:tc>
          <w:tcPr>
            <w:tcW w:w="68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309"/>
        </w:trPr>
        <w:tc>
          <w:tcPr>
            <w:tcW w:w="684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46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146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18.5</w:t>
            </w: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Repayment of lines of credit</w:t>
            </w:r>
          </w:p>
        </w:tc>
        <w:tc>
          <w:tcPr>
            <w:tcW w:w="146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46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146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1.3</w:t>
            </w:r>
          </w:p>
        </w:tc>
      </w:tr>
      <w:tr>
        <w:trPr>
          <w:trHeight w:val="216"/>
        </w:trPr>
        <w:tc>
          <w:tcPr>
            <w:tcW w:w="684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1460" w:type="dxa"/>
            <w:vAlign w:val="bottom"/>
          </w:tcPr>
          <w:p>
            <w:pPr>
              <w:spacing w:after="0"/>
              <w:rPr>
                <w:sz w:val="18"/>
                <w:szCs w:val="18"/>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684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110"/>
        </w:trPr>
        <w:tc>
          <w:tcPr>
            <w:tcW w:w="68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464"/>
        </w:trPr>
        <w:tc>
          <w:tcPr>
            <w:tcW w:w="684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 of continuing operations</w:t>
            </w:r>
          </w:p>
        </w:tc>
        <w:tc>
          <w:tcPr>
            <w:tcW w:w="14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58"/>
        </w:trPr>
        <w:tc>
          <w:tcPr>
            <w:tcW w:w="6840" w:type="dxa"/>
            <w:vAlign w:val="bottom"/>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14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684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46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0.4</w:t>
            </w:r>
          </w:p>
        </w:tc>
      </w:tr>
      <w:tr>
        <w:trPr>
          <w:trHeight w:val="110"/>
        </w:trPr>
        <w:tc>
          <w:tcPr>
            <w:tcW w:w="68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464"/>
        </w:trPr>
        <w:tc>
          <w:tcPr>
            <w:tcW w:w="68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365"/>
        </w:trPr>
        <w:tc>
          <w:tcPr>
            <w:tcW w:w="6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60" w:type="dxa"/>
            <w:vAlign w:val="bottom"/>
          </w:tcPr>
          <w:p>
            <w:pPr>
              <w:spacing w:after="0"/>
              <w:rPr>
                <w:sz w:val="24"/>
                <w:szCs w:val="24"/>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105.3</w:t>
            </w:r>
          </w:p>
        </w:tc>
      </w:tr>
      <w:tr>
        <w:trPr>
          <w:trHeight w:val="110"/>
        </w:trPr>
        <w:tc>
          <w:tcPr>
            <w:tcW w:w="68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464"/>
        </w:trPr>
        <w:tc>
          <w:tcPr>
            <w:tcW w:w="68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b w:val="1"/>
                <w:bCs w:val="1"/>
                <w:color w:val="auto"/>
              </w:rPr>
              <w:t>193.1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52"/>
              <w:spacing w:after="0"/>
              <w:rPr>
                <w:sz w:val="20"/>
                <w:szCs w:val="20"/>
                <w:color w:val="auto"/>
              </w:rPr>
            </w:pPr>
            <w:r>
              <w:rPr>
                <w:rFonts w:ascii="Arial" w:cs="Arial" w:eastAsia="Arial" w:hAnsi="Arial"/>
                <w:sz w:val="18"/>
                <w:szCs w:val="18"/>
                <w:b w:val="1"/>
                <w:bCs w:val="1"/>
                <w:color w:val="auto"/>
              </w:rPr>
              <w:t>33.7</w:t>
            </w:r>
          </w:p>
        </w:tc>
      </w:tr>
      <w:tr>
        <w:trPr>
          <w:trHeight w:val="110"/>
        </w:trPr>
        <w:tc>
          <w:tcPr>
            <w:tcW w:w="68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ind w:right="9420" w:firstLine="8"/>
        <w:spacing w:after="0" w:line="605"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Principles of consolidation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accompanying condensed consolidated financial statements include the accounts of Scholastic Corporation (the “Corporation”) and all wholly-owned and majority-owned subsidiaries (collectively, “Scholastic” or the “Company”). Intercompany transactions are eliminated in consolidation.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2012 (the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fiscal year is not a calendar year. Accordingly, references in this document to fiscal 2012 relate to the twelve-month period ended May 31,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w:t>
      </w:r>
    </w:p>
    <w:p>
      <w:pPr>
        <w:spacing w:after="0" w:line="23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 xml:space="preserve">The Company determined that a software business previously reported in the </w:t>
      </w:r>
      <w:r>
        <w:rPr>
          <w:rFonts w:ascii="Arial" w:cs="Arial" w:eastAsia="Arial" w:hAnsi="Arial"/>
          <w:sz w:val="15"/>
          <w:szCs w:val="15"/>
          <w:i w:val="1"/>
          <w:iCs w:val="1"/>
          <w:color w:val="auto"/>
        </w:rPr>
        <w:t>Media, Licensing and Advertising</w:t>
      </w:r>
      <w:r>
        <w:rPr>
          <w:rFonts w:ascii="Arial" w:cs="Arial" w:eastAsia="Arial" w:hAnsi="Arial"/>
          <w:sz w:val="15"/>
          <w:szCs w:val="15"/>
          <w:color w:val="auto"/>
        </w:rPr>
        <w:t xml:space="preserve"> segment should be reported in the </w:t>
      </w:r>
      <w:r>
        <w:rPr>
          <w:rFonts w:ascii="Arial" w:cs="Arial" w:eastAsia="Arial" w:hAnsi="Arial"/>
          <w:sz w:val="15"/>
          <w:szCs w:val="15"/>
          <w:i w:val="1"/>
          <w:iCs w:val="1"/>
          <w:color w:val="auto"/>
        </w:rPr>
        <w:t>Children’s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Book Publishing and Distribution </w:t>
      </w:r>
      <w:r>
        <w:rPr>
          <w:rFonts w:ascii="Arial" w:cs="Arial" w:eastAsia="Arial" w:hAnsi="Arial"/>
          <w:sz w:val="15"/>
          <w:szCs w:val="15"/>
          <w:color w:val="auto"/>
        </w:rPr>
        <w:t>segment consistent with changes in the Company’s internal reporting structure. All prior periods reflect this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reported net amortization expense of prior service and gains and losses for pension and post-retirement benefit plans in Selling, general and administrative expenses of $1.1 and $1.3 for the three months ended August 31, 2012 and 2011, respectively. These amounts had previously been recognized as a component of accumulated other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Company closed or sold several operations during fiscal 2009, fiscal 2010 and fiscal 2012, and presently holds for sale one facility. All of these businesses are classified as discontinued operations in the Company’s financial statements. See Note 2, “Discontinued Operations,”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w:t>
      </w:r>
    </w:p>
    <w:p>
      <w:pPr>
        <w:spacing w:after="0" w:line="239" w:lineRule="exact"/>
        <w:rPr>
          <w:sz w:val="20"/>
          <w:szCs w:val="20"/>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Pension and other post-retirement obligations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profits for book fair operations during interim periods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9" w:lineRule="exact"/>
        <w:rPr>
          <w:rFonts w:ascii="Arial" w:cs="Arial" w:eastAsia="Arial" w:hAnsi="Arial"/>
          <w:sz w:val="18"/>
          <w:szCs w:val="18"/>
          <w:color w:val="auto"/>
        </w:rPr>
      </w:pPr>
    </w:p>
    <w:p>
      <w:pPr>
        <w:ind w:left="920" w:hanging="453"/>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condensed consolidated balance sheets include restricted cash of $0.8, $1.0 and $0.2 at August 31, 2012, May 31, 2012 and August 31, 2011, respectively, which is reported in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July 2012, the FASB issued an update to the authoritative guidance related to the impairment testing of indefinite-lived intangible assets. Similar to the guidance for goodwill impairment testing, companies will have the option to first perform a qualitative assessment to determine whether it is more likely than not that the fair value of the indefinite-lived intangible asset is less than its carrying value. The guidance provides companies with a revised list of examples of events and circumstances to consider, in their totality, to determine whether it is more likely than not that the fair value of the asset is less than its carrying amount. If a company concludes that this is the case, the company is required to perform the quantitative impairment test by comparing the fair value with the carrying value. Otherwise, a company can skip the quantitative test. Companies are not required to perform the qualitative assessment and are permitted to skip the qualitative assessment for any indefinite-lived asset in any period and proceed directly to the quantitative impairment test. The company may resume performing the qualitative assessment in any subsequent period. The amendments are effective for annual and interim impairment tests performed for fiscal years beginning after September 15, 2012. Early adoption is permitted, including for annual and interim impairment tests performed as of a date before July 27, 2012, if a public entity’s financial statements for the most recent annual or interim period have not yet been issued. The Company is evaluating the impact of this update on its consolidated financial position and results of operations.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June 2011, the FASB issued an update related to the reporting of other comprehensive income. The amendments require that all non-owner changes in stockholders’ equity be presented either in a single continuous statement of comprehensive income or in two separate but consecutive statements. The amendments also require the presentation on the face of the financial statements of reclassification adjustments for items that are reclassified from other comprehensive income to net income in the statements where the components of net income and the components of other comprehensive income are presented. The amendments are effective for fiscal years, and interim periods within those years, beginning after December 15, 2011. In December 2011, the FASB issued an update that effectively deferred the requirements related to the presentation of reclassification adjustments out of accumulated other comprehensive income. The amendments will be temporary to allow the FASB time to re-deliberate the presentation requirements for reclassifications out of accumulated other comprehensive income for annual and interim financial statements for public, private and non-profit entities. The Company adopted this update during the current fiscal quarter and has presented a separate statement of comprehensive income.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continuously evaluates its portfolio of businesses for both impairment and economic viability. The Company monitors the expected cash proceeds to be realized from the disposition of discontinued operations’ assets, and adjusts asset values accordingly.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4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August 31,</w:t>
            </w:r>
          </w:p>
        </w:tc>
        <w:tc>
          <w:tcPr>
            <w:tcW w:w="120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August 31,</w:t>
            </w:r>
          </w:p>
        </w:tc>
      </w:tr>
      <w:tr>
        <w:trPr>
          <w:trHeight w:val="228"/>
        </w:trPr>
        <w:tc>
          <w:tcPr>
            <w:tcW w:w="5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b w:val="1"/>
                <w:bCs w:val="1"/>
                <w:color w:val="auto"/>
              </w:rPr>
              <w:t>2012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19"/>
                <w:szCs w:val="19"/>
                <w:color w:val="auto"/>
              </w:rPr>
            </w:pPr>
          </w:p>
        </w:tc>
      </w:tr>
      <w:tr>
        <w:trPr>
          <w:trHeight w:val="110"/>
        </w:trPr>
        <w:tc>
          <w:tcPr>
            <w:tcW w:w="55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309"/>
        </w:trPr>
        <w:tc>
          <w:tcPr>
            <w:tcW w:w="5500" w:type="dxa"/>
            <w:vAlign w:val="bottom"/>
          </w:tcPr>
          <w:p>
            <w:pPr>
              <w:spacing w:after="0"/>
              <w:rPr>
                <w:sz w:val="20"/>
                <w:szCs w:val="20"/>
                <w:color w:val="auto"/>
              </w:rPr>
            </w:pPr>
            <w:r>
              <w:rPr>
                <w:rFonts w:ascii="Arial" w:cs="Arial" w:eastAsia="Arial" w:hAnsi="Arial"/>
                <w:sz w:val="18"/>
                <w:szCs w:val="18"/>
                <w:color w:val="auto"/>
              </w:rPr>
              <w:t>Revenues</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0.1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Non-cash impairment</w:t>
            </w:r>
          </w:p>
        </w:tc>
        <w:tc>
          <w:tcPr>
            <w:tcW w:w="1540" w:type="dxa"/>
            <w:vAlign w:val="bottom"/>
          </w:tcPr>
          <w:p>
            <w:pPr>
              <w:spacing w:after="0"/>
              <w:rPr>
                <w:sz w:val="18"/>
                <w:szCs w:val="18"/>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0.9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5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6"/>
              </w:rPr>
              <w:t>(2.6)</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54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9"/>
                <w:szCs w:val="19"/>
                <w:color w:val="auto"/>
              </w:rPr>
            </w:pP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0.6</w:t>
            </w:r>
          </w:p>
        </w:tc>
      </w:tr>
      <w:tr>
        <w:trPr>
          <w:trHeight w:val="110"/>
        </w:trPr>
        <w:tc>
          <w:tcPr>
            <w:tcW w:w="55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316"/>
        </w:trPr>
        <w:tc>
          <w:tcPr>
            <w:tcW w:w="5500" w:type="dxa"/>
            <w:vAlign w:val="bottom"/>
          </w:tcPr>
          <w:p>
            <w:pPr>
              <w:spacing w:after="0"/>
              <w:rPr>
                <w:sz w:val="20"/>
                <w:szCs w:val="20"/>
                <w:color w:val="auto"/>
              </w:rPr>
            </w:pPr>
            <w:r>
              <w:rPr>
                <w:rFonts w:ascii="Arial" w:cs="Arial" w:eastAsia="Arial" w:hAnsi="Arial"/>
                <w:sz w:val="18"/>
                <w:szCs w:val="18"/>
                <w:b w:val="1"/>
                <w:bCs w:val="1"/>
                <w:color w:val="auto"/>
              </w:rPr>
              <w:t>Earnings (loss) from discontinued operations, net of tax</w:t>
            </w:r>
          </w:p>
        </w:tc>
        <w:tc>
          <w:tcPr>
            <w:tcW w:w="15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(0.1)</w:t>
            </w:r>
          </w:p>
        </w:tc>
        <w:tc>
          <w:tcPr>
            <w:tcW w:w="78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6"/>
              </w:rPr>
              <w:t>(2.0)</w:t>
            </w:r>
          </w:p>
        </w:tc>
      </w:tr>
      <w:tr>
        <w:trPr>
          <w:trHeight w:val="110"/>
        </w:trPr>
        <w:tc>
          <w:tcPr>
            <w:tcW w:w="55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34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August 31, 2012</w:t>
            </w:r>
          </w:p>
        </w:tc>
        <w:tc>
          <w:tcPr>
            <w:tcW w:w="166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May 31, 2012</w:t>
            </w:r>
          </w:p>
        </w:tc>
        <w:tc>
          <w:tcPr>
            <w:tcW w:w="17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August 31, 2011</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2"/>
              <w:spacing w:after="0"/>
              <w:rPr>
                <w:sz w:val="20"/>
                <w:szCs w:val="20"/>
                <w:color w:val="auto"/>
              </w:rPr>
            </w:pPr>
            <w:r>
              <w:rPr>
                <w:rFonts w:ascii="Arial" w:cs="Arial" w:eastAsia="Arial" w:hAnsi="Arial"/>
                <w:sz w:val="18"/>
                <w:szCs w:val="18"/>
                <w:color w:val="auto"/>
              </w:rPr>
              <w:t>0.0</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Inventories, net</w:t>
            </w:r>
          </w:p>
        </w:tc>
        <w:tc>
          <w:tcPr>
            <w:tcW w:w="2460" w:type="dxa"/>
            <w:vAlign w:val="bottom"/>
          </w:tcPr>
          <w:p>
            <w:pPr>
              <w:spacing w:after="0"/>
              <w:rPr>
                <w:sz w:val="18"/>
                <w:szCs w:val="18"/>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color w:val="auto"/>
              </w:rPr>
              <w:t>0.0</w:t>
            </w:r>
          </w:p>
        </w:tc>
        <w:tc>
          <w:tcPr>
            <w:tcW w:w="9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246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19"/>
                <w:szCs w:val="19"/>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color w:val="auto"/>
              </w:rPr>
              <w:t>7.0</w:t>
            </w:r>
          </w:p>
        </w:tc>
        <w:tc>
          <w:tcPr>
            <w:tcW w:w="94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Current assets of discontinued operations</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7.0</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rPr>
              <w:t>7.0</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rPr>
              <w:t>Accounts payable</w:t>
            </w:r>
          </w:p>
        </w:tc>
        <w:tc>
          <w:tcPr>
            <w:tcW w:w="24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0.0</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72"/>
              <w:spacing w:after="0"/>
              <w:rPr>
                <w:sz w:val="20"/>
                <w:szCs w:val="20"/>
                <w:color w:val="auto"/>
              </w:rPr>
            </w:pPr>
            <w:r>
              <w:rPr>
                <w:rFonts w:ascii="Arial" w:cs="Arial" w:eastAsia="Arial" w:hAnsi="Arial"/>
                <w:sz w:val="18"/>
                <w:szCs w:val="18"/>
                <w:color w:val="auto"/>
              </w:rPr>
              <w:t>0.0</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4"/>
                <w:szCs w:val="24"/>
                <w:color w:val="auto"/>
              </w:rPr>
            </w:pP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6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Arial" w:cs="Arial" w:eastAsia="Arial" w:hAnsi="Arial"/>
                <w:sz w:val="18"/>
                <w:szCs w:val="18"/>
                <w:color w:val="auto"/>
              </w:rPr>
              <w:t>2.0</w:t>
            </w:r>
          </w:p>
        </w:tc>
        <w:tc>
          <w:tcPr>
            <w:tcW w:w="780" w:type="dxa"/>
            <w:vAlign w:val="bottom"/>
          </w:tcPr>
          <w:p>
            <w:pPr>
              <w:spacing w:after="0"/>
              <w:rPr>
                <w:sz w:val="19"/>
                <w:szCs w:val="19"/>
                <w:color w:val="auto"/>
              </w:rPr>
            </w:pPr>
          </w:p>
        </w:tc>
        <w:tc>
          <w:tcPr>
            <w:tcW w:w="8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940" w:type="dxa"/>
            <w:vAlign w:val="bottom"/>
          </w:tcPr>
          <w:p>
            <w:pPr>
              <w:spacing w:after="0"/>
              <w:rPr>
                <w:sz w:val="19"/>
                <w:szCs w:val="19"/>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246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12"/>
              <w:spacing w:after="0"/>
              <w:rPr>
                <w:sz w:val="20"/>
                <w:szCs w:val="20"/>
                <w:color w:val="auto"/>
              </w:rPr>
            </w:pPr>
            <w:r>
              <w:rPr>
                <w:rFonts w:ascii="Arial" w:cs="Arial" w:eastAsia="Arial" w:hAnsi="Arial"/>
                <w:sz w:val="18"/>
                <w:szCs w:val="18"/>
                <w:b w:val="1"/>
                <w:bCs w:val="1"/>
                <w:color w:val="auto"/>
              </w:rPr>
              <w:t>2.0</w:t>
            </w: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72"/>
              <w:spacing w:after="0"/>
              <w:rPr>
                <w:sz w:val="20"/>
                <w:szCs w:val="20"/>
                <w:color w:val="auto"/>
              </w:rPr>
            </w:pPr>
            <w:r>
              <w:rPr>
                <w:rFonts w:ascii="Arial" w:cs="Arial" w:eastAsia="Arial" w:hAnsi="Arial"/>
                <w:sz w:val="18"/>
                <w:szCs w:val="18"/>
                <w:b w:val="1"/>
                <w:bCs w:val="1"/>
                <w:color w:val="auto"/>
              </w:rPr>
              <w:t>2.1</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24"/>
                <w:szCs w:val="24"/>
                <w:color w:val="auto"/>
              </w:rPr>
            </w:pPr>
          </w:p>
        </w:tc>
      </w:tr>
      <w:tr>
        <w:trPr>
          <w:trHeight w:val="110"/>
        </w:trPr>
        <w:tc>
          <w:tcPr>
            <w:tcW w:w="458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580" w:type="dxa"/>
            <w:vAlign w:val="bottom"/>
          </w:tcPr>
          <w:p>
            <w:pPr>
              <w:spacing w:after="0"/>
              <w:rPr>
                <w:sz w:val="24"/>
                <w:szCs w:val="24"/>
                <w:color w:val="auto"/>
              </w:rPr>
            </w:pPr>
          </w:p>
        </w:tc>
        <w:tc>
          <w:tcPr>
            <w:tcW w:w="2460" w:type="dxa"/>
            <w:vAlign w:val="bottom"/>
          </w:tcPr>
          <w:p>
            <w:pPr>
              <w:jc w:val="right"/>
              <w:ind w:right="1152"/>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58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The Company categorizes its businesses into five reportable segments: </w:t>
      </w:r>
      <w:r>
        <w:rPr>
          <w:rFonts w:ascii="Arial" w:cs="Arial" w:eastAsia="Arial" w:hAnsi="Arial"/>
          <w:sz w:val="16"/>
          <w:szCs w:val="16"/>
          <w:i w:val="1"/>
          <w:iCs w:val="1"/>
          <w:color w:val="auto"/>
        </w:rPr>
        <w:t>Children’s Book Publishing and Distribution; Educational Technology and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Classroom and Supplemental Materials Publishing;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74" w:lineRule="exact"/>
        <w:rPr>
          <w:sz w:val="20"/>
          <w:szCs w:val="20"/>
          <w:color w:val="auto"/>
        </w:rPr>
      </w:pPr>
    </w:p>
    <w:p>
      <w:pPr>
        <w:ind w:left="460" w:right="8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products in the United States through school-based book clubs and book fairs, ecommerce and the trade channel. This segment is comprised of three operating segments.</w:t>
      </w:r>
    </w:p>
    <w:p>
      <w:pPr>
        <w:spacing w:after="0" w:line="126" w:lineRule="exact"/>
        <w:rPr>
          <w:rFonts w:ascii="Arial" w:cs="Arial" w:eastAsia="Arial" w:hAnsi="Arial"/>
          <w:sz w:val="18"/>
          <w:szCs w:val="18"/>
          <w:i w:val="1"/>
          <w:iCs w:val="1"/>
          <w:color w:val="auto"/>
        </w:rPr>
      </w:pPr>
    </w:p>
    <w:p>
      <w:pPr>
        <w:ind w:left="460" w:right="4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Educational Technology and Services </w:t>
      </w:r>
      <w:r>
        <w:rPr>
          <w:rFonts w:ascii="Arial" w:cs="Arial" w:eastAsia="Arial" w:hAnsi="Arial"/>
          <w:sz w:val="18"/>
          <w:szCs w:val="18"/>
          <w:color w:val="auto"/>
        </w:rPr>
        <w:t>includes the production and distribution to schools of curriculum-based learning technology and materials for grades</w:t>
      </w:r>
      <w:r>
        <w:rPr>
          <w:rFonts w:ascii="Arial" w:cs="Arial" w:eastAsia="Arial" w:hAnsi="Arial"/>
          <w:sz w:val="18"/>
          <w:szCs w:val="18"/>
          <w:i w:val="1"/>
          <w:iCs w:val="1"/>
          <w:color w:val="auto"/>
        </w:rPr>
        <w:t xml:space="preserve"> </w:t>
      </w:r>
      <w:r>
        <w:rPr>
          <w:rFonts w:ascii="Arial" w:cs="Arial" w:eastAsia="Arial" w:hAnsi="Arial"/>
          <w:sz w:val="18"/>
          <w:szCs w:val="18"/>
          <w:color w:val="auto"/>
        </w:rPr>
        <w:t>pre-kindergarten to 12 in the United States, together with related implementation and assessment services and school consulting services. This segment is comprised of one operating segment.</w:t>
      </w:r>
    </w:p>
    <w:p>
      <w:pPr>
        <w:spacing w:after="0" w:line="126" w:lineRule="exact"/>
        <w:rPr>
          <w:rFonts w:ascii="Arial" w:cs="Arial" w:eastAsia="Arial" w:hAnsi="Arial"/>
          <w:sz w:val="18"/>
          <w:szCs w:val="18"/>
          <w:i w:val="1"/>
          <w:iCs w:val="1"/>
          <w:color w:val="auto"/>
        </w:rPr>
      </w:pPr>
    </w:p>
    <w:p>
      <w:pPr>
        <w:ind w:left="460" w:right="400" w:hanging="452"/>
        <w:spacing w:after="0" w:line="259"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Classroom and Supplemental Materials Publishing </w:t>
      </w:r>
      <w:r>
        <w:rPr>
          <w:rFonts w:ascii="Arial" w:cs="Arial" w:eastAsia="Arial" w:hAnsi="Arial"/>
          <w:sz w:val="18"/>
          <w:szCs w:val="18"/>
          <w:color w:val="auto"/>
        </w:rPr>
        <w:t>includes the publication and distribution to schools and libraries of children’s books, classroom</w:t>
      </w:r>
      <w:r>
        <w:rPr>
          <w:rFonts w:ascii="Arial" w:cs="Arial" w:eastAsia="Arial" w:hAnsi="Arial"/>
          <w:sz w:val="18"/>
          <w:szCs w:val="18"/>
          <w:i w:val="1"/>
          <w:iCs w:val="1"/>
          <w:color w:val="auto"/>
        </w:rPr>
        <w:t xml:space="preserve"> </w:t>
      </w:r>
      <w:r>
        <w:rPr>
          <w:rFonts w:ascii="Arial" w:cs="Arial" w:eastAsia="Arial" w:hAnsi="Arial"/>
          <w:sz w:val="18"/>
          <w:szCs w:val="18"/>
          <w:color w:val="auto"/>
        </w:rPr>
        <w:t>magazines, supplemental classroom materials and print and on-line reference and non-fiction products for grades pre-kindergarten to 12 in the United States. This segment is comprised of two operating segments.</w:t>
      </w:r>
    </w:p>
    <w:p>
      <w:pPr>
        <w:spacing w:after="0" w:line="126" w:lineRule="exact"/>
        <w:rPr>
          <w:rFonts w:ascii="Arial" w:cs="Arial" w:eastAsia="Arial" w:hAnsi="Arial"/>
          <w:sz w:val="18"/>
          <w:szCs w:val="18"/>
          <w:i w:val="1"/>
          <w:iCs w:val="1"/>
          <w:color w:val="auto"/>
        </w:rPr>
      </w:pPr>
    </w:p>
    <w:p>
      <w:pPr>
        <w:ind w:left="460" w:right="22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digital media, consumer promotions and merchandising and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including sponsorship programs. This segment is comprised of two operating segments.</w:t>
      </w:r>
    </w:p>
    <w:p>
      <w:pPr>
        <w:spacing w:after="0" w:line="118"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 This segment is comprised of two operating segments.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192"/>
              <w:spacing w:after="0"/>
              <w:rPr>
                <w:sz w:val="20"/>
                <w:szCs w:val="20"/>
                <w:color w:val="auto"/>
              </w:rPr>
            </w:pPr>
            <w:r>
              <w:rPr>
                <w:rFonts w:ascii="Arial" w:cs="Arial" w:eastAsia="Arial" w:hAnsi="Arial"/>
                <w:sz w:val="14"/>
                <w:szCs w:val="14"/>
                <w:b w:val="1"/>
                <w:bCs w:val="1"/>
                <w:color w:val="auto"/>
                <w:w w:val="90"/>
              </w:rPr>
              <w:t>Children’s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Book</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5"/>
              </w:rPr>
              <w:t>Class room and</w:t>
            </w:r>
          </w:p>
        </w:tc>
        <w:tc>
          <w:tcPr>
            <w:tcW w:w="22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Media,</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Publishing</w:t>
            </w:r>
          </w:p>
        </w:tc>
        <w:tc>
          <w:tcPr>
            <w:tcW w:w="180" w:type="dxa"/>
            <w:vAlign w:val="bottom"/>
          </w:tcPr>
          <w:p>
            <w:pPr>
              <w:spacing w:after="0"/>
              <w:rPr>
                <w:sz w:val="12"/>
                <w:szCs w:val="12"/>
                <w:color w:val="auto"/>
              </w:rPr>
            </w:pP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5"/>
              </w:rPr>
              <w:t>Educational</w:t>
            </w:r>
          </w:p>
        </w:tc>
        <w:tc>
          <w:tcPr>
            <w:tcW w:w="114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Supplemental</w:t>
            </w:r>
          </w:p>
        </w:tc>
        <w:tc>
          <w:tcPr>
            <w:tcW w:w="22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Licensing</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192"/>
              <w:spacing w:after="0"/>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4"/>
                <w:szCs w:val="14"/>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w w:val="83"/>
              </w:rPr>
              <w:t>Technology</w:t>
            </w:r>
          </w:p>
        </w:tc>
        <w:tc>
          <w:tcPr>
            <w:tcW w:w="240" w:type="dxa"/>
            <w:vAlign w:val="bottom"/>
          </w:tcPr>
          <w:p>
            <w:pPr>
              <w:spacing w:after="0"/>
              <w:rPr>
                <w:sz w:val="14"/>
                <w:szCs w:val="14"/>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Materials</w:t>
            </w:r>
          </w:p>
        </w:tc>
        <w:tc>
          <w:tcPr>
            <w:tcW w:w="220" w:type="dxa"/>
            <w:vAlign w:val="bottom"/>
          </w:tcPr>
          <w:p>
            <w:pPr>
              <w:spacing w:after="0"/>
              <w:rPr>
                <w:sz w:val="14"/>
                <w:szCs w:val="14"/>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88"/>
              </w:rPr>
              <w:t>and</w:t>
            </w:r>
          </w:p>
        </w:tc>
        <w:tc>
          <w:tcPr>
            <w:tcW w:w="112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90"/>
              </w:rPr>
              <w:t xml:space="preserve">Overhead </w:t>
            </w:r>
            <w:r>
              <w:rPr>
                <w:rFonts w:ascii="Arial" w:cs="Arial" w:eastAsia="Arial" w:hAnsi="Arial"/>
                <w:sz w:val="22"/>
                <w:szCs w:val="22"/>
                <w:b w:val="1"/>
                <w:bCs w:val="1"/>
                <w:color w:val="auto"/>
                <w:w w:val="90"/>
                <w:vertAlign w:val="superscript"/>
              </w:rPr>
              <w:t>(1)(4)</w:t>
            </w:r>
          </w:p>
        </w:tc>
        <w:tc>
          <w:tcPr>
            <w:tcW w:w="180" w:type="dxa"/>
            <w:vAlign w:val="bottom"/>
          </w:tcPr>
          <w:p>
            <w:pPr>
              <w:spacing w:after="0"/>
              <w:rPr>
                <w:sz w:val="14"/>
                <w:szCs w:val="14"/>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3"/>
              </w:rPr>
              <w:t xml:space="preserve">International </w:t>
            </w:r>
            <w:r>
              <w:rPr>
                <w:rFonts w:ascii="Arial" w:cs="Arial" w:eastAsia="Arial" w:hAnsi="Arial"/>
                <w:sz w:val="22"/>
                <w:szCs w:val="22"/>
                <w:b w:val="1"/>
                <w:bCs w:val="1"/>
                <w:color w:val="auto"/>
                <w:w w:val="93"/>
                <w:vertAlign w:val="superscript"/>
              </w:rPr>
              <w:t>(1)(5)</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gridSpan w:val="2"/>
          </w:tcPr>
          <w:p>
            <w:pPr>
              <w:jc w:val="center"/>
              <w:ind w:left="72"/>
              <w:spacing w:after="0"/>
              <w:rPr>
                <w:sz w:val="20"/>
                <w:szCs w:val="20"/>
                <w:color w:val="auto"/>
              </w:rPr>
            </w:pPr>
            <w:r>
              <w:rPr>
                <w:rFonts w:ascii="Arial" w:cs="Arial" w:eastAsia="Arial" w:hAnsi="Arial"/>
                <w:sz w:val="14"/>
                <w:szCs w:val="14"/>
                <w:b w:val="1"/>
                <w:bCs w:val="1"/>
                <w:color w:val="auto"/>
                <w:w w:val="84"/>
              </w:rPr>
              <w:t xml:space="preserve">Distribution </w:t>
            </w:r>
            <w:r>
              <w:rPr>
                <w:rFonts w:ascii="Arial" w:cs="Arial" w:eastAsia="Arial" w:hAnsi="Arial"/>
                <w:sz w:val="22"/>
                <w:szCs w:val="22"/>
                <w:b w:val="1"/>
                <w:bCs w:val="1"/>
                <w:color w:val="auto"/>
                <w:w w:val="84"/>
                <w:vertAlign w:val="superscript"/>
              </w:rPr>
              <w:t>(1)(2)</w:t>
            </w:r>
          </w:p>
        </w:tc>
        <w:tc>
          <w:tcPr>
            <w:tcW w:w="1100" w:type="dxa"/>
            <w:vAlign w:val="bottom"/>
            <w:tcBorders>
              <w:bottom w:val="single" w:sz="8" w:color="808080"/>
            </w:tcBorders>
            <w:gridSpan w:val="2"/>
          </w:tcPr>
          <w:p>
            <w:pPr>
              <w:ind w:left="100"/>
              <w:spacing w:after="0"/>
              <w:rPr>
                <w:sz w:val="20"/>
                <w:szCs w:val="20"/>
                <w:color w:val="auto"/>
              </w:rPr>
            </w:pPr>
            <w:r>
              <w:rPr>
                <w:rFonts w:ascii="Arial" w:cs="Arial" w:eastAsia="Arial" w:hAnsi="Arial"/>
                <w:sz w:val="14"/>
                <w:szCs w:val="14"/>
                <w:b w:val="1"/>
                <w:bCs w:val="1"/>
                <w:color w:val="auto"/>
                <w:w w:val="90"/>
              </w:rPr>
              <w:t xml:space="preserve">and Services </w:t>
            </w:r>
            <w:r>
              <w:rPr>
                <w:rFonts w:ascii="Arial" w:cs="Arial" w:eastAsia="Arial" w:hAnsi="Arial"/>
                <w:sz w:val="22"/>
                <w:szCs w:val="22"/>
                <w:b w:val="1"/>
                <w:bCs w:val="1"/>
                <w:color w:val="auto"/>
                <w:w w:val="90"/>
                <w:vertAlign w:val="superscript"/>
              </w:rPr>
              <w:t>(1)</w:t>
            </w:r>
          </w:p>
        </w:tc>
        <w:tc>
          <w:tcPr>
            <w:tcW w:w="1140" w:type="dxa"/>
            <w:vAlign w:val="bottom"/>
            <w:tcBorders>
              <w:bottom w:val="single" w:sz="8" w:color="808080"/>
            </w:tcBorders>
            <w:gridSpan w:val="2"/>
          </w:tcPr>
          <w:p>
            <w:pPr>
              <w:ind w:left="100"/>
              <w:spacing w:after="0"/>
              <w:rPr>
                <w:sz w:val="20"/>
                <w:szCs w:val="20"/>
                <w:color w:val="auto"/>
              </w:rPr>
            </w:pPr>
            <w:r>
              <w:rPr>
                <w:rFonts w:ascii="Arial" w:cs="Arial" w:eastAsia="Arial" w:hAnsi="Arial"/>
                <w:sz w:val="14"/>
                <w:szCs w:val="14"/>
                <w:b w:val="1"/>
                <w:bCs w:val="1"/>
                <w:color w:val="auto"/>
                <w:w w:val="91"/>
              </w:rPr>
              <w:t xml:space="preserve">Publishing </w:t>
            </w:r>
            <w:r>
              <w:rPr>
                <w:rFonts w:ascii="Arial" w:cs="Arial" w:eastAsia="Arial" w:hAnsi="Arial"/>
                <w:sz w:val="22"/>
                <w:szCs w:val="22"/>
                <w:b w:val="1"/>
                <w:bCs w:val="1"/>
                <w:color w:val="auto"/>
                <w:w w:val="91"/>
                <w:vertAlign w:val="superscript"/>
              </w:rPr>
              <w:t>(1)(3)</w:t>
            </w:r>
          </w:p>
        </w:tc>
        <w:tc>
          <w:tcPr>
            <w:tcW w:w="12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2"/>
              </w:rPr>
              <w:t xml:space="preserve">Advertising </w:t>
            </w:r>
            <w:r>
              <w:rPr>
                <w:rFonts w:ascii="Arial" w:cs="Arial" w:eastAsia="Arial" w:hAnsi="Arial"/>
                <w:sz w:val="22"/>
                <w:szCs w:val="22"/>
                <w:b w:val="1"/>
                <w:bCs w:val="1"/>
                <w:color w:val="auto"/>
                <w:w w:val="82"/>
                <w:vertAlign w:val="superscript"/>
              </w:rPr>
              <w:t>(1)(2)</w:t>
            </w:r>
          </w:p>
        </w:tc>
        <w:tc>
          <w:tcPr>
            <w:tcW w:w="1120" w:type="dxa"/>
            <w:vAlign w:val="bottom"/>
            <w:tcBorders>
              <w:bottom w:val="single" w:sz="8" w:color="808080"/>
            </w:tcBorders>
            <w:gridSpan w:val="2"/>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5"/>
              </w:rPr>
              <w:t>Domestic</w:t>
            </w:r>
          </w:p>
        </w:tc>
        <w:tc>
          <w:tcPr>
            <w:tcW w:w="1260" w:type="dxa"/>
            <w:vAlign w:val="bottom"/>
            <w:tcBorders>
              <w:bottom w:val="single" w:sz="8" w:color="808080"/>
            </w:tcBorders>
            <w:gridSpan w:val="2"/>
            <w:vMerge w:val="continue"/>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40" w:type="dxa"/>
            <w:vAlign w:val="bottom"/>
          </w:tcPr>
          <w:p>
            <w:pPr>
              <w:spacing w:after="0"/>
              <w:rPr>
                <w:sz w:val="20"/>
                <w:szCs w:val="20"/>
                <w:color w:val="auto"/>
              </w:rPr>
            </w:pPr>
            <w:r>
              <w:rPr>
                <w:rFonts w:ascii="Arial" w:cs="Arial" w:eastAsia="Arial" w:hAnsi="Arial"/>
                <w:sz w:val="14"/>
                <w:szCs w:val="14"/>
                <w:b w:val="1"/>
                <w:bCs w:val="1"/>
                <w:color w:val="auto"/>
              </w:rPr>
              <w:t>August 31, 2012</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71.1</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80.0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37.9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14.4</w:t>
            </w:r>
          </w:p>
        </w:tc>
        <w:tc>
          <w:tcPr>
            <w:tcW w:w="4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203.4</w:t>
            </w: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90.2</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293.6</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0.0</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4"/>
        </w:trPr>
        <w:tc>
          <w:tcPr>
            <w:tcW w:w="2240" w:type="dxa"/>
            <w:vAlign w:val="bottom"/>
          </w:tcPr>
          <w:p>
            <w:pPr>
              <w:ind w:left="160"/>
              <w:spacing w:after="0" w:line="144" w:lineRule="exact"/>
              <w:rPr>
                <w:sz w:val="20"/>
                <w:szCs w:val="20"/>
                <w:color w:val="auto"/>
              </w:rPr>
            </w:pPr>
            <w:r>
              <w:rPr>
                <w:rFonts w:ascii="Arial" w:cs="Arial" w:eastAsia="Arial" w:hAnsi="Arial"/>
                <w:sz w:val="14"/>
                <w:szCs w:val="14"/>
                <w:color w:val="auto"/>
              </w:rPr>
              <w:t>Depreciation and</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(6)</w:t>
            </w:r>
          </w:p>
        </w:tc>
        <w:tc>
          <w:tcPr>
            <w:tcW w:w="3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0.4</w:t>
            </w:r>
          </w:p>
        </w:tc>
        <w:tc>
          <w:tcPr>
            <w:tcW w:w="22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14.9</w:t>
            </w:r>
          </w:p>
        </w:tc>
        <w:tc>
          <w:tcPr>
            <w:tcW w:w="48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3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8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0.5</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11.2</w:t>
            </w:r>
          </w:p>
        </w:tc>
        <w:tc>
          <w:tcPr>
            <w:tcW w:w="48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38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(55.2)</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24.8</w:t>
            </w:r>
          </w:p>
        </w:tc>
        <w:tc>
          <w:tcPr>
            <w:tcW w:w="24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0.0</w:t>
            </w:r>
          </w:p>
        </w:tc>
        <w:tc>
          <w:tcPr>
            <w:tcW w:w="42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(17.3)</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(50.3)</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8/31/12</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526.4</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219.6</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171.4</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41.5</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441.4</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1,400.3</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315.5</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1,715.8</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Goodwill at 8/31/12</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65.4</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147.8</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w w:val="98"/>
              </w:rPr>
              <w:t>Expenditures for long-lived assets</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15.1</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34.6</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72"/>
        </w:trPr>
        <w:tc>
          <w:tcPr>
            <w:tcW w:w="2240" w:type="dxa"/>
            <w:vAlign w:val="bottom"/>
          </w:tcPr>
          <w:p>
            <w:pPr>
              <w:ind w:left="160"/>
              <w:spacing w:after="0"/>
              <w:rPr>
                <w:sz w:val="20"/>
                <w:szCs w:val="20"/>
                <w:color w:val="auto"/>
              </w:rPr>
            </w:pPr>
            <w:r>
              <w:rPr>
                <w:rFonts w:ascii="Arial" w:cs="Arial" w:eastAsia="Arial" w:hAnsi="Arial"/>
                <w:sz w:val="14"/>
                <w:szCs w:val="14"/>
                <w:color w:val="auto"/>
              </w:rPr>
              <w:t>Long-lived assets at 8/31/12</w:t>
            </w:r>
          </w:p>
        </w:tc>
        <w:tc>
          <w:tcPr>
            <w:tcW w:w="38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170.1</w:t>
            </w:r>
          </w:p>
        </w:tc>
        <w:tc>
          <w:tcPr>
            <w:tcW w:w="18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103.3</w:t>
            </w:r>
          </w:p>
        </w:tc>
        <w:tc>
          <w:tcPr>
            <w:tcW w:w="24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13.1</w:t>
            </w:r>
          </w:p>
        </w:tc>
        <w:tc>
          <w:tcPr>
            <w:tcW w:w="4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244.0</w:t>
            </w:r>
          </w:p>
        </w:tc>
        <w:tc>
          <w:tcPr>
            <w:tcW w:w="18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620.5</w:t>
            </w:r>
          </w:p>
        </w:tc>
        <w:tc>
          <w:tcPr>
            <w:tcW w:w="48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68.8</w:t>
            </w:r>
          </w:p>
        </w:tc>
        <w:tc>
          <w:tcPr>
            <w:tcW w:w="2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689.3</w:t>
            </w:r>
          </w:p>
        </w:tc>
        <w:tc>
          <w:tcPr>
            <w:tcW w:w="0" w:type="dxa"/>
            <w:vAlign w:val="bottom"/>
          </w:tcPr>
          <w:p>
            <w:pPr>
              <w:spacing w:after="0"/>
              <w:rPr>
                <w:sz w:val="1"/>
                <w:szCs w:val="1"/>
                <w:color w:val="auto"/>
              </w:rPr>
            </w:pPr>
          </w:p>
        </w:tc>
      </w:tr>
      <w:tr>
        <w:trPr>
          <w:trHeight w:val="244"/>
        </w:trPr>
        <w:tc>
          <w:tcPr>
            <w:tcW w:w="224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0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40" w:type="dxa"/>
            <w:vAlign w:val="bottom"/>
          </w:tcPr>
          <w:p>
            <w:pPr>
              <w:spacing w:after="0"/>
              <w:rPr>
                <w:sz w:val="20"/>
                <w:szCs w:val="20"/>
                <w:color w:val="auto"/>
              </w:rPr>
            </w:pPr>
            <w:r>
              <w:rPr>
                <w:rFonts w:ascii="Arial" w:cs="Arial" w:eastAsia="Arial" w:hAnsi="Arial"/>
                <w:sz w:val="14"/>
                <w:szCs w:val="14"/>
                <w:b w:val="1"/>
                <w:bCs w:val="1"/>
                <w:color w:val="auto"/>
              </w:rPr>
              <w:t>August 31, 2011</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160"/>
              <w:spacing w:after="0"/>
              <w:rPr>
                <w:sz w:val="20"/>
                <w:szCs w:val="20"/>
                <w:color w:val="auto"/>
              </w:rPr>
            </w:pPr>
            <w:r>
              <w:rPr>
                <w:rFonts w:ascii="Arial" w:cs="Arial" w:eastAsia="Arial" w:hAnsi="Arial"/>
                <w:sz w:val="14"/>
                <w:szCs w:val="14"/>
                <w:color w:val="auto"/>
              </w:rPr>
              <w:t>Revenues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77.5</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96.6</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45.7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10.5</w:t>
            </w:r>
          </w:p>
        </w:tc>
        <w:tc>
          <w:tcPr>
            <w:tcW w:w="4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230.3</w:t>
            </w:r>
          </w:p>
        </w:tc>
        <w:tc>
          <w:tcPr>
            <w:tcW w:w="480" w:type="dxa"/>
            <w:vAlign w:val="bottom"/>
          </w:tcPr>
          <w:p>
            <w:pPr>
              <w:ind w:left="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87.7</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4"/>
        </w:trPr>
        <w:tc>
          <w:tcPr>
            <w:tcW w:w="2240" w:type="dxa"/>
            <w:vAlign w:val="bottom"/>
          </w:tcPr>
          <w:p>
            <w:pPr>
              <w:ind w:left="160"/>
              <w:spacing w:after="0" w:line="144" w:lineRule="exact"/>
              <w:rPr>
                <w:sz w:val="20"/>
                <w:szCs w:val="20"/>
                <w:color w:val="auto"/>
              </w:rPr>
            </w:pPr>
            <w:r>
              <w:rPr>
                <w:rFonts w:ascii="Arial" w:cs="Arial" w:eastAsia="Arial" w:hAnsi="Arial"/>
                <w:sz w:val="14"/>
                <w:szCs w:val="14"/>
                <w:color w:val="auto"/>
              </w:rPr>
              <w:t>Bad debt expense</w:t>
            </w:r>
          </w:p>
        </w:tc>
        <w:tc>
          <w:tcPr>
            <w:tcW w:w="380" w:type="dxa"/>
            <w:vAlign w:val="bottom"/>
          </w:tcPr>
          <w:p>
            <w:pPr>
              <w:spacing w:after="0"/>
              <w:rPr>
                <w:sz w:val="12"/>
                <w:szCs w:val="12"/>
                <w:color w:val="auto"/>
              </w:rPr>
            </w:pPr>
          </w:p>
        </w:tc>
        <w:tc>
          <w:tcPr>
            <w:tcW w:w="10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20" w:type="dxa"/>
            <w:vAlign w:val="bottom"/>
          </w:tcPr>
          <w:p>
            <w:pPr>
              <w:jc w:val="right"/>
              <w:ind w:right="32"/>
              <w:spacing w:after="0" w:line="144"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90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98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700" w:type="dxa"/>
            <w:vAlign w:val="bottom"/>
          </w:tcPr>
          <w:p>
            <w:pPr>
              <w:jc w:val="right"/>
              <w:ind w:right="72"/>
              <w:spacing w:after="0" w:line="144"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72"/>
              <w:spacing w:after="0" w:line="144" w:lineRule="exact"/>
              <w:rPr>
                <w:sz w:val="20"/>
                <w:szCs w:val="20"/>
                <w:color w:val="auto"/>
              </w:rPr>
            </w:pPr>
            <w:r>
              <w:rPr>
                <w:rFonts w:ascii="Arial" w:cs="Arial" w:eastAsia="Arial" w:hAnsi="Arial"/>
                <w:sz w:val="14"/>
                <w:szCs w:val="14"/>
                <w:color w:val="auto"/>
              </w:rPr>
              <w:t>0.7</w:t>
            </w:r>
          </w:p>
        </w:tc>
        <w:tc>
          <w:tcPr>
            <w:tcW w:w="480" w:type="dxa"/>
            <w:vAlign w:val="bottom"/>
          </w:tcPr>
          <w:p>
            <w:pPr>
              <w:spacing w:after="0"/>
              <w:rPr>
                <w:sz w:val="12"/>
                <w:szCs w:val="12"/>
                <w:color w:val="auto"/>
              </w:rPr>
            </w:pPr>
          </w:p>
        </w:tc>
        <w:tc>
          <w:tcPr>
            <w:tcW w:w="7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2"/>
                <w:szCs w:val="12"/>
                <w:color w:val="auto"/>
              </w:rPr>
            </w:pPr>
          </w:p>
        </w:tc>
        <w:tc>
          <w:tcPr>
            <w:tcW w:w="76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24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(6)</w:t>
            </w:r>
          </w:p>
        </w:tc>
        <w:tc>
          <w:tcPr>
            <w:tcW w:w="3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0.1</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9.2</w:t>
            </w:r>
          </w:p>
        </w:tc>
        <w:tc>
          <w:tcPr>
            <w:tcW w:w="1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13.6</w:t>
            </w:r>
          </w:p>
        </w:tc>
        <w:tc>
          <w:tcPr>
            <w:tcW w:w="48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0"/>
        </w:trPr>
        <w:tc>
          <w:tcPr>
            <w:tcW w:w="224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(7)</w:t>
            </w:r>
          </w:p>
        </w:tc>
        <w:tc>
          <w:tcPr>
            <w:tcW w:w="380" w:type="dxa"/>
            <w:vAlign w:val="bottom"/>
          </w:tcPr>
          <w:p>
            <w:pPr>
              <w:spacing w:after="0"/>
              <w:rPr>
                <w:sz w:val="15"/>
                <w:szCs w:val="15"/>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5"/>
                <w:szCs w:val="15"/>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1.5</w:t>
            </w:r>
          </w:p>
        </w:tc>
        <w:tc>
          <w:tcPr>
            <w:tcW w:w="42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11.2</w:t>
            </w:r>
          </w:p>
        </w:tc>
        <w:tc>
          <w:tcPr>
            <w:tcW w:w="48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Segment operating income (loss)</w:t>
            </w:r>
          </w:p>
        </w:tc>
        <w:tc>
          <w:tcPr>
            <w:tcW w:w="380" w:type="dxa"/>
            <w:vAlign w:val="bottom"/>
          </w:tcPr>
          <w:p>
            <w:pPr>
              <w:spacing w:after="0"/>
              <w:rPr>
                <w:sz w:val="12"/>
                <w:szCs w:val="12"/>
                <w:color w:val="auto"/>
              </w:rPr>
            </w:pP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(50.2)</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38.8</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9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w:t>
            </w:r>
          </w:p>
        </w:tc>
        <w:tc>
          <w:tcPr>
            <w:tcW w:w="42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(19.2)</w:t>
            </w:r>
          </w:p>
        </w:tc>
        <w:tc>
          <w:tcPr>
            <w:tcW w:w="18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(33.1)</w:t>
            </w:r>
          </w:p>
        </w:tc>
        <w:tc>
          <w:tcPr>
            <w:tcW w:w="4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(0.1)</w:t>
            </w:r>
          </w:p>
        </w:tc>
        <w:tc>
          <w:tcPr>
            <w:tcW w:w="24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Segment assets at 8/31/11</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506.5</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185.8</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149.8</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40.6</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396.6</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1,279.3</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270.2</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1,549.5</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rPr>
              <w:t>Goodwill at 8/31/11</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54.3</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21.9</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64.0</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145.6</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8.6</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49"/>
        </w:trPr>
        <w:tc>
          <w:tcPr>
            <w:tcW w:w="2240" w:type="dxa"/>
            <w:vAlign w:val="bottom"/>
          </w:tcPr>
          <w:p>
            <w:pPr>
              <w:ind w:left="160"/>
              <w:spacing w:after="0" w:line="149" w:lineRule="exact"/>
              <w:rPr>
                <w:sz w:val="20"/>
                <w:szCs w:val="20"/>
                <w:color w:val="auto"/>
              </w:rPr>
            </w:pPr>
            <w:r>
              <w:rPr>
                <w:rFonts w:ascii="Arial" w:cs="Arial" w:eastAsia="Arial" w:hAnsi="Arial"/>
                <w:sz w:val="14"/>
                <w:szCs w:val="14"/>
                <w:color w:val="auto"/>
                <w:w w:val="98"/>
              </w:rPr>
              <w:t>Expenditures for long-lived assets</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320"/>
              <w:spacing w:after="0" w:line="149" w:lineRule="exact"/>
              <w:rPr>
                <w:sz w:val="20"/>
                <w:szCs w:val="20"/>
                <w:color w:val="auto"/>
              </w:rPr>
            </w:pPr>
            <w:r>
              <w:rPr>
                <w:rFonts w:ascii="Arial" w:cs="Arial" w:eastAsia="Arial" w:hAnsi="Arial"/>
                <w:sz w:val="14"/>
                <w:szCs w:val="14"/>
                <w:color w:val="auto"/>
              </w:rPr>
              <w:t>including royalty advances</w:t>
            </w:r>
          </w:p>
        </w:tc>
        <w:tc>
          <w:tcPr>
            <w:tcW w:w="38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8.2</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w:t>
            </w:r>
          </w:p>
        </w:tc>
        <w:tc>
          <w:tcPr>
            <w:tcW w:w="240" w:type="dxa"/>
            <w:vAlign w:val="bottom"/>
          </w:tcPr>
          <w:p>
            <w:pPr>
              <w:spacing w:after="0"/>
              <w:rPr>
                <w:sz w:val="12"/>
                <w:szCs w:val="12"/>
                <w:color w:val="auto"/>
              </w:rPr>
            </w:pP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9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42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w:t>
            </w:r>
          </w:p>
        </w:tc>
        <w:tc>
          <w:tcPr>
            <w:tcW w:w="48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240" w:type="dxa"/>
            <w:vAlign w:val="bottom"/>
          </w:tcPr>
          <w:p>
            <w:pPr>
              <w:spacing w:after="0"/>
              <w:rPr>
                <w:sz w:val="12"/>
                <w:szCs w:val="12"/>
                <w:color w:val="auto"/>
              </w:rPr>
            </w:pPr>
          </w:p>
        </w:tc>
        <w:tc>
          <w:tcPr>
            <w:tcW w:w="7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72"/>
        </w:trPr>
        <w:tc>
          <w:tcPr>
            <w:tcW w:w="2240" w:type="dxa"/>
            <w:vAlign w:val="bottom"/>
          </w:tcPr>
          <w:p>
            <w:pPr>
              <w:ind w:left="160"/>
              <w:spacing w:after="0"/>
              <w:rPr>
                <w:sz w:val="20"/>
                <w:szCs w:val="20"/>
                <w:color w:val="auto"/>
              </w:rPr>
            </w:pPr>
            <w:r>
              <w:rPr>
                <w:rFonts w:ascii="Arial" w:cs="Arial" w:eastAsia="Arial" w:hAnsi="Arial"/>
                <w:sz w:val="14"/>
                <w:szCs w:val="14"/>
                <w:color w:val="auto"/>
              </w:rPr>
              <w:t>Long-lived assets at 8/31/11</w:t>
            </w:r>
          </w:p>
        </w:tc>
        <w:tc>
          <w:tcPr>
            <w:tcW w:w="38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172.5</w:t>
            </w:r>
          </w:p>
        </w:tc>
        <w:tc>
          <w:tcPr>
            <w:tcW w:w="18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97.1</w:t>
            </w:r>
          </w:p>
        </w:tc>
        <w:tc>
          <w:tcPr>
            <w:tcW w:w="24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79.7</w:t>
            </w:r>
          </w:p>
        </w:tc>
        <w:tc>
          <w:tcPr>
            <w:tcW w:w="220" w:type="dxa"/>
            <w:vAlign w:val="bottom"/>
          </w:tcPr>
          <w:p>
            <w:pPr>
              <w:spacing w:after="0"/>
              <w:rPr>
                <w:sz w:val="14"/>
                <w:szCs w:val="14"/>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20.2</w:t>
            </w:r>
          </w:p>
        </w:tc>
        <w:tc>
          <w:tcPr>
            <w:tcW w:w="42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244.6</w:t>
            </w:r>
          </w:p>
        </w:tc>
        <w:tc>
          <w:tcPr>
            <w:tcW w:w="18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614.1</w:t>
            </w:r>
          </w:p>
        </w:tc>
        <w:tc>
          <w:tcPr>
            <w:tcW w:w="48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71.0</w:t>
            </w:r>
          </w:p>
        </w:tc>
        <w:tc>
          <w:tcPr>
            <w:tcW w:w="24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95"/>
        </w:trPr>
        <w:tc>
          <w:tcPr>
            <w:tcW w:w="2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1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discussed under “Discontinued Operations” in Note 1, “Basis of Presentation,” the Company closed or sold several operations during fiscal 2009, fiscal 2010 and the first quarter of fiscal 2012 and presently holds for sale one facility. All of these businesses are classified as discontinued operations in the Company’s financial statements and, as such, are not reflected in this table.</w:t>
      </w:r>
    </w:p>
    <w:p>
      <w:pPr>
        <w:spacing w:after="0" w:line="12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As discussed under “Segment” in Note 1, a business previously reported in the Media, Licensing and Advertising segment is now included in the Children’s Book Publishing and Distribution segment.</w:t>
      </w:r>
    </w:p>
    <w:p>
      <w:pPr>
        <w:spacing w:after="0" w:line="118"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February 8, 2012.</w:t>
      </w:r>
    </w:p>
    <w:p>
      <w:pPr>
        <w:spacing w:after="0" w:line="157"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Missouri and its facility located in Connecticut. Overhead also includes amounts previously allocated to the Media, Licensing and Advertising segment for the Company’s direct-to-home toy catalog business that was discontinued in the first quarter of fiscal 2012.</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assets and results of operations acquired in a business acquisition as of January 3, 2012.</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depreciation of property, plant and equipment and amortization of intangible assets.</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and production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Carrying</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Carrying</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Carrying</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b w:val="1"/>
                <w:bCs w:val="1"/>
                <w:color w:val="auto"/>
                <w:w w:val="95"/>
              </w:rPr>
              <w:t>Value</w:t>
            </w:r>
          </w:p>
        </w:tc>
        <w:tc>
          <w:tcPr>
            <w:tcW w:w="1280" w:type="dxa"/>
            <w:vAlign w:val="bottom"/>
            <w:gridSpan w:val="2"/>
          </w:tcPr>
          <w:p>
            <w:pPr>
              <w:ind w:left="280"/>
              <w:spacing w:after="0"/>
              <w:rPr>
                <w:sz w:val="20"/>
                <w:szCs w:val="20"/>
                <w:color w:val="auto"/>
              </w:rPr>
            </w:pPr>
            <w:r>
              <w:rPr>
                <w:rFonts w:ascii="Arial" w:cs="Arial" w:eastAsia="Arial" w:hAnsi="Arial"/>
                <w:sz w:val="18"/>
                <w:szCs w:val="18"/>
                <w:b w:val="1"/>
                <w:bCs w:val="1"/>
                <w:color w:val="auto"/>
              </w:rPr>
              <w:t>Fair Value</w:t>
            </w:r>
          </w:p>
        </w:tc>
        <w:tc>
          <w:tcPr>
            <w:tcW w:w="26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w w:val="95"/>
              </w:rPr>
              <w:t>Value</w:t>
            </w: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9"/>
                <w:szCs w:val="19"/>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Value</w:t>
            </w: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3"/>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August 31, 2012</w:t>
            </w:r>
          </w:p>
        </w:tc>
        <w:tc>
          <w:tcPr>
            <w:tcW w:w="260" w:type="dxa"/>
            <w:vAlign w:val="bottom"/>
          </w:tcPr>
          <w:p>
            <w:pPr>
              <w:spacing w:after="0"/>
              <w:rPr>
                <w:sz w:val="24"/>
                <w:szCs w:val="24"/>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w w:val="92"/>
              </w:rPr>
              <w:t>May 31, 2012</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b w:val="1"/>
                <w:bCs w:val="1"/>
                <w:color w:val="auto"/>
                <w:w w:val="84"/>
              </w:rPr>
              <w:t>August 31, 2011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Lines of Credit (weighted average interest rates of</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4.9%, 5.3% and 4.0%, respectively)</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Loan Agreement:</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140" w:type="dxa"/>
            <w:vAlign w:val="bottom"/>
          </w:tcPr>
          <w:p>
            <w:pPr>
              <w:ind w:left="160"/>
              <w:spacing w:after="0"/>
              <w:rPr>
                <w:sz w:val="20"/>
                <w:szCs w:val="20"/>
                <w:color w:val="auto"/>
              </w:rPr>
            </w:pPr>
            <w:r>
              <w:rPr>
                <w:rFonts w:ascii="Arial" w:cs="Arial" w:eastAsia="Arial" w:hAnsi="Arial"/>
                <w:sz w:val="18"/>
                <w:szCs w:val="18"/>
                <w:color w:val="auto"/>
              </w:rPr>
              <w:t>Term Loan (interest rates of n/a, n/a</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Pr>
          <w:p>
            <w:pPr>
              <w:ind w:left="320"/>
              <w:spacing w:after="0"/>
              <w:rPr>
                <w:sz w:val="20"/>
                <w:szCs w:val="20"/>
                <w:color w:val="auto"/>
              </w:rPr>
            </w:pPr>
            <w:r>
              <w:rPr>
                <w:rFonts w:ascii="Arial" w:cs="Arial" w:eastAsia="Arial" w:hAnsi="Arial"/>
                <w:sz w:val="18"/>
                <w:szCs w:val="18"/>
                <w:color w:val="auto"/>
              </w:rPr>
              <w:t>and 1.0%, respectively)</w:t>
            </w:r>
          </w:p>
        </w:tc>
        <w:tc>
          <w:tcPr>
            <w:tcW w:w="7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39.5</w:t>
            </w:r>
          </w:p>
        </w:tc>
        <w:tc>
          <w:tcPr>
            <w:tcW w:w="5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w:t>
            </w:r>
          </w:p>
        </w:tc>
        <w:tc>
          <w:tcPr>
            <w:tcW w:w="520" w:type="dxa"/>
            <w:vAlign w:val="bottom"/>
          </w:tcPr>
          <w:p>
            <w:pPr>
              <w:spacing w:after="0"/>
              <w:rPr>
                <w:sz w:val="19"/>
                <w:szCs w:val="19"/>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153.6</w:t>
            </w:r>
          </w:p>
        </w:tc>
        <w:tc>
          <w:tcPr>
            <w:tcW w:w="26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152.8</w:t>
            </w:r>
          </w:p>
        </w:tc>
        <w:tc>
          <w:tcPr>
            <w:tcW w:w="520" w:type="dxa"/>
            <w:vAlign w:val="bottom"/>
          </w:tcPr>
          <w:p>
            <w:pPr>
              <w:spacing w:after="0"/>
              <w:rPr>
                <w:sz w:val="19"/>
                <w:szCs w:val="19"/>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w w:val="93"/>
              </w:rPr>
              <w:t>155.4</w:t>
            </w:r>
          </w:p>
        </w:tc>
        <w:tc>
          <w:tcPr>
            <w:tcW w:w="2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152.6</w:t>
            </w:r>
          </w:p>
        </w:tc>
        <w:tc>
          <w:tcPr>
            <w:tcW w:w="56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w w:val="84"/>
              </w:rPr>
              <w:t>153.0</w:t>
            </w:r>
          </w:p>
        </w:tc>
        <w:tc>
          <w:tcPr>
            <w:tcW w:w="20" w:type="dxa"/>
            <w:vAlign w:val="bottom"/>
          </w:tcPr>
          <w:p>
            <w:pPr>
              <w:spacing w:after="0"/>
              <w:rPr>
                <w:sz w:val="19"/>
                <w:szCs w:val="19"/>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140" w:type="dxa"/>
            <w:vAlign w:val="bottom"/>
          </w:tcPr>
          <w:p>
            <w:pPr>
              <w:ind w:left="160"/>
              <w:spacing w:after="0"/>
              <w:rPr>
                <w:sz w:val="20"/>
                <w:szCs w:val="20"/>
                <w:color w:val="auto"/>
              </w:rPr>
            </w:pPr>
            <w:r>
              <w:rPr>
                <w:rFonts w:ascii="Arial" w:cs="Arial" w:eastAsia="Arial" w:hAnsi="Arial"/>
                <w:sz w:val="18"/>
                <w:szCs w:val="18"/>
                <w:b w:val="1"/>
                <w:bCs w:val="1"/>
                <w:color w:val="auto"/>
              </w:rPr>
              <w:t>Total debt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153.4</w:t>
            </w:r>
          </w:p>
        </w:tc>
        <w:tc>
          <w:tcPr>
            <w:tcW w:w="5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154.2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159.3</w:t>
            </w:r>
          </w:p>
        </w:tc>
        <w:tc>
          <w:tcPr>
            <w:tcW w:w="5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161.9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200.0</w:t>
            </w: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200.4</w:t>
            </w:r>
          </w:p>
        </w:tc>
        <w:tc>
          <w:tcPr>
            <w:tcW w:w="20" w:type="dxa"/>
            <w:vAlign w:val="bottom"/>
          </w:tcPr>
          <w:p>
            <w:pPr>
              <w:spacing w:after="0"/>
              <w:rPr>
                <w:sz w:val="24"/>
                <w:szCs w:val="24"/>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Less lines of credit, short-term debt and current</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140" w:type="dxa"/>
            <w:vAlign w:val="bottom"/>
          </w:tcPr>
          <w:p>
            <w:pPr>
              <w:ind w:left="160"/>
              <w:spacing w:after="0"/>
              <w:rPr>
                <w:sz w:val="20"/>
                <w:szCs w:val="20"/>
                <w:color w:val="auto"/>
              </w:rPr>
            </w:pPr>
            <w:r>
              <w:rPr>
                <w:rFonts w:ascii="Arial" w:cs="Arial" w:eastAsia="Arial" w:hAnsi="Arial"/>
                <w:sz w:val="18"/>
                <w:szCs w:val="18"/>
                <w:color w:val="auto"/>
              </w:rPr>
              <w:t>portion of long-term debt</w:t>
            </w: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52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(47.4)</w:t>
            </w: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(47.4)</w:t>
            </w:r>
          </w:p>
        </w:tc>
        <w:tc>
          <w:tcPr>
            <w:tcW w:w="20" w:type="dxa"/>
            <w:vAlign w:val="bottom"/>
          </w:tcPr>
          <w:p>
            <w:pPr>
              <w:spacing w:after="0"/>
              <w:rPr>
                <w:sz w:val="19"/>
                <w:szCs w:val="19"/>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414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152.8</w:t>
            </w:r>
          </w:p>
        </w:tc>
        <w:tc>
          <w:tcPr>
            <w:tcW w:w="5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12"/>
              <w:spacing w:after="0"/>
              <w:rPr>
                <w:sz w:val="20"/>
                <w:szCs w:val="20"/>
                <w:color w:val="auto"/>
              </w:rPr>
            </w:pPr>
            <w:r>
              <w:rPr>
                <w:rFonts w:ascii="Arial" w:cs="Arial" w:eastAsia="Arial" w:hAnsi="Arial"/>
                <w:sz w:val="18"/>
                <w:szCs w:val="18"/>
                <w:b w:val="1"/>
                <w:bCs w:val="1"/>
                <w:color w:val="auto"/>
              </w:rPr>
              <w:t>153.6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rPr>
              <w:t>152.8</w:t>
            </w:r>
          </w:p>
        </w:tc>
        <w:tc>
          <w:tcPr>
            <w:tcW w:w="5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155.4</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152.6</w:t>
            </w: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84"/>
              </w:rPr>
              <w:t>153.0</w:t>
            </w:r>
          </w:p>
        </w:tc>
        <w:tc>
          <w:tcPr>
            <w:tcW w:w="20" w:type="dxa"/>
            <w:vAlign w:val="bottom"/>
          </w:tcPr>
          <w:p>
            <w:pPr>
              <w:spacing w:after="0"/>
              <w:rPr>
                <w:sz w:val="24"/>
                <w:szCs w:val="24"/>
                <w:color w:val="auto"/>
              </w:rPr>
            </w:pPr>
          </w:p>
        </w:tc>
      </w:tr>
      <w:tr>
        <w:trPr>
          <w:trHeight w:val="110"/>
        </w:trPr>
        <w:tc>
          <w:tcPr>
            <w:tcW w:w="4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4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4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Short-term debt’s carrying value approximates fair value. Fair value of the Loan Agreement approximates its carrying value due to its variable interest rate and consistent credit rating.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August 31, 2012, for the twelve-month periods ending August 31,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2013</w:t>
            </w:r>
          </w:p>
        </w:tc>
        <w:tc>
          <w:tcPr>
            <w:tcW w:w="2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2014</w:t>
            </w:r>
          </w:p>
        </w:tc>
        <w:tc>
          <w:tcPr>
            <w:tcW w:w="240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152.8</w:t>
            </w:r>
          </w:p>
        </w:tc>
      </w:tr>
      <w:tr>
        <w:trPr>
          <w:trHeight w:val="110"/>
        </w:trPr>
        <w:tc>
          <w:tcPr>
            <w:tcW w:w="29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316"/>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24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b w:val="1"/>
                <w:bCs w:val="1"/>
                <w:color w:val="auto"/>
              </w:rPr>
              <w:t>153.4</w:t>
            </w:r>
          </w:p>
        </w:tc>
      </w:tr>
      <w:tr>
        <w:trPr>
          <w:trHeight w:val="110"/>
        </w:trPr>
        <w:tc>
          <w:tcPr>
            <w:tcW w:w="29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credit facility with certain banks (the “Loan Agreement”), consisting of a $325.0 revolving credit component (the “Revolving Loan”) and a $200.0 amortizing term loan component (the “Term Loan”). The Loan Agreement was amended on August 16, 2010, and again on October 25, 2011. The October 25, 2011 amendment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$325.0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00" w:hanging="96"/>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Or -</w:t>
      </w:r>
    </w:p>
    <w:p>
      <w:pPr>
        <w:spacing w:after="0" w:line="157"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of August 31, 2012, the indicated spread on Base Rate Advances was 0.18% and the indicated spread on Eurodollar Rate Advances was 1.18%, both based on the Company’s prevailing consolidated debt to total capital ratio. There were no Revolving Loan Advances outstanding on August 31, 2012.</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August 31, 2012, the facility fee rate was 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At August 31, 2012, the Company had open standby letters of credit totaling $6.6, including $1.4 under the Loan Agreement.</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Loan Agreement contains certain covenants, including interest coverage and leverage ratio tests and certain limitations on the amount of dividends and other distributions, and at August 31, 2012, the Company was in compliance with these covenants.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August 31, 2012, the Company’s domestic credit lines available under unsecured money market bid rate credit lines totaled $20.0. There were no outstanding borrowings under these credit lines at August 31, 2012, May 31, 2012 and August 31, 2011.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August 31, 2012, the Company had various local currency credit lines, with maximum available borrowings in amounts equivalent to $33.8, underwritten by banks primarily in the United States, Canada, Australia and the United Kingdom. These credit lines are typically available for overdraft borrowings or loans up to 364 days and may be renewed, if requested by the Company, at the sole option of the lender. Borrowings and weighted average interest rates for these lines of credit are presented in the table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noted above under “Loan Agreement,” the Company amended the terms of the Revolving Loan to extend the maturity date from June 1, 2012 to June 1, 2014. The Company has the ability to use a portion of this credit facility to fully redeem the 5% Notes due 2013 and intends to draw on this credit facility for this purpose. Accordingly, the balance of the 5% Notes is excluded from current liabilities and classified as long-term debt on the Company’s condensed consolidated balance sheet at August 31, 2012 and May 31,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Grolier Limited is an indirect subsidiary of Scholastic Corporation, located in the United Kingdom, which ceased operations in fiscal 2008 and the operations of which are included in discontinued operations. The Company is currently in the process of settling a Grolier Limited pension plan in effect at the time it ceased operations and is evaluating the potential pension liabilities under the plan relating to the status of the plan as a defined contribution or a defined benefit plan in the context of the conversion of the plan from a defined benefit to a defined contribution plan in 1986. The Company is not in a position to estimate a range of the reasonably possible liability at this time.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0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three-month periods ended August 31, 2012 and 2011,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8"/>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ind w:right="272"/>
              <w:spacing w:after="0"/>
              <w:rPr>
                <w:sz w:val="20"/>
                <w:szCs w:val="20"/>
                <w:color w:val="auto"/>
              </w:rPr>
            </w:pPr>
            <w:r>
              <w:rPr>
                <w:rFonts w:ascii="Arial" w:cs="Arial" w:eastAsia="Arial" w:hAnsi="Arial"/>
                <w:sz w:val="18"/>
                <w:szCs w:val="18"/>
                <w:b w:val="1"/>
                <w:bCs w:val="1"/>
                <w:color w:val="auto"/>
                <w:w w:val="87"/>
              </w:rPr>
              <w:t>August 31, 2012</w:t>
            </w:r>
          </w:p>
        </w:tc>
        <w:tc>
          <w:tcPr>
            <w:tcW w:w="260" w:type="dxa"/>
            <w:vAlign w:val="bottom"/>
          </w:tcPr>
          <w:p>
            <w:pPr>
              <w:spacing w:after="0"/>
              <w:rPr>
                <w:sz w:val="19"/>
                <w:szCs w:val="19"/>
                <w:color w:val="auto"/>
              </w:rPr>
            </w:pP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August 31, 2011</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500" w:type="dxa"/>
            <w:vAlign w:val="bottom"/>
          </w:tcPr>
          <w:p>
            <w:pPr>
              <w:spacing w:after="0"/>
              <w:rPr>
                <w:sz w:val="20"/>
                <w:szCs w:val="20"/>
                <w:color w:val="auto"/>
              </w:rPr>
            </w:pPr>
            <w:r>
              <w:rPr>
                <w:rFonts w:ascii="Arial" w:cs="Arial" w:eastAsia="Arial" w:hAnsi="Arial"/>
                <w:sz w:val="18"/>
                <w:szCs w:val="18"/>
                <w:color w:val="auto"/>
                <w:w w:val="99"/>
              </w:rPr>
              <w:t>Earnings (loss) from continuing operations attributable to Class A and</w:t>
            </w: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(31.9)</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22"/>
        </w:trPr>
        <w:tc>
          <w:tcPr>
            <w:tcW w:w="5500" w:type="dxa"/>
            <w:vAlign w:val="bottom"/>
          </w:tcPr>
          <w:p>
            <w:pPr>
              <w:ind w:left="160"/>
              <w:spacing w:after="0"/>
              <w:rPr>
                <w:sz w:val="20"/>
                <w:szCs w:val="20"/>
                <w:color w:val="auto"/>
              </w:rPr>
            </w:pPr>
            <w:r>
              <w:rPr>
                <w:rFonts w:ascii="Arial" w:cs="Arial" w:eastAsia="Arial" w:hAnsi="Arial"/>
                <w:sz w:val="18"/>
                <w:szCs w:val="18"/>
                <w:color w:val="auto"/>
              </w:rPr>
              <w:t>Common Shares</w:t>
            </w:r>
          </w:p>
        </w:tc>
        <w:tc>
          <w:tcPr>
            <w:tcW w:w="32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500" w:type="dxa"/>
            <w:vAlign w:val="bottom"/>
          </w:tcPr>
          <w:p>
            <w:pPr>
              <w:spacing w:after="0"/>
              <w:rPr>
                <w:sz w:val="20"/>
                <w:szCs w:val="20"/>
                <w:color w:val="auto"/>
              </w:rPr>
            </w:pPr>
            <w:r>
              <w:rPr>
                <w:rFonts w:ascii="Arial" w:cs="Arial" w:eastAsia="Arial" w:hAnsi="Arial"/>
                <w:sz w:val="18"/>
                <w:szCs w:val="18"/>
                <w:color w:val="auto"/>
                <w:w w:val="95"/>
              </w:rPr>
              <w:t>Earnings (loss) from discontinued operations attributable to Class A and</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60"/>
              <w:spacing w:after="0"/>
              <w:rPr>
                <w:sz w:val="20"/>
                <w:szCs w:val="20"/>
                <w:color w:val="auto"/>
              </w:rPr>
            </w:pPr>
            <w:r>
              <w:rPr>
                <w:rFonts w:ascii="Arial" w:cs="Arial" w:eastAsia="Arial" w:hAnsi="Arial"/>
                <w:sz w:val="18"/>
                <w:szCs w:val="18"/>
                <w:color w:val="auto"/>
              </w:rPr>
              <w:t>Common Shares, net of tax</w:t>
            </w:r>
          </w:p>
        </w:tc>
        <w:tc>
          <w:tcPr>
            <w:tcW w:w="32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500" w:type="dxa"/>
            <w:vAlign w:val="bottom"/>
          </w:tcPr>
          <w:p>
            <w:pPr>
              <w:spacing w:after="0"/>
              <w:rPr>
                <w:sz w:val="20"/>
                <w:szCs w:val="20"/>
                <w:color w:val="auto"/>
              </w:rPr>
            </w:pPr>
            <w:r>
              <w:rPr>
                <w:rFonts w:ascii="Arial" w:cs="Arial" w:eastAsia="Arial" w:hAnsi="Arial"/>
                <w:sz w:val="18"/>
                <w:szCs w:val="18"/>
                <w:color w:val="auto"/>
              </w:rPr>
              <w:t>Net income (loss) attributable to Class A and Common Shares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(32.0)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58"/>
        </w:trPr>
        <w:tc>
          <w:tcPr>
            <w:tcW w:w="5500" w:type="dxa"/>
            <w:vAlign w:val="bottom"/>
          </w:tcPr>
          <w:p>
            <w:pPr>
              <w:spacing w:after="0"/>
              <w:rPr>
                <w:sz w:val="20"/>
                <w:szCs w:val="20"/>
                <w:color w:val="auto"/>
              </w:rPr>
            </w:pPr>
            <w:r>
              <w:rPr>
                <w:rFonts w:ascii="Arial" w:cs="Arial" w:eastAsia="Arial" w:hAnsi="Arial"/>
                <w:sz w:val="18"/>
                <w:szCs w:val="18"/>
                <w:color w:val="auto"/>
                <w:w w:val="90"/>
              </w:rPr>
              <w:t>Weighted average Shares of Class A Stock and Common Stock outstanding</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60"/>
              <w:spacing w:after="0"/>
              <w:rPr>
                <w:sz w:val="20"/>
                <w:szCs w:val="20"/>
                <w:color w:val="auto"/>
              </w:rPr>
            </w:pPr>
            <w:r>
              <w:rPr>
                <w:rFonts w:ascii="Arial" w:cs="Arial" w:eastAsia="Arial" w:hAnsi="Arial"/>
                <w:sz w:val="18"/>
                <w:szCs w:val="18"/>
                <w:color w:val="auto"/>
              </w:rPr>
              <w:t>for basic earnings (loss) per share (in millions)</w:t>
            </w:r>
          </w:p>
        </w:tc>
        <w:tc>
          <w:tcPr>
            <w:tcW w:w="32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358"/>
        </w:trPr>
        <w:tc>
          <w:tcPr>
            <w:tcW w:w="5500" w:type="dxa"/>
            <w:vAlign w:val="bottom"/>
          </w:tcPr>
          <w:p>
            <w:pPr>
              <w:spacing w:after="0"/>
              <w:rPr>
                <w:sz w:val="20"/>
                <w:szCs w:val="20"/>
                <w:color w:val="auto"/>
              </w:rPr>
            </w:pPr>
            <w:r>
              <w:rPr>
                <w:rFonts w:ascii="Arial" w:cs="Arial" w:eastAsia="Arial" w:hAnsi="Arial"/>
                <w:sz w:val="18"/>
                <w:szCs w:val="18"/>
                <w:color w:val="auto"/>
                <w:w w:val="96"/>
              </w:rPr>
              <w:t>Dilutive effect of Class A Stock and Common Stock potentially issuable</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60"/>
              <w:spacing w:after="0"/>
              <w:rPr>
                <w:sz w:val="20"/>
                <w:szCs w:val="20"/>
                <w:color w:val="auto"/>
              </w:rPr>
            </w:pPr>
            <w:r>
              <w:rPr>
                <w:rFonts w:ascii="Arial" w:cs="Arial" w:eastAsia="Arial" w:hAnsi="Arial"/>
                <w:sz w:val="18"/>
                <w:szCs w:val="18"/>
                <w:color w:val="auto"/>
              </w:rPr>
              <w:t>pursuant to stock-based compensation plans (in millions)</w:t>
            </w:r>
          </w:p>
        </w:tc>
        <w:tc>
          <w:tcPr>
            <w:tcW w:w="32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5500" w:type="dxa"/>
            <w:vAlign w:val="bottom"/>
          </w:tcPr>
          <w:p>
            <w:pPr>
              <w:spacing w:after="0"/>
              <w:rPr>
                <w:sz w:val="20"/>
                <w:szCs w:val="20"/>
                <w:color w:val="auto"/>
              </w:rPr>
            </w:pPr>
            <w:r>
              <w:rPr>
                <w:rFonts w:ascii="Arial" w:cs="Arial" w:eastAsia="Arial" w:hAnsi="Arial"/>
                <w:sz w:val="18"/>
                <w:szCs w:val="18"/>
                <w:color w:val="auto"/>
                <w:w w:val="94"/>
              </w:rPr>
              <w:t>Adjusted weighted average Shares of Class A Stock and Common Stock</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160"/>
              <w:spacing w:after="0"/>
              <w:rPr>
                <w:sz w:val="20"/>
                <w:szCs w:val="20"/>
                <w:color w:val="auto"/>
              </w:rPr>
            </w:pPr>
            <w:r>
              <w:rPr>
                <w:rFonts w:ascii="Arial" w:cs="Arial" w:eastAsia="Arial" w:hAnsi="Arial"/>
                <w:sz w:val="18"/>
                <w:szCs w:val="18"/>
                <w:color w:val="auto"/>
              </w:rPr>
              <w:t>outstanding for diluted earnings (loss) per share (in millions)</w:t>
            </w:r>
          </w:p>
        </w:tc>
        <w:tc>
          <w:tcPr>
            <w:tcW w:w="32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5500" w:type="dxa"/>
            <w:vAlign w:val="bottom"/>
          </w:tcPr>
          <w:p>
            <w:pPr>
              <w:spacing w:after="0"/>
              <w:rPr>
                <w:sz w:val="20"/>
                <w:szCs w:val="20"/>
                <w:color w:val="auto"/>
              </w:rPr>
            </w:pPr>
            <w:r>
              <w:rPr>
                <w:rFonts w:ascii="Arial" w:cs="Arial" w:eastAsia="Arial" w:hAnsi="Arial"/>
                <w:sz w:val="18"/>
                <w:szCs w:val="18"/>
                <w:b w:val="1"/>
                <w:bCs w:val="1"/>
                <w:color w:val="auto"/>
              </w:rPr>
              <w:t>Earnings (loss) per share of Class A Stock and Common Stock:</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00" w:type="dxa"/>
            <w:vAlign w:val="bottom"/>
          </w:tcPr>
          <w:p>
            <w:pPr>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(0.81)</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(0.00)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2"/>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0" w:type="dxa"/>
            <w:vAlign w:val="bottom"/>
          </w:tcPr>
          <w:p>
            <w:pPr>
              <w:spacing w:after="0"/>
              <w:rPr>
                <w:sz w:val="1"/>
                <w:szCs w:val="1"/>
                <w:color w:val="auto"/>
              </w:rPr>
            </w:pPr>
          </w:p>
        </w:tc>
      </w:tr>
      <w:tr>
        <w:trPr>
          <w:trHeight w:val="110"/>
        </w:trPr>
        <w:tc>
          <w:tcPr>
            <w:tcW w:w="5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 w:firstLine="8"/>
        <w:spacing w:after="0" w:line="268"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three months ended August 31, 2012 and 2011, the Company experienced a loss from continuing operations and therefore did not report any dilutive share impact.</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760" w:right="6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 period in which the Company reports a discontinued operation, Earnings (loss) from continuing operations is used as the “control number” in determining whether potentially dilutive common shares are dilutive or anti-dilutive.</w:t>
      </w:r>
    </w:p>
    <w:p>
      <w:pPr>
        <w:spacing w:after="0" w:line="18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portion of the Company’s restricted stock units (“RSUs”) which are granted to employees participate in earnings through cumulative non-forfeitable dividends payable to the employees upon vesting of the RSUs. Accordingly, the Company measures earnings per share based upon the two-class method.</w:t>
      </w:r>
    </w:p>
    <w:p>
      <w:pPr>
        <w:spacing w:after="0" w:line="13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Loss from continuing operations exclude losses of less than $0.1 for the three months ended August 31, 2012 and 2011, respectively, for earnings attributable to participating RSUs.</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Potentially dilutive shares outstanding pursuant to compensation plans that were not included in the diluted earnings per share calculation because they were anti-dilutive were 2.8 million and 4.5 million for the three months ended August 31, 2012 and 2011, respectively. Options outstanding pursuant to compensation plans were 5.1 million and 6.0 million as of August 31, 2012 and 2011, respectively.</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August 31, 2012, $31.4 remains available for future purchases of common shares under the current repurchase authorization of the Board of Directors. See Note 12, “Treasury Stock,” for a more complete description of the Company’s share buy-back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annually for impairment or more frequently if impairment indicators arise.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80" w:type="dxa"/>
            <w:vAlign w:val="bottom"/>
          </w:tcPr>
          <w:p>
            <w:pPr>
              <w:spacing w:after="0"/>
              <w:rPr>
                <w:sz w:val="20"/>
                <w:szCs w:val="20"/>
                <w:color w:val="auto"/>
              </w:rPr>
            </w:pPr>
            <w:r>
              <w:rPr>
                <w:rFonts w:ascii="Arial" w:cs="Arial" w:eastAsia="Arial" w:hAnsi="Arial"/>
                <w:sz w:val="18"/>
                <w:szCs w:val="18"/>
                <w:color w:val="auto"/>
                <w:w w:val="91"/>
              </w:rPr>
              <w:t>The following table summarizes the activity in Goodwill for the periods indicated:</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33"/>
        </w:trPr>
        <w:tc>
          <w:tcPr>
            <w:tcW w:w="588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Three months ended</w:t>
            </w: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Twelve months ended</w:t>
            </w: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Three months ended</w:t>
            </w:r>
          </w:p>
        </w:tc>
      </w:tr>
      <w:tr>
        <w:trPr>
          <w:trHeight w:val="228"/>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August 31, 2012</w:t>
            </w:r>
          </w:p>
        </w:tc>
        <w:tc>
          <w:tcPr>
            <w:tcW w:w="340" w:type="dxa"/>
            <w:vAlign w:val="bottom"/>
          </w:tcPr>
          <w:p>
            <w:pPr>
              <w:spacing w:after="0"/>
              <w:rPr>
                <w:sz w:val="19"/>
                <w:szCs w:val="19"/>
                <w:color w:val="auto"/>
              </w:rPr>
            </w:pPr>
          </w:p>
        </w:tc>
        <w:tc>
          <w:tcPr>
            <w:tcW w:w="1600" w:type="dxa"/>
            <w:vAlign w:val="bottom"/>
          </w:tcPr>
          <w:p>
            <w:pPr>
              <w:jc w:val="right"/>
              <w:ind w:right="412"/>
              <w:spacing w:after="0"/>
              <w:rPr>
                <w:sz w:val="20"/>
                <w:szCs w:val="20"/>
                <w:color w:val="auto"/>
              </w:rPr>
            </w:pPr>
            <w:r>
              <w:rPr>
                <w:rFonts w:ascii="Arial" w:cs="Arial" w:eastAsia="Arial" w:hAnsi="Arial"/>
                <w:sz w:val="18"/>
                <w:szCs w:val="18"/>
                <w:b w:val="1"/>
                <w:bCs w:val="1"/>
                <w:color w:val="auto"/>
                <w:w w:val="98"/>
              </w:rPr>
              <w:t>May 31, 2012</w:t>
            </w:r>
          </w:p>
        </w:tc>
        <w:tc>
          <w:tcPr>
            <w:tcW w:w="280" w:type="dxa"/>
            <w:vAlign w:val="bottom"/>
          </w:tcPr>
          <w:p>
            <w:pPr>
              <w:spacing w:after="0"/>
              <w:rPr>
                <w:sz w:val="19"/>
                <w:szCs w:val="19"/>
                <w:color w:val="auto"/>
              </w:rPr>
            </w:pPr>
          </w:p>
        </w:tc>
        <w:tc>
          <w:tcPr>
            <w:tcW w:w="1520" w:type="dxa"/>
            <w:vAlign w:val="bottom"/>
          </w:tcPr>
          <w:p>
            <w:pPr>
              <w:jc w:val="right"/>
              <w:ind w:right="212"/>
              <w:spacing w:after="0"/>
              <w:rPr>
                <w:sz w:val="20"/>
                <w:szCs w:val="20"/>
                <w:color w:val="auto"/>
              </w:rPr>
            </w:pPr>
            <w:r>
              <w:rPr>
                <w:rFonts w:ascii="Arial" w:cs="Arial" w:eastAsia="Arial" w:hAnsi="Arial"/>
                <w:sz w:val="18"/>
                <w:szCs w:val="18"/>
                <w:b w:val="1"/>
                <w:bCs w:val="1"/>
                <w:color w:val="auto"/>
                <w:w w:val="87"/>
              </w:rPr>
              <w:t>August 31, 2011</w:t>
            </w:r>
          </w:p>
        </w:tc>
      </w:tr>
      <w:tr>
        <w:trPr>
          <w:trHeight w:val="110"/>
        </w:trPr>
        <w:tc>
          <w:tcPr>
            <w:tcW w:w="5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880" w:type="dxa"/>
            <w:vAlign w:val="bottom"/>
          </w:tcPr>
          <w:p>
            <w:pPr>
              <w:spacing w:after="0"/>
              <w:rPr>
                <w:sz w:val="20"/>
                <w:szCs w:val="20"/>
                <w:color w:val="auto"/>
              </w:rPr>
            </w:pPr>
            <w:r>
              <w:rPr>
                <w:rFonts w:ascii="Arial" w:cs="Arial" w:eastAsia="Arial" w:hAnsi="Arial"/>
                <w:sz w:val="18"/>
                <w:szCs w:val="18"/>
                <w:color w:val="auto"/>
              </w:rPr>
              <w:t>Gross beginning balance</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178.5</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175.0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175.0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10"/>
        </w:trPr>
        <w:tc>
          <w:tcPr>
            <w:tcW w:w="5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458"/>
        </w:trPr>
        <w:tc>
          <w:tcPr>
            <w:tcW w:w="588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157.7</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154.2</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154.2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2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Impairment charge</w:t>
            </w:r>
          </w:p>
        </w:tc>
        <w:tc>
          <w:tcPr>
            <w:tcW w:w="2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5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880" w:type="dxa"/>
            <w:vAlign w:val="bottom"/>
          </w:tcPr>
          <w:p>
            <w:pPr>
              <w:spacing w:after="0"/>
              <w:rPr>
                <w:sz w:val="20"/>
                <w:szCs w:val="20"/>
                <w:color w:val="auto"/>
              </w:rPr>
            </w:pPr>
            <w:r>
              <w:rPr>
                <w:rFonts w:ascii="Arial" w:cs="Arial" w:eastAsia="Arial" w:hAnsi="Arial"/>
                <w:sz w:val="18"/>
                <w:szCs w:val="18"/>
                <w:color w:val="auto"/>
              </w:rPr>
              <w:t>Gross ending balance</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178.5</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178.5</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175.0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10"/>
        </w:trPr>
        <w:tc>
          <w:tcPr>
            <w:tcW w:w="5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16"/>
        </w:trPr>
        <w:tc>
          <w:tcPr>
            <w:tcW w:w="58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157.7</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157.7</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b w:val="1"/>
                <w:bCs w:val="1"/>
                <w:color w:val="auto"/>
              </w:rPr>
              <w:t>154.2</w:t>
            </w:r>
          </w:p>
        </w:tc>
      </w:tr>
      <w:tr>
        <w:trPr>
          <w:trHeight w:val="110"/>
        </w:trPr>
        <w:tc>
          <w:tcPr>
            <w:tcW w:w="5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On February 8, 2012, the Company acquired the business and certain assets of Weekly Reader, a publisher of weekly educational classroom magazines designed for children in grades Pre-K–12, for $2.0 in cash and $4.8 in assumed liabilities, which have been fulfilled by the Company. The Company utilized internally-developed discounted cash flow forecasts and market comparisons of royalty rates to determine the fair value of the assets acquired and the amount to be allocated to goodwill. As a result, the Company recognized $1.4 of goodwill and $5.4 of intangible assets. The results of operations of this business subsequent to the acquisition date are included in 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and certain assets will benefit the </w:t>
      </w:r>
      <w:r>
        <w:rPr>
          <w:rFonts w:ascii="Arial" w:cs="Arial" w:eastAsia="Arial" w:hAnsi="Arial"/>
          <w:sz w:val="18"/>
          <w:szCs w:val="18"/>
          <w:i w:val="1"/>
          <w:iCs w:val="1"/>
          <w:color w:val="auto"/>
        </w:rPr>
        <w:t>Children’s Book Publishing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Distribution </w:t>
      </w:r>
      <w:r>
        <w:rPr>
          <w:rFonts w:ascii="Arial" w:cs="Arial" w:eastAsia="Arial" w:hAnsi="Arial"/>
          <w:sz w:val="18"/>
          <w:szCs w:val="18"/>
          <w:color w:val="auto"/>
        </w:rPr>
        <w:t>segment.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On January 3, 2012, the Company acquired Learners Publishing, a Singapore-based publisher of supplemental learning materials for English-Language Learners, for $2.8, net of cash acquired. The Company utilized Level 3 fair value measurement inputs, using its own assumptions, including internally-developed discounted cash flow forecasts, to determine the fair value of the assets acquired and the amount of goodwill to be allocated to the Learners Publishing business. As a result of this transaction, the Company recorded $1.3 of goodwill. The results of operations of this business subsequent to the acquisition date are included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Total other intangibles subject to amortization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w w:val="96"/>
              </w:rPr>
              <w:t>Three months ended</w:t>
            </w: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Twelve months ended</w:t>
            </w: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w w:val="92"/>
              </w:rPr>
              <w:t>Three months ended</w:t>
            </w:r>
          </w:p>
        </w:tc>
      </w:tr>
      <w:tr>
        <w:trPr>
          <w:trHeight w:val="228"/>
        </w:trPr>
        <w:tc>
          <w:tcPr>
            <w:tcW w:w="5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August 31, 2012</w:t>
            </w:r>
          </w:p>
        </w:tc>
        <w:tc>
          <w:tcPr>
            <w:tcW w:w="340" w:type="dxa"/>
            <w:vAlign w:val="bottom"/>
          </w:tcPr>
          <w:p>
            <w:pPr>
              <w:spacing w:after="0"/>
              <w:rPr>
                <w:sz w:val="19"/>
                <w:szCs w:val="19"/>
                <w:color w:val="auto"/>
              </w:rPr>
            </w:pPr>
          </w:p>
        </w:tc>
        <w:tc>
          <w:tcPr>
            <w:tcW w:w="1600" w:type="dxa"/>
            <w:vAlign w:val="bottom"/>
          </w:tcPr>
          <w:p>
            <w:pPr>
              <w:jc w:val="right"/>
              <w:ind w:right="412"/>
              <w:spacing w:after="0"/>
              <w:rPr>
                <w:sz w:val="20"/>
                <w:szCs w:val="20"/>
                <w:color w:val="auto"/>
              </w:rPr>
            </w:pPr>
            <w:r>
              <w:rPr>
                <w:rFonts w:ascii="Arial" w:cs="Arial" w:eastAsia="Arial" w:hAnsi="Arial"/>
                <w:sz w:val="18"/>
                <w:szCs w:val="18"/>
                <w:b w:val="1"/>
                <w:bCs w:val="1"/>
                <w:color w:val="auto"/>
                <w:w w:val="98"/>
              </w:rPr>
              <w:t>May 31, 2012</w:t>
            </w:r>
          </w:p>
        </w:tc>
        <w:tc>
          <w:tcPr>
            <w:tcW w:w="280" w:type="dxa"/>
            <w:vAlign w:val="bottom"/>
          </w:tcPr>
          <w:p>
            <w:pPr>
              <w:spacing w:after="0"/>
              <w:rPr>
                <w:sz w:val="19"/>
                <w:szCs w:val="19"/>
                <w:color w:val="auto"/>
              </w:rPr>
            </w:pPr>
          </w:p>
        </w:tc>
        <w:tc>
          <w:tcPr>
            <w:tcW w:w="1520" w:type="dxa"/>
            <w:vAlign w:val="bottom"/>
          </w:tcPr>
          <w:p>
            <w:pPr>
              <w:jc w:val="right"/>
              <w:ind w:right="212"/>
              <w:spacing w:after="0"/>
              <w:rPr>
                <w:sz w:val="20"/>
                <w:szCs w:val="20"/>
                <w:color w:val="auto"/>
              </w:rPr>
            </w:pPr>
            <w:r>
              <w:rPr>
                <w:rFonts w:ascii="Arial" w:cs="Arial" w:eastAsia="Arial" w:hAnsi="Arial"/>
                <w:sz w:val="18"/>
                <w:szCs w:val="18"/>
                <w:b w:val="1"/>
                <w:bCs w:val="1"/>
                <w:color w:val="auto"/>
                <w:w w:val="87"/>
              </w:rPr>
              <w:t>August 31, 2011</w:t>
            </w:r>
          </w:p>
        </w:tc>
      </w:tr>
      <w:tr>
        <w:trPr>
          <w:trHeight w:val="259"/>
        </w:trPr>
        <w:tc>
          <w:tcPr>
            <w:tcW w:w="5680" w:type="dxa"/>
            <w:vAlign w:val="bottom"/>
            <w:tcBorders>
              <w:bottom w:val="single" w:sz="8" w:color="808080"/>
            </w:tcBorders>
          </w:tcPr>
          <w:p>
            <w:pPr>
              <w:spacing w:after="0"/>
              <w:rPr>
                <w:sz w:val="22"/>
                <w:szCs w:val="22"/>
                <w:color w:val="auto"/>
              </w:rPr>
            </w:pPr>
          </w:p>
        </w:tc>
        <w:tc>
          <w:tcPr>
            <w:tcW w:w="420" w:type="dxa"/>
            <w:vAlign w:val="bottom"/>
            <w:tcBorders>
              <w:bottom w:val="single" w:sz="8" w:color="808080"/>
            </w:tcBorders>
          </w:tcPr>
          <w:p>
            <w:pPr>
              <w:spacing w:after="0"/>
              <w:rPr>
                <w:sz w:val="22"/>
                <w:szCs w:val="22"/>
                <w:color w:val="auto"/>
              </w:rPr>
            </w:pPr>
          </w:p>
        </w:tc>
        <w:tc>
          <w:tcPr>
            <w:tcW w:w="16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160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1520" w:type="dxa"/>
            <w:vAlign w:val="bottom"/>
            <w:tcBorders>
              <w:bottom w:val="single" w:sz="8" w:color="808080"/>
            </w:tcBorders>
          </w:tcPr>
          <w:p>
            <w:pPr>
              <w:spacing w:after="0"/>
              <w:rPr>
                <w:sz w:val="22"/>
                <w:szCs w:val="22"/>
                <w:color w:val="auto"/>
              </w:rPr>
            </w:pPr>
          </w:p>
        </w:tc>
      </w:tr>
      <w:tr>
        <w:trPr>
          <w:trHeight w:val="458"/>
        </w:trPr>
        <w:tc>
          <w:tcPr>
            <w:tcW w:w="5680" w:type="dxa"/>
            <w:vAlign w:val="bottom"/>
          </w:tcPr>
          <w:p>
            <w:pPr>
              <w:spacing w:after="0"/>
              <w:rPr>
                <w:sz w:val="20"/>
                <w:szCs w:val="20"/>
                <w:color w:val="auto"/>
              </w:rPr>
            </w:pPr>
            <w:r>
              <w:rPr>
                <w:rFonts w:ascii="Arial" w:cs="Arial" w:eastAsia="Arial" w:hAnsi="Arial"/>
                <w:sz w:val="18"/>
                <w:szCs w:val="18"/>
                <w:color w:val="auto"/>
              </w:rPr>
              <w:t>Beginning balance - customer lists</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0.7</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4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0.0</w:t>
            </w:r>
          </w:p>
        </w:tc>
      </w:tr>
      <w:tr>
        <w:trPr>
          <w:trHeight w:val="110"/>
        </w:trPr>
        <w:tc>
          <w:tcPr>
            <w:tcW w:w="5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rPr>
              <w:t>Customer lists, net of accumulated amortization of $1.5, $1.3 and $1.1,</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5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110"/>
        </w:trPr>
        <w:tc>
          <w:tcPr>
            <w:tcW w:w="5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458"/>
        </w:trPr>
        <w:tc>
          <w:tcPr>
            <w:tcW w:w="5680" w:type="dxa"/>
            <w:vAlign w:val="bottom"/>
          </w:tcPr>
          <w:p>
            <w:pPr>
              <w:spacing w:after="0"/>
              <w:rPr>
                <w:sz w:val="20"/>
                <w:szCs w:val="20"/>
                <w:color w:val="auto"/>
              </w:rPr>
            </w:pPr>
            <w:r>
              <w:rPr>
                <w:rFonts w:ascii="Arial" w:cs="Arial" w:eastAsia="Arial" w:hAnsi="Arial"/>
                <w:sz w:val="18"/>
                <w:szCs w:val="18"/>
                <w:color w:val="auto"/>
              </w:rPr>
              <w:t>Beginning balance - other</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17.3</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Additions due to acquisition</w:t>
            </w:r>
          </w:p>
        </w:tc>
        <w:tc>
          <w:tcPr>
            <w:tcW w:w="4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Impairment charge</w:t>
            </w:r>
          </w:p>
        </w:tc>
        <w:tc>
          <w:tcPr>
            <w:tcW w:w="42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110"/>
        </w:trPr>
        <w:tc>
          <w:tcPr>
            <w:tcW w:w="5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5680" w:type="dxa"/>
            <w:vAlign w:val="bottom"/>
          </w:tcPr>
          <w:p>
            <w:pPr>
              <w:spacing w:after="0"/>
              <w:rPr>
                <w:sz w:val="20"/>
                <w:szCs w:val="20"/>
                <w:color w:val="auto"/>
              </w:rPr>
            </w:pPr>
            <w:r>
              <w:rPr>
                <w:rFonts w:ascii="Arial" w:cs="Arial" w:eastAsia="Arial" w:hAnsi="Arial"/>
                <w:sz w:val="18"/>
                <w:szCs w:val="18"/>
                <w:color w:val="auto"/>
                <w:w w:val="93"/>
              </w:rPr>
              <w:t>Other intangibles, net of accumulated amortization of $10.8, $10.5 and $4.5,</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2"/>
        </w:trPr>
        <w:tc>
          <w:tcPr>
            <w:tcW w:w="56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16.9</w:t>
            </w:r>
          </w:p>
        </w:tc>
      </w:tr>
      <w:tr>
        <w:trPr>
          <w:trHeight w:val="110"/>
        </w:trPr>
        <w:tc>
          <w:tcPr>
            <w:tcW w:w="5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58"/>
        </w:trPr>
        <w:tc>
          <w:tcPr>
            <w:tcW w:w="56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r>
        <w:trPr>
          <w:trHeight w:val="316"/>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other intangibles subject to amortization</w:t>
            </w:r>
          </w:p>
        </w:tc>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14.4</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32"/>
              <w:spacing w:after="0"/>
              <w:rPr>
                <w:sz w:val="20"/>
                <w:szCs w:val="20"/>
                <w:color w:val="auto"/>
              </w:rPr>
            </w:pPr>
            <w:r>
              <w:rPr>
                <w:rFonts w:ascii="Arial" w:cs="Arial" w:eastAsia="Arial" w:hAnsi="Arial"/>
                <w:sz w:val="18"/>
                <w:szCs w:val="18"/>
                <w:b w:val="1"/>
                <w:bCs w:val="1"/>
                <w:color w:val="auto"/>
              </w:rPr>
              <w:t>17.6</w:t>
            </w:r>
          </w:p>
        </w:tc>
      </w:tr>
      <w:tr>
        <w:trPr>
          <w:trHeight w:val="110"/>
        </w:trPr>
        <w:tc>
          <w:tcPr>
            <w:tcW w:w="56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Amortization expense for Total other intangibles was $0.5 and $0.4 for the three months ended August 31, 2012 and 2011, respectively. Intangible assets with definite lives consist principally of customer lists, covenants not to compete and publishing and trademark rights. Intangible assets with definite lives are amortized over their estimated useful lives. The weighted-average remaining useful lives of all amortizable intangible assets is 9 years.</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In fiscal 2012, due to declining revenues associated with certain publishing and trademark rights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the Company determined that the intangible assets associated with these rights were not fully recoverable and recognized an impairment in amortization expense of $4.9 based upon the difference between the carrying value and the fair value of the assets, and reduced the expected useful life of these assets. The Company employed Level 3 fair value measurement techniques to determine the fair value of these assets, including the relief from royalty method.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August 31, 2012</w:t>
            </w:r>
          </w:p>
        </w:tc>
        <w:tc>
          <w:tcPr>
            <w:tcW w:w="320" w:type="dxa"/>
            <w:vAlign w:val="bottom"/>
          </w:tcPr>
          <w:p>
            <w:pPr>
              <w:spacing w:after="0"/>
              <w:rPr>
                <w:sz w:val="19"/>
                <w:szCs w:val="19"/>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b w:val="1"/>
                <w:bCs w:val="1"/>
                <w:color w:val="auto"/>
                <w:w w:val="96"/>
              </w:rPr>
              <w:t>May 31, 2012</w:t>
            </w:r>
          </w:p>
        </w:tc>
        <w:tc>
          <w:tcPr>
            <w:tcW w:w="280" w:type="dxa"/>
            <w:vAlign w:val="bottom"/>
          </w:tcPr>
          <w:p>
            <w:pPr>
              <w:spacing w:after="0"/>
              <w:rPr>
                <w:sz w:val="19"/>
                <w:szCs w:val="19"/>
                <w:color w:val="auto"/>
              </w:rPr>
            </w:pPr>
          </w:p>
        </w:tc>
        <w:tc>
          <w:tcPr>
            <w:tcW w:w="1500" w:type="dxa"/>
            <w:vAlign w:val="bottom"/>
          </w:tcPr>
          <w:p>
            <w:pPr>
              <w:jc w:val="right"/>
              <w:ind w:right="192"/>
              <w:spacing w:after="0"/>
              <w:rPr>
                <w:sz w:val="20"/>
                <w:szCs w:val="20"/>
                <w:color w:val="auto"/>
              </w:rPr>
            </w:pPr>
            <w:r>
              <w:rPr>
                <w:rFonts w:ascii="Arial" w:cs="Arial" w:eastAsia="Arial" w:hAnsi="Arial"/>
                <w:sz w:val="18"/>
                <w:szCs w:val="18"/>
                <w:b w:val="1"/>
                <w:bCs w:val="1"/>
                <w:color w:val="auto"/>
                <w:w w:val="87"/>
              </w:rPr>
              <w:t>August 31, 2011</w:t>
            </w:r>
          </w:p>
        </w:tc>
      </w:tr>
      <w:tr>
        <w:trPr>
          <w:trHeight w:val="110"/>
        </w:trPr>
        <w:tc>
          <w:tcPr>
            <w:tcW w:w="37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309"/>
        </w:trPr>
        <w:tc>
          <w:tcPr>
            <w:tcW w:w="376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Trademarks and other</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1.8</w:t>
            </w:r>
          </w:p>
        </w:tc>
      </w:tr>
      <w:tr>
        <w:trPr>
          <w:trHeight w:val="110"/>
        </w:trPr>
        <w:tc>
          <w:tcPr>
            <w:tcW w:w="37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3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72"/>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r>
      <w:tr>
        <w:trPr>
          <w:trHeight w:val="110"/>
        </w:trPr>
        <w:tc>
          <w:tcPr>
            <w:tcW w:w="37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Included in “Other assets and deferred charges” on the Company’s condensed consolidated balance sheets were investments of $21.2, $20.6 and $21.2 at August 31, 2012, May 31, 2012 and August 31,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 owns a non-controlling interest in a book distribution business located in the UK, which is accounted for as a cost-basis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Company’s 26.2% non-controlling interest in a children’s book publishing business located in the UK is accounted for using the equity method of accounting.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Income from equity investments totaled $0.5 for the three months ended August 31, 2012 and $0.4 for the three months ended August 31,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5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August 31, 2012</w:t>
            </w:r>
          </w:p>
        </w:tc>
        <w:tc>
          <w:tcPr>
            <w:tcW w:w="340" w:type="dxa"/>
            <w:vAlign w:val="bottom"/>
          </w:tcPr>
          <w:p>
            <w:pPr>
              <w:spacing w:after="0"/>
              <w:rPr>
                <w:sz w:val="19"/>
                <w:szCs w:val="19"/>
                <w:color w:val="auto"/>
              </w:rPr>
            </w:pPr>
          </w:p>
        </w:tc>
        <w:tc>
          <w:tcPr>
            <w:tcW w:w="1480" w:type="dxa"/>
            <w:vAlign w:val="bottom"/>
          </w:tcPr>
          <w:p>
            <w:pPr>
              <w:jc w:val="right"/>
              <w:ind w:right="332"/>
              <w:spacing w:after="0"/>
              <w:rPr>
                <w:sz w:val="20"/>
                <w:szCs w:val="20"/>
                <w:color w:val="auto"/>
              </w:rPr>
            </w:pPr>
            <w:r>
              <w:rPr>
                <w:rFonts w:ascii="Arial" w:cs="Arial" w:eastAsia="Arial" w:hAnsi="Arial"/>
                <w:sz w:val="18"/>
                <w:szCs w:val="18"/>
                <w:b w:val="1"/>
                <w:bCs w:val="1"/>
                <w:color w:val="auto"/>
                <w:w w:val="94"/>
              </w:rPr>
              <w:t>May 31, 2012</w:t>
            </w:r>
          </w:p>
        </w:tc>
        <w:tc>
          <w:tcPr>
            <w:tcW w:w="280" w:type="dxa"/>
            <w:vAlign w:val="bottom"/>
          </w:tcPr>
          <w:p>
            <w:pPr>
              <w:spacing w:after="0"/>
              <w:rPr>
                <w:sz w:val="19"/>
                <w:szCs w:val="19"/>
                <w:color w:val="auto"/>
              </w:rPr>
            </w:pP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w w:val="86"/>
              </w:rPr>
              <w:t>August 31, 2011</w:t>
            </w:r>
          </w:p>
        </w:tc>
      </w:tr>
      <w:tr>
        <w:trPr>
          <w:trHeight w:val="110"/>
        </w:trPr>
        <w:tc>
          <w:tcPr>
            <w:tcW w:w="43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309"/>
        </w:trPr>
        <w:tc>
          <w:tcPr>
            <w:tcW w:w="4320" w:type="dxa"/>
            <w:vAlign w:val="bottom"/>
          </w:tcPr>
          <w:p>
            <w:pPr>
              <w:ind w:left="160"/>
              <w:spacing w:after="0"/>
              <w:rPr>
                <w:sz w:val="20"/>
                <w:szCs w:val="20"/>
                <w:color w:val="auto"/>
              </w:rPr>
            </w:pPr>
            <w:r>
              <w:rPr>
                <w:rFonts w:ascii="Arial" w:cs="Arial" w:eastAsia="Arial" w:hAnsi="Arial"/>
                <w:sz w:val="18"/>
                <w:szCs w:val="18"/>
                <w:color w:val="auto"/>
              </w:rPr>
              <w:t>Cost method investments:</w:t>
            </w: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2"/>
        </w:trPr>
        <w:tc>
          <w:tcPr>
            <w:tcW w:w="432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110"/>
        </w:trPr>
        <w:tc>
          <w:tcPr>
            <w:tcW w:w="43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316"/>
        </w:trPr>
        <w:tc>
          <w:tcPr>
            <w:tcW w:w="4320" w:type="dxa"/>
            <w:vAlign w:val="bottom"/>
          </w:tcPr>
          <w:p>
            <w:pPr>
              <w:ind w:left="160"/>
              <w:spacing w:after="0"/>
              <w:rPr>
                <w:sz w:val="20"/>
                <w:szCs w:val="20"/>
                <w:color w:val="auto"/>
              </w:rPr>
            </w:pPr>
            <w:r>
              <w:rPr>
                <w:rFonts w:ascii="Arial" w:cs="Arial" w:eastAsia="Arial" w:hAnsi="Arial"/>
                <w:sz w:val="18"/>
                <w:szCs w:val="18"/>
                <w:color w:val="auto"/>
              </w:rPr>
              <w:t>Total cost method investments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110"/>
        </w:trPr>
        <w:tc>
          <w:tcPr>
            <w:tcW w:w="43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458"/>
        </w:trPr>
        <w:tc>
          <w:tcPr>
            <w:tcW w:w="432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8"/>
                <w:szCs w:val="18"/>
                <w:color w:val="auto"/>
              </w:rPr>
              <w:t>UK - based</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14.2</w:t>
            </w:r>
          </w:p>
        </w:tc>
      </w:tr>
      <w:tr>
        <w:trPr>
          <w:trHeight w:val="222"/>
        </w:trPr>
        <w:tc>
          <w:tcPr>
            <w:tcW w:w="4320" w:type="dxa"/>
            <w:vAlign w:val="bottom"/>
          </w:tcPr>
          <w:p>
            <w:pPr>
              <w:ind w:left="320"/>
              <w:spacing w:after="0"/>
              <w:rPr>
                <w:sz w:val="20"/>
                <w:szCs w:val="20"/>
                <w:color w:val="auto"/>
              </w:rPr>
            </w:pPr>
            <w:r>
              <w:rPr>
                <w:rFonts w:ascii="Arial" w:cs="Arial" w:eastAsia="Arial" w:hAnsi="Arial"/>
                <w:sz w:val="18"/>
                <w:szCs w:val="18"/>
                <w:color w:val="auto"/>
              </w:rPr>
              <w:t>U.S. - based</w:t>
            </w:r>
          </w:p>
        </w:tc>
        <w:tc>
          <w:tcPr>
            <w:tcW w:w="198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110"/>
        </w:trPr>
        <w:tc>
          <w:tcPr>
            <w:tcW w:w="43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r>
        <w:trPr>
          <w:trHeight w:val="316"/>
        </w:trPr>
        <w:tc>
          <w:tcPr>
            <w:tcW w:w="4320" w:type="dxa"/>
            <w:vAlign w:val="bottom"/>
          </w:tcPr>
          <w:p>
            <w:pPr>
              <w:ind w:left="160"/>
              <w:spacing w:after="0"/>
              <w:rPr>
                <w:sz w:val="20"/>
                <w:szCs w:val="20"/>
                <w:color w:val="auto"/>
              </w:rPr>
            </w:pPr>
            <w:r>
              <w:rPr>
                <w:rFonts w:ascii="Arial" w:cs="Arial" w:eastAsia="Arial" w:hAnsi="Arial"/>
                <w:sz w:val="18"/>
                <w:szCs w:val="18"/>
                <w:color w:val="auto"/>
              </w:rPr>
              <w:t>Total equity method investments</w:t>
            </w: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15.5</w:t>
            </w:r>
          </w:p>
        </w:tc>
      </w:tr>
      <w:tr>
        <w:trPr>
          <w:trHeight w:val="110"/>
        </w:trPr>
        <w:tc>
          <w:tcPr>
            <w:tcW w:w="43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2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b w:val="1"/>
                <w:bCs w:val="1"/>
                <w:color w:val="auto"/>
              </w:rPr>
              <w:t>21.2</w:t>
            </w:r>
          </w:p>
        </w:tc>
        <w:tc>
          <w:tcPr>
            <w:tcW w:w="80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20.6</w:t>
            </w:r>
          </w:p>
        </w:tc>
        <w:tc>
          <w:tcPr>
            <w:tcW w:w="780" w:type="dxa"/>
            <w:vAlign w:val="bottom"/>
          </w:tcPr>
          <w:p>
            <w:pPr>
              <w:jc w:val="right"/>
              <w:ind w:right="45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21.2</w:t>
            </w:r>
          </w:p>
        </w:tc>
        <w:tc>
          <w:tcPr>
            <w:tcW w:w="20" w:type="dxa"/>
            <w:vAlign w:val="bottom"/>
          </w:tcPr>
          <w:p>
            <w:pPr>
              <w:spacing w:after="0"/>
              <w:rPr>
                <w:sz w:val="19"/>
                <w:szCs w:val="19"/>
                <w:color w:val="auto"/>
              </w:rPr>
            </w:pPr>
          </w:p>
        </w:tc>
      </w:tr>
      <w:tr>
        <w:trPr>
          <w:trHeight w:val="110"/>
        </w:trPr>
        <w:tc>
          <w:tcPr>
            <w:tcW w:w="300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3000" w:type="dxa"/>
            <w:vAlign w:val="bottom"/>
          </w:tcPr>
          <w:p>
            <w:pPr>
              <w:spacing w:after="0"/>
              <w:rPr>
                <w:sz w:val="24"/>
                <w:szCs w:val="24"/>
                <w:color w:val="auto"/>
              </w:rPr>
            </w:pPr>
          </w:p>
        </w:tc>
        <w:tc>
          <w:tcPr>
            <w:tcW w:w="3820" w:type="dxa"/>
            <w:vAlign w:val="bottom"/>
          </w:tcPr>
          <w:p>
            <w:pPr>
              <w:jc w:val="right"/>
              <w:ind w:right="932"/>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30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300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following table sets forth components of the net periodic benefit costs for the periods indicated under the Company’s cash balance retirement plan for its United States employees meeting certain eligibility requirements (the “U.S. Pension Plan”) and the defined benefit pension plan of Scholastic Ltd., an indirect subsidiary of Scholastic Corporation located in the United Kingdom (the “UK Pension Plan” and, together with the U.S. Pension Plan, the “Pension Plans”). Also included are the post-retirement benefits, consisting of certain healthcare and life insurance benefits, provided by the Company to its eligible retired United States-based employees (the “Post-Retirement Benefits”). The Pension Plans and Post-Retirement Benefits include participants associated with both continuing operations and discontinued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3"/>
          </w:tcPr>
          <w:p>
            <w:pPr>
              <w:jc w:val="right"/>
              <w:ind w:right="1252"/>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8"/>
                <w:szCs w:val="18"/>
                <w:color w:val="auto"/>
              </w:rPr>
            </w:pPr>
          </w:p>
        </w:tc>
        <w:tc>
          <w:tcPr>
            <w:tcW w:w="3300" w:type="dxa"/>
            <w:vAlign w:val="bottom"/>
            <w:gridSpan w:val="3"/>
          </w:tcPr>
          <w:p>
            <w:pPr>
              <w:jc w:val="right"/>
              <w:ind w:right="792"/>
              <w:spacing w:after="0"/>
              <w:rPr>
                <w:sz w:val="20"/>
                <w:szCs w:val="20"/>
                <w:color w:val="auto"/>
              </w:rPr>
            </w:pPr>
            <w:r>
              <w:rPr>
                <w:rFonts w:ascii="Arial" w:cs="Arial" w:eastAsia="Arial" w:hAnsi="Arial"/>
                <w:sz w:val="18"/>
                <w:szCs w:val="18"/>
                <w:b w:val="1"/>
                <w:bCs w:val="1"/>
                <w:color w:val="auto"/>
              </w:rPr>
              <w:t>Post-Retirement Benefits</w:t>
            </w:r>
          </w:p>
        </w:tc>
      </w:tr>
      <w:tr>
        <w:trPr>
          <w:trHeight w:val="216"/>
        </w:trPr>
        <w:tc>
          <w:tcPr>
            <w:tcW w:w="3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40" w:type="dxa"/>
            <w:vAlign w:val="bottom"/>
            <w:gridSpan w:val="3"/>
          </w:tcPr>
          <w:p>
            <w:pPr>
              <w:jc w:val="right"/>
              <w:ind w:right="101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3300" w:type="dxa"/>
            <w:vAlign w:val="bottom"/>
            <w:gridSpan w:val="3"/>
          </w:tcPr>
          <w:p>
            <w:pPr>
              <w:jc w:val="right"/>
              <w:ind w:right="97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3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August 31, 2012</w:t>
            </w:r>
          </w:p>
        </w:tc>
        <w:tc>
          <w:tcPr>
            <w:tcW w:w="34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August 31, 2011</w:t>
            </w:r>
          </w:p>
        </w:tc>
        <w:tc>
          <w:tcPr>
            <w:tcW w:w="34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August 31, 2012</w:t>
            </w:r>
          </w:p>
        </w:tc>
        <w:tc>
          <w:tcPr>
            <w:tcW w:w="34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August 31, 2011</w:t>
            </w:r>
          </w:p>
        </w:tc>
      </w:tr>
      <w:tr>
        <w:trPr>
          <w:trHeight w:val="110"/>
        </w:trPr>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309"/>
        </w:trPr>
        <w:tc>
          <w:tcPr>
            <w:tcW w:w="3860" w:type="dxa"/>
            <w:vAlign w:val="bottom"/>
          </w:tcPr>
          <w:p>
            <w:pPr>
              <w:spacing w:after="0"/>
              <w:rPr>
                <w:sz w:val="20"/>
                <w:szCs w:val="20"/>
                <w:color w:val="auto"/>
              </w:rPr>
            </w:pPr>
            <w:r>
              <w:rPr>
                <w:rFonts w:ascii="Arial" w:cs="Arial" w:eastAsia="Arial" w:hAnsi="Arial"/>
                <w:sz w:val="18"/>
                <w:szCs w:val="18"/>
                <w:color w:val="auto"/>
              </w:rPr>
              <w:t>Components of net periodic benefit (credit) cost:</w:t>
            </w: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Service cost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60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amortization of prior service credit</w:t>
            </w:r>
          </w:p>
        </w:tc>
        <w:tc>
          <w:tcPr>
            <w:tcW w:w="60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Amortization of loss</w:t>
            </w:r>
          </w:p>
        </w:tc>
        <w:tc>
          <w:tcPr>
            <w:tcW w:w="60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110"/>
        </w:trPr>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r>
        <w:trPr>
          <w:trHeight w:val="316"/>
        </w:trPr>
        <w:tc>
          <w:tcPr>
            <w:tcW w:w="3860" w:type="dxa"/>
            <w:vAlign w:val="bottom"/>
          </w:tcPr>
          <w:p>
            <w:pPr>
              <w:spacing w:after="0"/>
              <w:rPr>
                <w:sz w:val="20"/>
                <w:szCs w:val="20"/>
                <w:color w:val="auto"/>
              </w:rPr>
            </w:pPr>
            <w:r>
              <w:rPr>
                <w:rFonts w:ascii="Arial" w:cs="Arial" w:eastAsia="Arial" w:hAnsi="Arial"/>
                <w:sz w:val="18"/>
                <w:szCs w:val="18"/>
                <w:b w:val="1"/>
                <w:bCs w:val="1"/>
                <w:color w:val="auto"/>
              </w:rPr>
              <w:t>Net periodic benefit (credit) cost</w:t>
            </w:r>
          </w:p>
        </w:tc>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52"/>
              <w:spacing w:after="0"/>
              <w:rPr>
                <w:sz w:val="20"/>
                <w:szCs w:val="20"/>
                <w:color w:val="auto"/>
              </w:rPr>
            </w:pPr>
            <w:r>
              <w:rPr>
                <w:rFonts w:ascii="Arial" w:cs="Arial" w:eastAsia="Arial" w:hAnsi="Arial"/>
                <w:sz w:val="18"/>
                <w:szCs w:val="18"/>
                <w:b w:val="1"/>
                <w:bCs w:val="1"/>
                <w:color w:val="auto"/>
              </w:rPr>
              <w:t>1.3</w:t>
            </w:r>
          </w:p>
        </w:tc>
      </w:tr>
      <w:tr>
        <w:trPr>
          <w:trHeight w:val="110"/>
        </w:trPr>
        <w:tc>
          <w:tcPr>
            <w:tcW w:w="38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August 31, 2012, the Company contributed $1.9 to the U.S. Pension Plan and $0.5 to the UK Pension Plan.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based on actuarial calculations, to contribute cash of approximately $10.6 to the Pension Plans for the fiscal year ending May 31, 2013.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expense included in Selling, general and administrative expenses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rPr>
              <w:t>Three months ended</w:t>
            </w:r>
          </w:p>
        </w:tc>
        <w:tc>
          <w:tcPr>
            <w:tcW w:w="2880" w:type="dxa"/>
            <w:vAlign w:val="bottom"/>
          </w:tcPr>
          <w:p>
            <w:pPr>
              <w:spacing w:after="0"/>
              <w:rPr>
                <w:sz w:val="18"/>
                <w:szCs w:val="18"/>
                <w:color w:val="auto"/>
              </w:rPr>
            </w:pPr>
          </w:p>
        </w:tc>
      </w:tr>
      <w:tr>
        <w:trPr>
          <w:trHeight w:val="228"/>
        </w:trPr>
        <w:tc>
          <w:tcPr>
            <w:tcW w:w="4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August 31, 2012</w:t>
            </w:r>
          </w:p>
        </w:tc>
        <w:tc>
          <w:tcPr>
            <w:tcW w:w="36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b w:val="1"/>
                <w:bCs w:val="1"/>
                <w:color w:val="auto"/>
                <w:w w:val="93"/>
              </w:rPr>
              <w:t>August 31, 2011</w:t>
            </w:r>
          </w:p>
        </w:tc>
        <w:tc>
          <w:tcPr>
            <w:tcW w:w="2880" w:type="dxa"/>
            <w:vAlign w:val="bottom"/>
          </w:tcPr>
          <w:p>
            <w:pPr>
              <w:spacing w:after="0"/>
              <w:rPr>
                <w:sz w:val="19"/>
                <w:szCs w:val="19"/>
                <w:color w:val="auto"/>
              </w:rPr>
            </w:pPr>
          </w:p>
        </w:tc>
      </w:tr>
      <w:tr>
        <w:trPr>
          <w:trHeight w:val="110"/>
        </w:trPr>
        <w:tc>
          <w:tcPr>
            <w:tcW w:w="40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r>
      <w:tr>
        <w:trPr>
          <w:trHeight w:val="309"/>
        </w:trPr>
        <w:tc>
          <w:tcPr>
            <w:tcW w:w="4080" w:type="dxa"/>
            <w:vAlign w:val="bottom"/>
          </w:tcPr>
          <w:p>
            <w:pPr>
              <w:spacing w:after="0"/>
              <w:rPr>
                <w:sz w:val="20"/>
                <w:szCs w:val="20"/>
                <w:color w:val="auto"/>
              </w:rPr>
            </w:pPr>
            <w:r>
              <w:rPr>
                <w:rFonts w:ascii="Arial" w:cs="Arial" w:eastAsia="Arial" w:hAnsi="Arial"/>
                <w:sz w:val="18"/>
                <w:szCs w:val="18"/>
                <w:color w:val="auto"/>
              </w:rPr>
              <w:t>Stock option expense</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880" w:type="dxa"/>
            <w:vAlign w:val="bottom"/>
          </w:tcPr>
          <w:p>
            <w:pPr>
              <w:spacing w:after="0"/>
              <w:rPr>
                <w:sz w:val="24"/>
                <w:szCs w:val="24"/>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stock unit expense</w:t>
            </w:r>
          </w:p>
        </w:tc>
        <w:tc>
          <w:tcPr>
            <w:tcW w:w="124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0.9</w:t>
            </w:r>
          </w:p>
        </w:tc>
        <w:tc>
          <w:tcPr>
            <w:tcW w:w="36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288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Management stock purchase plan</w:t>
            </w:r>
          </w:p>
        </w:tc>
        <w:tc>
          <w:tcPr>
            <w:tcW w:w="124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880" w:type="dxa"/>
            <w:vAlign w:val="bottom"/>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Pr>
          <w:p>
            <w:pPr>
              <w:spacing w:after="0"/>
              <w:rPr>
                <w:sz w:val="19"/>
                <w:szCs w:val="19"/>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2880" w:type="dxa"/>
            <w:vAlign w:val="bottom"/>
          </w:tcPr>
          <w:p>
            <w:pPr>
              <w:spacing w:after="0"/>
              <w:rPr>
                <w:sz w:val="19"/>
                <w:szCs w:val="19"/>
                <w:color w:val="auto"/>
              </w:rPr>
            </w:pPr>
          </w:p>
        </w:tc>
      </w:tr>
      <w:tr>
        <w:trPr>
          <w:trHeight w:val="110"/>
        </w:trPr>
        <w:tc>
          <w:tcPr>
            <w:tcW w:w="40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r>
      <w:tr>
        <w:trPr>
          <w:trHeight w:val="464"/>
        </w:trPr>
        <w:tc>
          <w:tcPr>
            <w:tcW w:w="408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52"/>
              <w:spacing w:after="0"/>
              <w:rPr>
                <w:sz w:val="20"/>
                <w:szCs w:val="20"/>
                <w:color w:val="auto"/>
              </w:rPr>
            </w:pPr>
            <w:r>
              <w:rPr>
                <w:rFonts w:ascii="Arial" w:cs="Arial" w:eastAsia="Arial" w:hAnsi="Arial"/>
                <w:sz w:val="18"/>
                <w:szCs w:val="18"/>
                <w:b w:val="1"/>
                <w:bCs w:val="1"/>
                <w:color w:val="auto"/>
              </w:rPr>
              <w:t>2.2</w:t>
            </w:r>
          </w:p>
        </w:tc>
        <w:tc>
          <w:tcPr>
            <w:tcW w:w="2880" w:type="dxa"/>
            <w:vAlign w:val="bottom"/>
          </w:tcPr>
          <w:p>
            <w:pPr>
              <w:spacing w:after="0"/>
              <w:rPr>
                <w:sz w:val="24"/>
                <w:szCs w:val="24"/>
                <w:color w:val="auto"/>
              </w:rPr>
            </w:pPr>
          </w:p>
        </w:tc>
      </w:tr>
      <w:tr>
        <w:trPr>
          <w:trHeight w:val="110"/>
        </w:trPr>
        <w:tc>
          <w:tcPr>
            <w:tcW w:w="40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80" w:type="dxa"/>
            <w:vAlign w:val="bottom"/>
          </w:tcPr>
          <w:p>
            <w:pPr>
              <w:spacing w:after="0"/>
              <w:rPr>
                <w:sz w:val="9"/>
                <w:szCs w:val="9"/>
                <w:color w:val="auto"/>
              </w:rPr>
            </w:pPr>
          </w:p>
        </w:tc>
      </w:tr>
      <w:tr>
        <w:trPr>
          <w:trHeight w:val="532"/>
        </w:trPr>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jc w:val="right"/>
              <w:ind w:right="892"/>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61"/>
        </w:trPr>
        <w:tc>
          <w:tcPr>
            <w:tcW w:w="40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8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760"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Severance and Exit Costs</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Severance expense incurred by the Company was $1.3 during the three months ended August 31, 2012, $14.9 during the twelve months ended May 31, 2012 and $3.3 during the three months ended August 31, 2011. Accrued severance of $1.1, $2.7 and $2.4 as of August 31, 2012, May 31, 2012 and August 31, 2011, respectively, is included in “Other accrued expenses” on the Company’s condensed consolidated balance sheets. The table below provides information regarding the severance expense reported in the Company’s condensed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100" w:type="dxa"/>
            <w:vAlign w:val="bottom"/>
            <w:gridSpan w:val="2"/>
          </w:tcPr>
          <w:p>
            <w:pPr>
              <w:ind w:left="2380"/>
              <w:spacing w:after="0"/>
              <w:rPr>
                <w:sz w:val="20"/>
                <w:szCs w:val="20"/>
                <w:color w:val="auto"/>
              </w:rPr>
            </w:pPr>
            <w:r>
              <w:rPr>
                <w:rFonts w:ascii="Arial" w:cs="Arial" w:eastAsia="Arial" w:hAnsi="Arial"/>
                <w:sz w:val="18"/>
                <w:szCs w:val="18"/>
                <w:b w:val="1"/>
                <w:bCs w:val="1"/>
                <w:color w:val="auto"/>
                <w:w w:val="96"/>
              </w:rPr>
              <w:t>Three months ended</w:t>
            </w:r>
          </w:p>
        </w:tc>
        <w:tc>
          <w:tcPr>
            <w:tcW w:w="280" w:type="dxa"/>
            <w:vAlign w:val="bottom"/>
          </w:tcPr>
          <w:p>
            <w:pPr>
              <w:spacing w:after="0"/>
              <w:rPr>
                <w:sz w:val="18"/>
                <w:szCs w:val="18"/>
                <w:color w:val="auto"/>
              </w:rPr>
            </w:pPr>
          </w:p>
        </w:tc>
        <w:tc>
          <w:tcPr>
            <w:tcW w:w="1540" w:type="dxa"/>
            <w:vAlign w:val="bottom"/>
          </w:tcPr>
          <w:p>
            <w:pPr>
              <w:jc w:val="right"/>
              <w:ind w:right="292"/>
              <w:spacing w:after="0"/>
              <w:rPr>
                <w:sz w:val="20"/>
                <w:szCs w:val="20"/>
                <w:color w:val="auto"/>
              </w:rPr>
            </w:pPr>
            <w:r>
              <w:rPr>
                <w:rFonts w:ascii="Arial" w:cs="Arial" w:eastAsia="Arial" w:hAnsi="Arial"/>
                <w:sz w:val="18"/>
                <w:szCs w:val="18"/>
                <w:b w:val="1"/>
                <w:bCs w:val="1"/>
                <w:color w:val="auto"/>
                <w:w w:val="87"/>
              </w:rPr>
              <w:t>Twelve months</w:t>
            </w: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w w:val="93"/>
              </w:rPr>
              <w:t>Three months ended</w:t>
            </w:r>
          </w:p>
        </w:tc>
      </w:tr>
      <w:tr>
        <w:trPr>
          <w:trHeight w:val="228"/>
        </w:trPr>
        <w:tc>
          <w:tcPr>
            <w:tcW w:w="3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August 31, 2012</w:t>
            </w: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w w:val="98"/>
              </w:rPr>
              <w:t>ended May 31, 2012</w:t>
            </w:r>
          </w:p>
        </w:tc>
        <w:tc>
          <w:tcPr>
            <w:tcW w:w="280" w:type="dxa"/>
            <w:vAlign w:val="bottom"/>
          </w:tcPr>
          <w:p>
            <w:pPr>
              <w:spacing w:after="0"/>
              <w:rPr>
                <w:sz w:val="19"/>
                <w:szCs w:val="19"/>
                <w:color w:val="auto"/>
              </w:rPr>
            </w:pPr>
          </w:p>
        </w:tc>
        <w:tc>
          <w:tcPr>
            <w:tcW w:w="1540" w:type="dxa"/>
            <w:vAlign w:val="bottom"/>
          </w:tcPr>
          <w:p>
            <w:pPr>
              <w:jc w:val="right"/>
              <w:ind w:right="232"/>
              <w:spacing w:after="0"/>
              <w:rPr>
                <w:sz w:val="20"/>
                <w:szCs w:val="20"/>
                <w:color w:val="auto"/>
              </w:rPr>
            </w:pPr>
            <w:r>
              <w:rPr>
                <w:rFonts w:ascii="Arial" w:cs="Arial" w:eastAsia="Arial" w:hAnsi="Arial"/>
                <w:sz w:val="18"/>
                <w:szCs w:val="18"/>
                <w:b w:val="1"/>
                <w:bCs w:val="1"/>
                <w:color w:val="auto"/>
                <w:w w:val="87"/>
              </w:rPr>
              <w:t>August 31, 2011</w:t>
            </w:r>
          </w:p>
        </w:tc>
      </w:tr>
      <w:tr>
        <w:trPr>
          <w:trHeight w:val="110"/>
        </w:trPr>
        <w:tc>
          <w:tcPr>
            <w:tcW w:w="37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Beginning balance</w:t>
            </w:r>
          </w:p>
        </w:tc>
        <w:tc>
          <w:tcPr>
            <w:tcW w:w="2500" w:type="dxa"/>
            <w:vAlign w:val="bottom"/>
          </w:tcPr>
          <w:p>
            <w:pPr>
              <w:ind w:left="23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1.9</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Accruals</w:t>
            </w:r>
          </w:p>
        </w:tc>
        <w:tc>
          <w:tcPr>
            <w:tcW w:w="2500" w:type="dxa"/>
            <w:vAlign w:val="bottom"/>
          </w:tcPr>
          <w:p>
            <w:pPr>
              <w:spacing w:after="0"/>
              <w:rPr>
                <w:sz w:val="18"/>
                <w:szCs w:val="18"/>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3.3</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Payments</w:t>
            </w:r>
          </w:p>
        </w:tc>
        <w:tc>
          <w:tcPr>
            <w:tcW w:w="250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10"/>
        </w:trPr>
        <w:tc>
          <w:tcPr>
            <w:tcW w:w="37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316"/>
        </w:trPr>
        <w:tc>
          <w:tcPr>
            <w:tcW w:w="37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2500" w:type="dxa"/>
            <w:vAlign w:val="bottom"/>
          </w:tcPr>
          <w:p>
            <w:pPr>
              <w:ind w:left="238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12"/>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12"/>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b w:val="1"/>
                <w:bCs w:val="1"/>
                <w:color w:val="auto"/>
              </w:rPr>
              <w:t>2.4</w:t>
            </w:r>
          </w:p>
        </w:tc>
      </w:tr>
      <w:tr>
        <w:trPr>
          <w:trHeight w:val="110"/>
        </w:trPr>
        <w:tc>
          <w:tcPr>
            <w:tcW w:w="370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Board of Directors has authorized the Company to repurchase Common Stock, from time to time as conditions allow, on the open market or through negotiated private transactions. The table below represents the remaining Board authorization: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80" w:type="dxa"/>
            <w:vAlign w:val="bottom"/>
          </w:tcPr>
          <w:p>
            <w:pPr>
              <w:spacing w:after="0"/>
              <w:rPr>
                <w:sz w:val="20"/>
                <w:szCs w:val="20"/>
                <w:color w:val="auto"/>
              </w:rPr>
            </w:pPr>
            <w:r>
              <w:rPr>
                <w:rFonts w:ascii="Arial" w:cs="Arial" w:eastAsia="Arial" w:hAnsi="Arial"/>
                <w:sz w:val="18"/>
                <w:szCs w:val="18"/>
                <w:b w:val="1"/>
                <w:bCs w:val="1"/>
                <w:color w:val="auto"/>
              </w:rPr>
              <w:t>Board Authorization</w:t>
            </w:r>
          </w:p>
        </w:tc>
        <w:tc>
          <w:tcPr>
            <w:tcW w:w="1680" w:type="dxa"/>
            <w:vAlign w:val="bottom"/>
          </w:tcPr>
          <w:p>
            <w:pPr>
              <w:spacing w:after="0"/>
              <w:rPr>
                <w:sz w:val="19"/>
                <w:szCs w:val="19"/>
                <w:color w:val="auto"/>
              </w:rPr>
            </w:pP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Amount</w:t>
            </w:r>
          </w:p>
        </w:tc>
      </w:tr>
      <w:tr>
        <w:trPr>
          <w:trHeight w:val="110"/>
        </w:trPr>
        <w:tc>
          <w:tcPr>
            <w:tcW w:w="61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458"/>
        </w:trPr>
        <w:tc>
          <w:tcPr>
            <w:tcW w:w="6180" w:type="dxa"/>
            <w:vAlign w:val="bottom"/>
          </w:tcPr>
          <w:p>
            <w:pPr>
              <w:spacing w:after="0"/>
              <w:rPr>
                <w:sz w:val="20"/>
                <w:szCs w:val="20"/>
                <w:color w:val="auto"/>
              </w:rPr>
            </w:pPr>
            <w:r>
              <w:rPr>
                <w:rFonts w:ascii="Arial" w:cs="Arial" w:eastAsia="Arial" w:hAnsi="Arial"/>
                <w:sz w:val="18"/>
                <w:szCs w:val="18"/>
                <w:color w:val="auto"/>
              </w:rPr>
              <w:t>September 2010</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44.0</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Less repurchases made from November 2011 through August 2012</w:t>
            </w:r>
          </w:p>
        </w:tc>
        <w:tc>
          <w:tcPr>
            <w:tcW w:w="1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110"/>
        </w:trPr>
        <w:tc>
          <w:tcPr>
            <w:tcW w:w="61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464"/>
        </w:trPr>
        <w:tc>
          <w:tcPr>
            <w:tcW w:w="6180" w:type="dxa"/>
            <w:vAlign w:val="bottom"/>
          </w:tcPr>
          <w:p>
            <w:pPr>
              <w:spacing w:after="0"/>
              <w:rPr>
                <w:sz w:val="20"/>
                <w:szCs w:val="20"/>
                <w:color w:val="auto"/>
              </w:rPr>
            </w:pPr>
            <w:r>
              <w:rPr>
                <w:rFonts w:ascii="Arial" w:cs="Arial" w:eastAsia="Arial" w:hAnsi="Arial"/>
                <w:sz w:val="18"/>
                <w:szCs w:val="18"/>
                <w:color w:val="auto"/>
              </w:rPr>
              <w:t>Remaining Board authorization at August 31, 2012</w:t>
            </w: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31.4</w:t>
            </w:r>
          </w:p>
        </w:tc>
      </w:tr>
      <w:tr>
        <w:trPr>
          <w:trHeight w:val="110"/>
        </w:trPr>
        <w:tc>
          <w:tcPr>
            <w:tcW w:w="61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Company’s repurchase program may be suspended at any time without prior notice. No repurchases of Common Stock were made during the first fiscal quarter of 2013.</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3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68" w:lineRule="exact"/>
        <w:rPr>
          <w:sz w:val="20"/>
          <w:szCs w:val="20"/>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unadjusted quoted prices in active markets for identical assets or liabilities such as</w:t>
      </w:r>
    </w:p>
    <w:p>
      <w:pPr>
        <w:spacing w:after="0" w:line="272" w:lineRule="exact"/>
        <w:rPr>
          <w:sz w:val="20"/>
          <w:szCs w:val="20"/>
          <w:color w:val="auto"/>
        </w:rPr>
      </w:pPr>
    </w:p>
    <w:p>
      <w:pPr>
        <w:ind w:left="1360" w:hanging="21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 w:lineRule="exact"/>
        <w:rPr>
          <w:rFonts w:ascii="Arial" w:cs="Arial" w:eastAsia="Arial" w:hAnsi="Arial"/>
          <w:sz w:val="18"/>
          <w:szCs w:val="18"/>
          <w:color w:val="auto"/>
        </w:rPr>
      </w:pPr>
    </w:p>
    <w:p>
      <w:pPr>
        <w:ind w:left="1360" w:hanging="21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360" w:hanging="21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1360" w:hanging="214"/>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45" w:lineRule="exact"/>
        <w:rPr>
          <w:rFonts w:ascii="Arial" w:cs="Arial" w:eastAsia="Arial" w:hAnsi="Arial"/>
          <w:sz w:val="18"/>
          <w:szCs w:val="18"/>
          <w:color w:val="auto"/>
        </w:rPr>
      </w:pPr>
    </w:p>
    <w:p>
      <w:pPr>
        <w:ind w:left="680" w:right="340" w:hanging="334"/>
        <w:spacing w:after="0" w:line="275"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in which there is little or no market data available, which are significant to the fair value measurement and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develop its own assumptions.</w:t>
      </w:r>
    </w:p>
    <w:p>
      <w:pPr>
        <w:spacing w:after="0" w:line="18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5% Notes and its various lines of credit. See Note 4, “Debt,” for a more complete description of fair value measurements employed. The fair values of foreign currency forward contracts, used by the Company to manage the impact of foreign exchange rate changes to the financial statements, are based on quotations from financial institutions, a Level 2 fair value measure. See Note 15, “Derivatives and Hedging,” for a more complete description of fair value measurements employed.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19"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and Other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calculating the provision for income taxes on an interim basis, the Company uses an estimate of the annual effective tax rate based upon the facts and circumstances known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annual effective tax rate for the fiscal year ending May 31, 2013 is currently expected to be approximately 39.8%.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is currently under audit by the Internal Revenue Service for fiscal years ended May 31, 2007, 2008 and 2009. The Company is currently under audit by New York State for fiscal years ended May 31, 2006, 2007 and 2008, and by New York City for fiscal years ended May 31, 2005, 2006 and 2007. If any of these tax examinations are concluded within the next twelve months, the Company will make any necessary adjustments to its unrecognized tax benefits.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is subject to tax examinations for sales-based taxes. A number of these examinations are ongoing and, in certain cases, have resulted in assessments from taxing authorities. Where a liability associated with these examinations and assessments is probable and can be reliably estimated, the Company has made accruals for these matters which are reflected in the Company’s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 and Hedging</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gains of less than $0.1 and $0.1 were recognized at August 31, 2012 and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September 19, 2012, the Company announced that the Board of Directors declared a cash dividend of $0.125 per Class A and Common share in respect of the second quarter of fiscal 2013. The dividend is payable on December 17, 2012 to shareholders of record on October 31, 2012.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first quarter is generally its smallest revenue period as most schools are not in session, resulting in a seasonal loss.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Revenues for the quarter ended August 31, 2012 decreased by $24.4 million, or 7.7%, to $293.6 million, compared to $318.0 million in the prior fiscal year quarter. Lower educational technology product sales in the </w:t>
      </w:r>
      <w:r>
        <w:rPr>
          <w:rFonts w:ascii="Arial" w:cs="Arial" w:eastAsia="Arial" w:hAnsi="Arial"/>
          <w:sz w:val="16"/>
          <w:szCs w:val="16"/>
          <w:i w:val="1"/>
          <w:iCs w:val="1"/>
          <w:color w:val="auto"/>
        </w:rPr>
        <w:t>Educational Technology and Services</w:t>
      </w:r>
      <w:r>
        <w:rPr>
          <w:rFonts w:ascii="Arial" w:cs="Arial" w:eastAsia="Arial" w:hAnsi="Arial"/>
          <w:sz w:val="16"/>
          <w:szCs w:val="16"/>
          <w:color w:val="auto"/>
        </w:rPr>
        <w:t xml:space="preserve"> segment and lower revenues in the </w:t>
      </w:r>
      <w:r>
        <w:rPr>
          <w:rFonts w:ascii="Arial" w:cs="Arial" w:eastAsia="Arial" w:hAnsi="Arial"/>
          <w:sz w:val="16"/>
          <w:szCs w:val="16"/>
          <w:i w:val="1"/>
          <w:iCs w:val="1"/>
          <w:color w:val="auto"/>
        </w:rPr>
        <w:t>Classroom and Supplemental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Materials Publishing </w:t>
      </w:r>
      <w:r>
        <w:rPr>
          <w:rFonts w:ascii="Arial" w:cs="Arial" w:eastAsia="Arial" w:hAnsi="Arial"/>
          <w:sz w:val="16"/>
          <w:szCs w:val="16"/>
          <w:color w:val="auto"/>
        </w:rPr>
        <w:t>segment resulted from slower spending by school districts in the fiscal 2013 first quarter, due to uncertainties about the federal budget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upcoming Common Core State Standards, as well as from difficult prior year comparisons, due to new product launches affecting the first quarter of the prior year, as well as significant, federally funded contracts with Reading is Fundamental in the prior year. Trade revenues also decreased in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 primarily as a result of lower sales of the Harry Potter titles compared to the prior year first quarter in which the final Harry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Potter movie was released. Although sales of The Hunger Games in the U.S. held level relative to the prior fiscal year quarter, they have substantially decreased, as anticipated, from their peak sales during the fourth quarter of fiscal 2012. Continued sales growth of The Hunger Games abroad and in audio formats, however, contributed to higher profits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and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segments.</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quarter ended August 31, 2012, the net loss was $32.1 million, compared to a net loss of $27.1 million in the prior fiscal year quarter, due to the foregoing factors.</w:t>
      </w:r>
    </w:p>
    <w:p>
      <w:pPr>
        <w:spacing w:after="0" w:line="18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During the quarter, the Company prepared for its broad launch of Storia™, its children’s ereading app and ebook system, in tandem with this year’s school openings, and it continues to invest in new education products and is on schedule to introduce MATH 180™ and System 44 Next Generation</w:t>
      </w:r>
      <w:r>
        <w:rPr>
          <w:rFonts w:ascii="Arial" w:cs="Arial" w:eastAsia="Arial" w:hAnsi="Arial"/>
          <w:sz w:val="26"/>
          <w:szCs w:val="26"/>
          <w:color w:val="auto"/>
          <w:vertAlign w:val="superscript"/>
        </w:rPr>
        <w:t>®</w:t>
      </w:r>
      <w:r>
        <w:rPr>
          <w:rFonts w:ascii="Arial" w:cs="Arial" w:eastAsia="Arial" w:hAnsi="Arial"/>
          <w:sz w:val="16"/>
          <w:szCs w:val="16"/>
          <w:color w:val="auto"/>
        </w:rPr>
        <w:t>, among others, in fiscal 2014. The Company continues to anticipate total revenues of approximately $1.9 billion to $2.0 billion and earnings per diluted share from continuing operations in the range of $2.20 to $2.40, before the impact of any one-time items associated with cost reduction programs or non-cash, non-operating items.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 and Discontinued Operations</w:t>
      </w:r>
    </w:p>
    <w:p>
      <w:pPr>
        <w:spacing w:after="0" w:line="23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Revenues for the quarter ended August 31, 2012 decreased by $24.4 million, or 7.7%, to $293.6 million, compared to $318.0 million in the prior fiscal year quarter. This was due to lower revenues in the </w:t>
      </w:r>
      <w:r>
        <w:rPr>
          <w:rFonts w:ascii="Arial" w:cs="Arial" w:eastAsia="Arial" w:hAnsi="Arial"/>
          <w:sz w:val="16"/>
          <w:szCs w:val="16"/>
          <w:i w:val="1"/>
          <w:iCs w:val="1"/>
          <w:color w:val="auto"/>
        </w:rPr>
        <w:t>Educational Technology and Services, Classroom and Supplemental Materials Publishing</w:t>
      </w:r>
      <w:r>
        <w:rPr>
          <w:rFonts w:ascii="Arial" w:cs="Arial" w:eastAsia="Arial" w:hAnsi="Arial"/>
          <w:sz w:val="16"/>
          <w:szCs w:val="16"/>
          <w:color w:val="auto"/>
        </w:rPr>
        <w:t xml:space="preserve"> and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segments of $16.6 million, $7.8 million and $6.4 million, respectively, partially offset by higher revenues in the</w:t>
      </w:r>
      <w:r>
        <w:rPr>
          <w:rFonts w:ascii="Arial" w:cs="Arial" w:eastAsia="Arial" w:hAnsi="Arial"/>
          <w:sz w:val="16"/>
          <w:szCs w:val="16"/>
          <w:i w:val="1"/>
          <w:iCs w:val="1"/>
          <w:color w:val="auto"/>
        </w:rPr>
        <w:t xml:space="preserve"> Media, Licensing and Advertising </w:t>
      </w:r>
      <w:r>
        <w:rPr>
          <w:rFonts w:ascii="Arial" w:cs="Arial" w:eastAsia="Arial" w:hAnsi="Arial"/>
          <w:sz w:val="16"/>
          <w:szCs w:val="16"/>
          <w:color w:val="auto"/>
        </w:rPr>
        <w:t>and</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segments of $3.9 million and $2.5 million, respectively.</w:t>
      </w:r>
    </w:p>
    <w:p>
      <w:pPr>
        <w:spacing w:after="0" w:line="16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Cost of goods sold as a percentage of revenue for the quarter ended August 31, 2012 increased slightly to 51.5%, compared to 50.4% in the prior fiscal year quarter, primarily due to the effect of prepublication and production amortization on lower revenues in the current fiscal quarter, as well as unfavorable product mix related to fewer sales of higher margin educational technology products in the current fiscal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Cost of goods sold for the three months ended August 31, 2012 and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54457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20" w:type="dxa"/>
            <w:vAlign w:val="bottom"/>
            <w:gridSpan w:val="3"/>
          </w:tcPr>
          <w:p>
            <w:pPr>
              <w:jc w:val="right"/>
              <w:ind w:right="992"/>
              <w:spacing w:after="0"/>
              <w:rPr>
                <w:sz w:val="20"/>
                <w:szCs w:val="20"/>
                <w:color w:val="auto"/>
              </w:rPr>
            </w:pPr>
            <w:r>
              <w:rPr>
                <w:rFonts w:ascii="Arial" w:cs="Arial" w:eastAsia="Arial" w:hAnsi="Arial"/>
                <w:sz w:val="18"/>
                <w:szCs w:val="18"/>
                <w:color w:val="auto"/>
              </w:rPr>
              <w:t>Three months ended</w:t>
            </w:r>
          </w:p>
        </w:tc>
      </w:tr>
      <w:tr>
        <w:trPr>
          <w:trHeight w:val="222"/>
        </w:trPr>
        <w:tc>
          <w:tcPr>
            <w:tcW w:w="4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w w:val="89"/>
              </w:rPr>
              <w:t>August 31, 2012</w:t>
            </w:r>
          </w:p>
        </w:tc>
        <w:tc>
          <w:tcPr>
            <w:tcW w:w="280" w:type="dxa"/>
            <w:vAlign w:val="bottom"/>
          </w:tcPr>
          <w:p>
            <w:pPr>
              <w:spacing w:after="0"/>
              <w:rPr>
                <w:sz w:val="19"/>
                <w:szCs w:val="19"/>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w w:val="89"/>
              </w:rPr>
              <w:t>August 31, 2011</w:t>
            </w:r>
          </w:p>
        </w:tc>
      </w:tr>
      <w:tr>
        <w:trPr>
          <w:trHeight w:val="110"/>
        </w:trPr>
        <w:tc>
          <w:tcPr>
            <w:tcW w:w="4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09"/>
        </w:trPr>
        <w:tc>
          <w:tcPr>
            <w:tcW w:w="4100" w:type="dxa"/>
            <w:vAlign w:val="bottom"/>
          </w:tcPr>
          <w:p>
            <w:pPr>
              <w:spacing w:after="0"/>
              <w:rPr>
                <w:sz w:val="20"/>
                <w:szCs w:val="20"/>
                <w:color w:val="auto"/>
              </w:rPr>
            </w:pPr>
            <w:r>
              <w:rPr>
                <w:rFonts w:ascii="Arial" w:cs="Arial" w:eastAsia="Arial" w:hAnsi="Arial"/>
                <w:sz w:val="18"/>
                <w:szCs w:val="18"/>
                <w:color w:val="auto"/>
              </w:rPr>
              <w:t>Product, service and production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72.6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79.5</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Royalty costs</w:t>
            </w:r>
          </w:p>
        </w:tc>
        <w:tc>
          <w:tcPr>
            <w:tcW w:w="1160" w:type="dxa"/>
            <w:vAlign w:val="bottom"/>
          </w:tcPr>
          <w:p>
            <w:pPr>
              <w:spacing w:after="0"/>
              <w:rPr>
                <w:sz w:val="18"/>
                <w:szCs w:val="18"/>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8"/>
                <w:szCs w:val="18"/>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22.9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Prepublication and production amortization</w:t>
            </w:r>
          </w:p>
        </w:tc>
        <w:tc>
          <w:tcPr>
            <w:tcW w:w="1160" w:type="dxa"/>
            <w:vAlign w:val="bottom"/>
          </w:tcPr>
          <w:p>
            <w:pPr>
              <w:spacing w:after="0"/>
              <w:rPr>
                <w:sz w:val="18"/>
                <w:szCs w:val="18"/>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11.8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Postage, freight, shipping, fulfillment and</w:t>
            </w: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all other costs</w:t>
            </w:r>
          </w:p>
        </w:tc>
        <w:tc>
          <w:tcPr>
            <w:tcW w:w="116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46.2</w:t>
            </w:r>
          </w:p>
        </w:tc>
      </w:tr>
      <w:tr>
        <w:trPr>
          <w:trHeight w:val="110"/>
        </w:trPr>
        <w:tc>
          <w:tcPr>
            <w:tcW w:w="4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r>
        <w:trPr>
          <w:trHeight w:val="316"/>
        </w:trPr>
        <w:tc>
          <w:tcPr>
            <w:tcW w:w="4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151.1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160.4</w:t>
            </w:r>
          </w:p>
        </w:tc>
      </w:tr>
      <w:tr>
        <w:trPr>
          <w:trHeight w:val="110"/>
        </w:trPr>
        <w:tc>
          <w:tcPr>
            <w:tcW w:w="4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 xml:space="preserve">Selling, general and administrative expenses decreased to $173.9 million in the quarter, compared to $175.7 million in the prior fiscal year quarter, due to lower bad debt expenses, primarily in the Company’s </w:t>
      </w:r>
      <w:r>
        <w:rPr>
          <w:rFonts w:ascii="Arial" w:cs="Arial" w:eastAsia="Arial" w:hAnsi="Arial"/>
          <w:sz w:val="15"/>
          <w:szCs w:val="15"/>
          <w:i w:val="1"/>
          <w:iCs w:val="1"/>
          <w:color w:val="auto"/>
        </w:rPr>
        <w:t>Classroom and Supplemental Materials Publishing</w:t>
      </w:r>
      <w:r>
        <w:rPr>
          <w:rFonts w:ascii="Arial" w:cs="Arial" w:eastAsia="Arial" w:hAnsi="Arial"/>
          <w:sz w:val="15"/>
          <w:szCs w:val="15"/>
          <w:color w:val="auto"/>
        </w:rPr>
        <w:t xml:space="preserve"> segment, as well as lower employee-related expenses.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Net interest expense decreased slightly to $3.7 million in the quarter ended August 31, 2012, compared to $3.9 million in the prior fiscal year quarter, related to lower debt levels.</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loss from discontinued operations, net of tax, was $0.1 million, or less than $0.01 per share, for the quarter ended August 31, 2012, compared to $2.0 million, or $0.06 per share, in the prior fiscal year quarter. The decrease in such loss reflects asset impairments recognized in the Company’s toy catalog business which was discontinued in the quarter ended August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60" w:type="dxa"/>
            <w:vAlign w:val="bottom"/>
            <w:gridSpan w:val="3"/>
          </w:tcPr>
          <w:p>
            <w:pPr>
              <w:jc w:val="right"/>
              <w:ind w:right="872"/>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w w:val="93"/>
              </w:rPr>
              <w:t>August 31,</w:t>
            </w:r>
          </w:p>
        </w:tc>
        <w:tc>
          <w:tcPr>
            <w:tcW w:w="320" w:type="dxa"/>
            <w:vAlign w:val="bottom"/>
          </w:tcPr>
          <w:p>
            <w:pPr>
              <w:spacing w:after="0"/>
              <w:rPr>
                <w:sz w:val="18"/>
                <w:szCs w:val="18"/>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b w:val="1"/>
                <w:bCs w:val="1"/>
                <w:color w:val="auto"/>
                <w:w w:val="95"/>
              </w:rPr>
              <w:t>August 31,</w:t>
            </w:r>
          </w:p>
        </w:tc>
        <w:tc>
          <w:tcPr>
            <w:tcW w:w="400" w:type="dxa"/>
            <w:vAlign w:val="bottom"/>
          </w:tcPr>
          <w:p>
            <w:pPr>
              <w:spacing w:after="0"/>
              <w:rPr>
                <w:sz w:val="18"/>
                <w:szCs w:val="18"/>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80" w:type="dxa"/>
            <w:vAlign w:val="bottom"/>
          </w:tcPr>
          <w:p>
            <w:pPr>
              <w:spacing w:after="0"/>
              <w:rPr>
                <w:sz w:val="19"/>
                <w:szCs w:val="19"/>
                <w:color w:val="auto"/>
              </w:rPr>
            </w:pPr>
          </w:p>
        </w:tc>
        <w:tc>
          <w:tcPr>
            <w:tcW w:w="1360" w:type="dxa"/>
            <w:vAlign w:val="bottom"/>
          </w:tcPr>
          <w:p>
            <w:pPr>
              <w:jc w:val="right"/>
              <w:ind w:right="612"/>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138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520" w:type="dxa"/>
            <w:vAlign w:val="bottom"/>
          </w:tcPr>
          <w:p>
            <w:pPr>
              <w:jc w:val="right"/>
              <w:ind w:right="752"/>
              <w:spacing w:after="0"/>
              <w:rPr>
                <w:sz w:val="20"/>
                <w:szCs w:val="20"/>
                <w:color w:val="auto"/>
              </w:rPr>
            </w:pPr>
            <w:r>
              <w:rPr>
                <w:rFonts w:ascii="Arial" w:cs="Arial" w:eastAsia="Arial" w:hAnsi="Arial"/>
                <w:sz w:val="18"/>
                <w:szCs w:val="18"/>
                <w:b w:val="1"/>
                <w:bCs w:val="1"/>
                <w:color w:val="auto"/>
              </w:rPr>
              <w:t>change</w:t>
            </w:r>
          </w:p>
        </w:tc>
        <w:tc>
          <w:tcPr>
            <w:tcW w:w="1500" w:type="dxa"/>
            <w:vAlign w:val="bottom"/>
          </w:tcPr>
          <w:p>
            <w:pPr>
              <w:jc w:val="right"/>
              <w:ind w:right="5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71.1</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77.5</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(6.4)</w:t>
            </w:r>
          </w:p>
        </w:tc>
        <w:tc>
          <w:tcPr>
            <w:tcW w:w="1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(55.2)</w:t>
            </w:r>
          </w:p>
        </w:tc>
        <w:tc>
          <w:tcPr>
            <w:tcW w:w="3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(50.2)</w:t>
            </w:r>
          </w:p>
        </w:tc>
        <w:tc>
          <w:tcPr>
            <w:tcW w:w="40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(5.0)</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5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50" w:lineRule="exact"/>
        <w:rPr>
          <w:sz w:val="20"/>
          <w:szCs w:val="20"/>
          <w:color w:val="auto"/>
        </w:rPr>
      </w:pPr>
    </w:p>
    <w:p>
      <w:pPr>
        <w:ind w:left="920" w:hanging="453"/>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for the quarter ended August 31, 2012 decreased by $6.4 million, or 8.3%, to $71.1 million, compared to $77.5 million in the prior fiscal year quarter. This decrease was primarily related to lower revenue in the Company’s trade business, reflecting lower sales of Harry Potter titles relative to the prior fiscal year quarter when the final Harry Potter movie was released, partially offset by strong sales of other new titles. Sales of The Hunger Games trilogy were level with the prior fiscal year quarter, but have decreased substantially, as anticipated, from the fourth quarter of fiscal 2012, when sales of the series in the U.S. reached their peak. School book clubs and book fairs have minimal activity in the Company’s first fiscal quarter, as most schools are not in session.</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Segment operating loss for the quarter ended August 31, 2012 was $55.2 million, compared to a loss of $50.2 million in the prior fiscal year quarter, principally due to the Company’s continued investment in its digital initiatives.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Educational Technology and Services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gridSpan w:val="3"/>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center"/>
              <w:ind w:right="372"/>
              <w:spacing w:after="0"/>
              <w:rPr>
                <w:sz w:val="20"/>
                <w:szCs w:val="20"/>
                <w:color w:val="auto"/>
              </w:rPr>
            </w:pPr>
            <w:r>
              <w:rPr>
                <w:rFonts w:ascii="Arial" w:cs="Arial" w:eastAsia="Arial" w:hAnsi="Arial"/>
                <w:sz w:val="18"/>
                <w:szCs w:val="18"/>
                <w:b w:val="1"/>
                <w:bCs w:val="1"/>
                <w:color w:val="auto"/>
                <w:w w:val="86"/>
              </w:rPr>
              <w:t>August 31,</w:t>
            </w:r>
          </w:p>
        </w:tc>
        <w:tc>
          <w:tcPr>
            <w:tcW w:w="260" w:type="dxa"/>
            <w:vAlign w:val="bottom"/>
          </w:tcPr>
          <w:p>
            <w:pPr>
              <w:spacing w:after="0"/>
              <w:rPr>
                <w:sz w:val="18"/>
                <w:szCs w:val="18"/>
                <w:color w:val="auto"/>
              </w:rPr>
            </w:pPr>
          </w:p>
        </w:tc>
        <w:tc>
          <w:tcPr>
            <w:tcW w:w="1440" w:type="dxa"/>
            <w:vAlign w:val="bottom"/>
          </w:tcPr>
          <w:p>
            <w:pPr>
              <w:jc w:val="center"/>
              <w:ind w:right="352"/>
              <w:spacing w:after="0"/>
              <w:rPr>
                <w:sz w:val="20"/>
                <w:szCs w:val="20"/>
                <w:color w:val="auto"/>
              </w:rPr>
            </w:pPr>
            <w:r>
              <w:rPr>
                <w:rFonts w:ascii="Arial" w:cs="Arial" w:eastAsia="Arial" w:hAnsi="Arial"/>
                <w:sz w:val="18"/>
                <w:szCs w:val="18"/>
                <w:b w:val="1"/>
                <w:bCs w:val="1"/>
                <w:color w:val="auto"/>
                <w:w w:val="86"/>
              </w:rPr>
              <w:t>August 31,</w:t>
            </w:r>
          </w:p>
        </w:tc>
        <w:tc>
          <w:tcPr>
            <w:tcW w:w="340" w:type="dxa"/>
            <w:vAlign w:val="bottom"/>
          </w:tcPr>
          <w:p>
            <w:pPr>
              <w:spacing w:after="0"/>
              <w:rPr>
                <w:sz w:val="18"/>
                <w:szCs w:val="18"/>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80" w:type="dxa"/>
            <w:vAlign w:val="bottom"/>
          </w:tcPr>
          <w:p>
            <w:pPr>
              <w:spacing w:after="0"/>
              <w:rPr>
                <w:sz w:val="19"/>
                <w:szCs w:val="19"/>
                <w:color w:val="auto"/>
              </w:rPr>
            </w:pPr>
          </w:p>
        </w:tc>
        <w:tc>
          <w:tcPr>
            <w:tcW w:w="1420" w:type="dxa"/>
            <w:vAlign w:val="bottom"/>
          </w:tcPr>
          <w:p>
            <w:pPr>
              <w:jc w:val="right"/>
              <w:ind w:right="67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9"/>
                <w:szCs w:val="19"/>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9"/>
                <w:szCs w:val="19"/>
                <w:color w:val="auto"/>
              </w:rPr>
            </w:pPr>
          </w:p>
        </w:tc>
        <w:tc>
          <w:tcPr>
            <w:tcW w:w="1520" w:type="dxa"/>
            <w:vAlign w:val="bottom"/>
          </w:tcPr>
          <w:p>
            <w:pPr>
              <w:jc w:val="right"/>
              <w:ind w:right="752"/>
              <w:spacing w:after="0"/>
              <w:rPr>
                <w:sz w:val="20"/>
                <w:szCs w:val="20"/>
                <w:color w:val="auto"/>
              </w:rPr>
            </w:pPr>
            <w:r>
              <w:rPr>
                <w:rFonts w:ascii="Arial" w:cs="Arial" w:eastAsia="Arial" w:hAnsi="Arial"/>
                <w:sz w:val="18"/>
                <w:szCs w:val="18"/>
                <w:b w:val="1"/>
                <w:bCs w:val="1"/>
                <w:color w:val="auto"/>
              </w:rPr>
              <w:t>change</w:t>
            </w:r>
          </w:p>
        </w:tc>
        <w:tc>
          <w:tcPr>
            <w:tcW w:w="1500" w:type="dxa"/>
            <w:vAlign w:val="bottom"/>
          </w:tcPr>
          <w:p>
            <w:pPr>
              <w:jc w:val="right"/>
              <w:ind w:right="5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ind w:left="860"/>
              <w:spacing w:after="0"/>
              <w:rPr>
                <w:sz w:val="20"/>
                <w:szCs w:val="20"/>
                <w:color w:val="auto"/>
              </w:rPr>
            </w:pPr>
            <w:r>
              <w:rPr>
                <w:rFonts w:ascii="Arial" w:cs="Arial" w:eastAsia="Arial" w:hAnsi="Arial"/>
                <w:sz w:val="18"/>
                <w:szCs w:val="18"/>
                <w:color w:val="auto"/>
              </w:rPr>
              <w:t>80.0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ind w:left="880"/>
              <w:spacing w:after="0"/>
              <w:rPr>
                <w:sz w:val="20"/>
                <w:szCs w:val="20"/>
                <w:color w:val="auto"/>
              </w:rPr>
            </w:pPr>
            <w:r>
              <w:rPr>
                <w:rFonts w:ascii="Arial" w:cs="Arial" w:eastAsia="Arial" w:hAnsi="Arial"/>
                <w:sz w:val="18"/>
                <w:szCs w:val="18"/>
                <w:color w:val="auto"/>
              </w:rPr>
              <w:t>96.6</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(16.6)</w:t>
            </w:r>
          </w:p>
        </w:tc>
        <w:tc>
          <w:tcPr>
            <w:tcW w:w="15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365"/>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420" w:type="dxa"/>
            <w:vAlign w:val="bottom"/>
          </w:tcPr>
          <w:p>
            <w:pPr>
              <w:ind w:left="860"/>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4"/>
                <w:szCs w:val="24"/>
                <w:color w:val="auto"/>
              </w:rPr>
            </w:pPr>
          </w:p>
        </w:tc>
        <w:tc>
          <w:tcPr>
            <w:tcW w:w="1440" w:type="dxa"/>
            <w:vAlign w:val="bottom"/>
          </w:tcPr>
          <w:p>
            <w:pPr>
              <w:ind w:left="880"/>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(14.0)</w:t>
            </w:r>
          </w:p>
        </w:tc>
        <w:tc>
          <w:tcPr>
            <w:tcW w:w="15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580" w:type="dxa"/>
            <w:vAlign w:val="bottom"/>
          </w:tcPr>
          <w:p>
            <w:pPr>
              <w:spacing w:after="0"/>
              <w:rPr>
                <w:sz w:val="24"/>
                <w:szCs w:val="24"/>
                <w:color w:val="auto"/>
              </w:rPr>
            </w:pPr>
          </w:p>
        </w:tc>
        <w:tc>
          <w:tcPr>
            <w:tcW w:w="1420" w:type="dxa"/>
            <w:vAlign w:val="bottom"/>
          </w:tcPr>
          <w:p>
            <w:pPr>
              <w:ind w:left="86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24"/>
                <w:szCs w:val="24"/>
                <w:color w:val="auto"/>
              </w:rPr>
            </w:pPr>
          </w:p>
        </w:tc>
        <w:tc>
          <w:tcPr>
            <w:tcW w:w="1440" w:type="dxa"/>
            <w:vAlign w:val="bottom"/>
          </w:tcPr>
          <w:p>
            <w:pPr>
              <w:ind w:left="880"/>
              <w:spacing w:after="0"/>
              <w:rPr>
                <w:sz w:val="20"/>
                <w:szCs w:val="20"/>
                <w:color w:val="auto"/>
              </w:rPr>
            </w:pPr>
            <w:r>
              <w:rPr>
                <w:rFonts w:ascii="Arial" w:cs="Arial" w:eastAsia="Arial" w:hAnsi="Arial"/>
                <w:sz w:val="18"/>
                <w:szCs w:val="18"/>
                <w:b w:val="1"/>
                <w:bCs w:val="1"/>
                <w:color w:val="auto"/>
              </w:rPr>
              <w:t>40.2%</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Educational Technology and Services</w:t>
      </w:r>
      <w:r>
        <w:rPr>
          <w:rFonts w:ascii="Arial" w:cs="Arial" w:eastAsia="Arial" w:hAnsi="Arial"/>
          <w:sz w:val="18"/>
          <w:szCs w:val="18"/>
          <w:color w:val="auto"/>
        </w:rPr>
        <w:t xml:space="preserve"> segment for the quarter ended August 31, 2012 decreased by $16.6 million, to $80.0 million, compared to $96.6 million in the prior fiscal year quarter, reflecting lower spending by school districts in the first quarter of fiscal 2013, as well as strong sales of new products in the prior fiscal year quarter.</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Segment operating income for the quarter ended August 31, 2012 decreased by $14.0 million to $24.8 million, compared to $38.8 million in the prior fiscal year quarter, reflecting the decline in higher-margin curriculum product sales in the quarter, partially offset by increased sales of consulting services and assessment programs.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2"/>
              </w:rPr>
              <w:t>Classroom and Supplemental Materials Publishing</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433"/>
        </w:trPr>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2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w w:val="93"/>
              </w:rPr>
              <w:t>August 31,</w:t>
            </w:r>
          </w:p>
        </w:tc>
        <w:tc>
          <w:tcPr>
            <w:tcW w:w="320" w:type="dxa"/>
            <w:vAlign w:val="bottom"/>
          </w:tcPr>
          <w:p>
            <w:pPr>
              <w:spacing w:after="0"/>
              <w:rPr>
                <w:sz w:val="18"/>
                <w:szCs w:val="18"/>
                <w:color w:val="auto"/>
              </w:rPr>
            </w:pP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w w:val="95"/>
              </w:rPr>
              <w:t>August 31,</w:t>
            </w:r>
          </w:p>
        </w:tc>
        <w:tc>
          <w:tcPr>
            <w:tcW w:w="340" w:type="dxa"/>
            <w:vAlign w:val="bottom"/>
          </w:tcPr>
          <w:p>
            <w:pPr>
              <w:spacing w:after="0"/>
              <w:rPr>
                <w:sz w:val="18"/>
                <w:szCs w:val="18"/>
                <w:color w:val="auto"/>
              </w:rPr>
            </w:pPr>
          </w:p>
        </w:tc>
        <w:tc>
          <w:tcPr>
            <w:tcW w:w="1520" w:type="dxa"/>
            <w:vAlign w:val="bottom"/>
          </w:tcPr>
          <w:p>
            <w:pPr>
              <w:jc w:val="right"/>
              <w:ind w:right="972"/>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80" w:type="dxa"/>
            <w:vAlign w:val="bottom"/>
          </w:tcPr>
          <w:p>
            <w:pPr>
              <w:spacing w:after="0"/>
              <w:rPr>
                <w:sz w:val="19"/>
                <w:szCs w:val="19"/>
                <w:color w:val="auto"/>
              </w:rPr>
            </w:pPr>
          </w:p>
        </w:tc>
        <w:tc>
          <w:tcPr>
            <w:tcW w:w="1360" w:type="dxa"/>
            <w:vAlign w:val="bottom"/>
          </w:tcPr>
          <w:p>
            <w:pPr>
              <w:jc w:val="right"/>
              <w:ind w:right="612"/>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9"/>
                <w:szCs w:val="19"/>
                <w:color w:val="auto"/>
              </w:rPr>
            </w:pPr>
          </w:p>
        </w:tc>
        <w:tc>
          <w:tcPr>
            <w:tcW w:w="1520" w:type="dxa"/>
            <w:vAlign w:val="bottom"/>
          </w:tcPr>
          <w:p>
            <w:pPr>
              <w:jc w:val="right"/>
              <w:ind w:right="752"/>
              <w:spacing w:after="0"/>
              <w:rPr>
                <w:sz w:val="20"/>
                <w:szCs w:val="20"/>
                <w:color w:val="auto"/>
              </w:rPr>
            </w:pPr>
            <w:r>
              <w:rPr>
                <w:rFonts w:ascii="Arial" w:cs="Arial" w:eastAsia="Arial" w:hAnsi="Arial"/>
                <w:sz w:val="18"/>
                <w:szCs w:val="18"/>
                <w:b w:val="1"/>
                <w:bCs w:val="1"/>
                <w:color w:val="auto"/>
              </w:rPr>
              <w:t>change</w:t>
            </w:r>
          </w:p>
        </w:tc>
        <w:tc>
          <w:tcPr>
            <w:tcW w:w="1500" w:type="dxa"/>
            <w:vAlign w:val="bottom"/>
          </w:tcPr>
          <w:p>
            <w:pPr>
              <w:jc w:val="right"/>
              <w:ind w:right="5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37.9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45.7</w:t>
            </w:r>
          </w:p>
        </w:tc>
        <w:tc>
          <w:tcPr>
            <w:tcW w:w="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(7.8)</w:t>
            </w:r>
          </w:p>
        </w:tc>
        <w:tc>
          <w:tcPr>
            <w:tcW w:w="15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365"/>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58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50" w:lineRule="exact"/>
        <w:rPr>
          <w:sz w:val="20"/>
          <w:szCs w:val="20"/>
          <w:color w:val="auto"/>
        </w:rPr>
      </w:pPr>
    </w:p>
    <w:p>
      <w:pPr>
        <w:ind w:left="920" w:hanging="45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Classroom and Supplemental Materials Publishing</w:t>
      </w:r>
      <w:r>
        <w:rPr>
          <w:rFonts w:ascii="Arial" w:cs="Arial" w:eastAsia="Arial" w:hAnsi="Arial"/>
          <w:sz w:val="18"/>
          <w:szCs w:val="18"/>
          <w:color w:val="auto"/>
        </w:rPr>
        <w:t xml:space="preserve"> segment for the quarter ended August 31, 2012 decreased by $7.8 million, or 17.1%, to $37.9 million, compared to $45.7 million in the prior fiscal year quarter, when results benefitted significantly from non-recurring contracts with Reading Is Fundamental, prior to the expiration of federal funds for the program, as well as new product launches.</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Segment operating loss was $2.6 million compared to operating income of $2.1 million in the prior fiscal quarter. The $4.7 million decline in results was primarily due to the lower revenues noted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3"/>
        </w:trPr>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60" w:type="dxa"/>
            <w:vAlign w:val="bottom"/>
            <w:gridSpan w:val="3"/>
          </w:tcPr>
          <w:p>
            <w:pPr>
              <w:jc w:val="right"/>
              <w:ind w:right="872"/>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b w:val="1"/>
                <w:bCs w:val="1"/>
                <w:color w:val="auto"/>
                <w:w w:val="93"/>
              </w:rPr>
              <w:t>August 31,</w:t>
            </w:r>
          </w:p>
        </w:tc>
        <w:tc>
          <w:tcPr>
            <w:tcW w:w="260" w:type="dxa"/>
            <w:vAlign w:val="bottom"/>
          </w:tcPr>
          <w:p>
            <w:pPr>
              <w:spacing w:after="0"/>
              <w:rPr>
                <w:sz w:val="18"/>
                <w:szCs w:val="18"/>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b w:val="1"/>
                <w:bCs w:val="1"/>
                <w:color w:val="auto"/>
                <w:w w:val="95"/>
              </w:rPr>
              <w:t>August 31,</w:t>
            </w:r>
          </w:p>
        </w:tc>
        <w:tc>
          <w:tcPr>
            <w:tcW w:w="400" w:type="dxa"/>
            <w:vAlign w:val="bottom"/>
          </w:tcPr>
          <w:p>
            <w:pPr>
              <w:spacing w:after="0"/>
              <w:rPr>
                <w:sz w:val="18"/>
                <w:szCs w:val="18"/>
                <w:color w:val="auto"/>
              </w:rPr>
            </w:pPr>
          </w:p>
        </w:tc>
        <w:tc>
          <w:tcPr>
            <w:tcW w:w="1480" w:type="dxa"/>
            <w:vAlign w:val="bottom"/>
          </w:tcPr>
          <w:p>
            <w:pPr>
              <w:jc w:val="right"/>
              <w:ind w:right="932"/>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r>
      <w:tr>
        <w:trPr>
          <w:trHeight w:val="228"/>
        </w:trPr>
        <w:tc>
          <w:tcPr>
            <w:tcW w:w="21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580" w:type="dxa"/>
            <w:vAlign w:val="bottom"/>
          </w:tcPr>
          <w:p>
            <w:pPr>
              <w:spacing w:after="0"/>
              <w:rPr>
                <w:sz w:val="19"/>
                <w:szCs w:val="19"/>
                <w:color w:val="auto"/>
              </w:rPr>
            </w:pPr>
          </w:p>
        </w:tc>
        <w:tc>
          <w:tcPr>
            <w:tcW w:w="1420" w:type="dxa"/>
            <w:vAlign w:val="bottom"/>
          </w:tcPr>
          <w:p>
            <w:pPr>
              <w:jc w:val="right"/>
              <w:ind w:right="67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9"/>
                <w:szCs w:val="19"/>
                <w:color w:val="auto"/>
              </w:rPr>
            </w:pPr>
          </w:p>
        </w:tc>
        <w:tc>
          <w:tcPr>
            <w:tcW w:w="138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80" w:type="dxa"/>
            <w:vAlign w:val="bottom"/>
          </w:tcPr>
          <w:p>
            <w:pPr>
              <w:jc w:val="right"/>
              <w:ind w:right="712"/>
              <w:spacing w:after="0"/>
              <w:rPr>
                <w:sz w:val="20"/>
                <w:szCs w:val="20"/>
                <w:color w:val="auto"/>
              </w:rPr>
            </w:pPr>
            <w:r>
              <w:rPr>
                <w:rFonts w:ascii="Arial" w:cs="Arial" w:eastAsia="Arial" w:hAnsi="Arial"/>
                <w:sz w:val="18"/>
                <w:szCs w:val="18"/>
                <w:b w:val="1"/>
                <w:bCs w:val="1"/>
                <w:color w:val="auto"/>
              </w:rPr>
              <w:t>change</w:t>
            </w:r>
          </w:p>
        </w:tc>
        <w:tc>
          <w:tcPr>
            <w:tcW w:w="1540" w:type="dxa"/>
            <w:vAlign w:val="bottom"/>
          </w:tcPr>
          <w:p>
            <w:pPr>
              <w:jc w:val="right"/>
              <w:ind w:right="5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90.2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87.7</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2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4"/>
                <w:szCs w:val="24"/>
                <w:color w:val="auto"/>
              </w:rPr>
            </w:pP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2.9</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110"/>
        </w:trPr>
        <w:tc>
          <w:tcPr>
            <w:tcW w:w="2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64"/>
        </w:trPr>
        <w:tc>
          <w:tcPr>
            <w:tcW w:w="21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5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24"/>
                <w:szCs w:val="24"/>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50" w:lineRule="exact"/>
        <w:rPr>
          <w:sz w:val="20"/>
          <w:szCs w:val="20"/>
          <w:color w:val="auto"/>
        </w:rPr>
      </w:pPr>
    </w:p>
    <w:p>
      <w:pPr>
        <w:ind w:left="920" w:hanging="453"/>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for the quarter ended August 31, 2012 increased by $2.5 million, or 2.9%, to $90.2 million, compared to $87.7 million in the prior fiscal year quarter, due to favorable results in the Company’s UK and Canada operations, partly reflecting continued strong sales of The Hunger Games series, partially offset by lower sales in Asia and the negative impact of foreign currency exchange rates of $4.4 million.</w:t>
      </w:r>
    </w:p>
    <w:p>
      <w:pPr>
        <w:spacing w:after="0" w:line="161"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Segment operating income for the quarter ended August 31, 2012 was $2.8 million, compared to an operating loss of $0.1 million in the prior fiscal year quarter, primarily due to the higher revenues noted above, partially offset by the negative impact of foreign currency exchange rates.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5"/>
              </w:rPr>
              <w:t>Media, Licensing and Advertising</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3"/>
        </w:trPr>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3"/>
          </w:tcPr>
          <w:p>
            <w:pPr>
              <w:jc w:val="right"/>
              <w:ind w:right="872"/>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92"/>
              <w:spacing w:after="0"/>
              <w:rPr>
                <w:sz w:val="20"/>
                <w:szCs w:val="20"/>
                <w:color w:val="auto"/>
              </w:rPr>
            </w:pPr>
            <w:r>
              <w:rPr>
                <w:rFonts w:ascii="Arial" w:cs="Arial" w:eastAsia="Arial" w:hAnsi="Arial"/>
                <w:sz w:val="18"/>
                <w:szCs w:val="18"/>
                <w:b w:val="1"/>
                <w:bCs w:val="1"/>
                <w:color w:val="auto"/>
                <w:w w:val="93"/>
              </w:rPr>
              <w:t>August 31,</w:t>
            </w:r>
          </w:p>
        </w:tc>
        <w:tc>
          <w:tcPr>
            <w:tcW w:w="320" w:type="dxa"/>
            <w:vAlign w:val="bottom"/>
          </w:tcPr>
          <w:p>
            <w:pPr>
              <w:spacing w:after="0"/>
              <w:rPr>
                <w:sz w:val="18"/>
                <w:szCs w:val="18"/>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b w:val="1"/>
                <w:bCs w:val="1"/>
                <w:color w:val="auto"/>
                <w:w w:val="95"/>
              </w:rPr>
              <w:t>August 31,</w:t>
            </w:r>
          </w:p>
        </w:tc>
        <w:tc>
          <w:tcPr>
            <w:tcW w:w="400" w:type="dxa"/>
            <w:vAlign w:val="bottom"/>
          </w:tcPr>
          <w:p>
            <w:pPr>
              <w:spacing w:after="0"/>
              <w:rPr>
                <w:sz w:val="18"/>
                <w:szCs w:val="18"/>
                <w:color w:val="auto"/>
              </w:rPr>
            </w:pPr>
          </w:p>
        </w:tc>
        <w:tc>
          <w:tcPr>
            <w:tcW w:w="1480" w:type="dxa"/>
            <w:vAlign w:val="bottom"/>
          </w:tcPr>
          <w:p>
            <w:pPr>
              <w:jc w:val="right"/>
              <w:ind w:right="932"/>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712"/>
              <w:spacing w:after="0"/>
              <w:rPr>
                <w:sz w:val="20"/>
                <w:szCs w:val="20"/>
                <w:color w:val="auto"/>
              </w:rPr>
            </w:pPr>
            <w:r>
              <w:rPr>
                <w:rFonts w:ascii="Arial" w:cs="Arial" w:eastAsia="Arial" w:hAnsi="Arial"/>
                <w:sz w:val="18"/>
                <w:szCs w:val="18"/>
                <w:b w:val="1"/>
                <w:bCs w:val="1"/>
                <w:color w:val="auto"/>
              </w:rPr>
              <w:t>%</w:t>
            </w:r>
          </w:p>
        </w:tc>
      </w:tr>
      <w:tr>
        <w:trPr>
          <w:trHeight w:val="228"/>
        </w:trPr>
        <w:tc>
          <w:tcPr>
            <w:tcW w:w="2480" w:type="dxa"/>
            <w:vAlign w:val="bottom"/>
            <w:gridSpan w:val="2"/>
          </w:tcPr>
          <w:p>
            <w:pPr>
              <w:spacing w:after="0"/>
              <w:rPr>
                <w:sz w:val="20"/>
                <w:szCs w:val="20"/>
                <w:color w:val="auto"/>
              </w:rPr>
            </w:pPr>
            <w:r>
              <w:rPr>
                <w:rFonts w:ascii="Arial" w:cs="Arial" w:eastAsia="Arial" w:hAnsi="Arial"/>
                <w:sz w:val="18"/>
                <w:szCs w:val="18"/>
                <w:i w:val="1"/>
                <w:iCs w:val="1"/>
                <w:color w:val="auto"/>
              </w:rPr>
              <w:t>($ amounts in millions)</w:t>
            </w:r>
          </w:p>
        </w:tc>
        <w:tc>
          <w:tcPr>
            <w:tcW w:w="200" w:type="dxa"/>
            <w:vAlign w:val="bottom"/>
          </w:tcPr>
          <w:p>
            <w:pPr>
              <w:spacing w:after="0"/>
              <w:rPr>
                <w:sz w:val="19"/>
                <w:szCs w:val="19"/>
                <w:color w:val="auto"/>
              </w:rPr>
            </w:pPr>
          </w:p>
        </w:tc>
        <w:tc>
          <w:tcPr>
            <w:tcW w:w="1360" w:type="dxa"/>
            <w:vAlign w:val="bottom"/>
          </w:tcPr>
          <w:p>
            <w:pPr>
              <w:jc w:val="right"/>
              <w:ind w:right="612"/>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1380" w:type="dxa"/>
            <w:vAlign w:val="bottom"/>
          </w:tcPr>
          <w:p>
            <w:pPr>
              <w:jc w:val="right"/>
              <w:ind w:right="612"/>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9"/>
                <w:szCs w:val="19"/>
                <w:color w:val="auto"/>
              </w:rPr>
            </w:pPr>
          </w:p>
        </w:tc>
        <w:tc>
          <w:tcPr>
            <w:tcW w:w="1480" w:type="dxa"/>
            <w:vAlign w:val="bottom"/>
          </w:tcPr>
          <w:p>
            <w:pPr>
              <w:jc w:val="right"/>
              <w:ind w:right="712"/>
              <w:spacing w:after="0"/>
              <w:rPr>
                <w:sz w:val="20"/>
                <w:szCs w:val="20"/>
                <w:color w:val="auto"/>
              </w:rPr>
            </w:pPr>
            <w:r>
              <w:rPr>
                <w:rFonts w:ascii="Arial" w:cs="Arial" w:eastAsia="Arial" w:hAnsi="Arial"/>
                <w:sz w:val="18"/>
                <w:szCs w:val="18"/>
                <w:b w:val="1"/>
                <w:bCs w:val="1"/>
                <w:color w:val="auto"/>
              </w:rPr>
              <w:t>change</w:t>
            </w:r>
          </w:p>
        </w:tc>
        <w:tc>
          <w:tcPr>
            <w:tcW w:w="1540" w:type="dxa"/>
            <w:vAlign w:val="bottom"/>
          </w:tcPr>
          <w:p>
            <w:pPr>
              <w:jc w:val="right"/>
              <w:ind w:right="532"/>
              <w:spacing w:after="0"/>
              <w:rPr>
                <w:sz w:val="20"/>
                <w:szCs w:val="20"/>
                <w:color w:val="auto"/>
              </w:rPr>
            </w:pPr>
            <w:r>
              <w:rPr>
                <w:rFonts w:ascii="Arial" w:cs="Arial" w:eastAsia="Arial" w:hAnsi="Arial"/>
                <w:sz w:val="18"/>
                <w:szCs w:val="18"/>
                <w:b w:val="1"/>
                <w:bCs w:val="1"/>
                <w:color w:val="auto"/>
              </w:rPr>
              <w:t>change</w:t>
            </w:r>
          </w:p>
        </w:tc>
      </w:tr>
      <w:tr>
        <w:trPr>
          <w:trHeight w:val="110"/>
        </w:trPr>
        <w:tc>
          <w:tcPr>
            <w:tcW w:w="8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64"/>
        </w:trPr>
        <w:tc>
          <w:tcPr>
            <w:tcW w:w="800" w:type="dxa"/>
            <w:vAlign w:val="bottom"/>
          </w:tcPr>
          <w:p>
            <w:pPr>
              <w:spacing w:after="0"/>
              <w:rPr>
                <w:sz w:val="20"/>
                <w:szCs w:val="20"/>
                <w:color w:val="auto"/>
              </w:rPr>
            </w:pPr>
            <w:r>
              <w:rPr>
                <w:rFonts w:ascii="Arial" w:cs="Arial" w:eastAsia="Arial" w:hAnsi="Arial"/>
                <w:sz w:val="18"/>
                <w:szCs w:val="18"/>
                <w:color w:val="auto"/>
                <w:w w:val="96"/>
              </w:rPr>
              <w:t>Revenues</w:t>
            </w:r>
          </w:p>
        </w:tc>
        <w:tc>
          <w:tcPr>
            <w:tcW w:w="16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3.9</w:t>
            </w:r>
          </w:p>
        </w:tc>
        <w:tc>
          <w:tcPr>
            <w:tcW w:w="15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365"/>
        </w:trPr>
        <w:tc>
          <w:tcPr>
            <w:tcW w:w="24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110"/>
        </w:trPr>
        <w:tc>
          <w:tcPr>
            <w:tcW w:w="24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r>
      <w:tr>
        <w:trPr>
          <w:trHeight w:val="46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Operating margin</w:t>
            </w:r>
          </w:p>
        </w:tc>
        <w:tc>
          <w:tcPr>
            <w:tcW w:w="20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800" w:type="dxa"/>
            <w:vAlign w:val="bottom"/>
          </w:tcPr>
          <w:p>
            <w:pPr>
              <w:ind w:left="460"/>
              <w:spacing w:after="0"/>
              <w:rPr>
                <w:sz w:val="20"/>
                <w:szCs w:val="20"/>
                <w:color w:val="auto"/>
              </w:rPr>
            </w:pPr>
            <w:r>
              <w:rPr>
                <w:rFonts w:ascii="Arial" w:cs="Arial" w:eastAsia="Arial" w:hAnsi="Arial"/>
                <w:sz w:val="18"/>
                <w:szCs w:val="18"/>
                <w:color w:val="auto"/>
              </w:rPr>
              <w:t>*</w:t>
            </w:r>
          </w:p>
        </w:tc>
        <w:tc>
          <w:tcPr>
            <w:tcW w:w="1680" w:type="dxa"/>
            <w:vAlign w:val="bottom"/>
          </w:tcPr>
          <w:p>
            <w:pPr>
              <w:ind w:left="120"/>
              <w:spacing w:after="0"/>
              <w:rPr>
                <w:sz w:val="20"/>
                <w:szCs w:val="20"/>
                <w:color w:val="auto"/>
              </w:rPr>
            </w:pPr>
            <w:r>
              <w:rPr>
                <w:rFonts w:ascii="Arial" w:cs="Arial" w:eastAsia="Arial" w:hAnsi="Arial"/>
                <w:sz w:val="18"/>
                <w:szCs w:val="18"/>
                <w:color w:val="auto"/>
              </w:rPr>
              <w:t>Not meaningful</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10"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 xml:space="preserve">Revenues in the </w:t>
      </w:r>
      <w:r>
        <w:rPr>
          <w:rFonts w:ascii="Arial" w:cs="Arial" w:eastAsia="Arial" w:hAnsi="Arial"/>
          <w:sz w:val="15"/>
          <w:szCs w:val="15"/>
          <w:i w:val="1"/>
          <w:iCs w:val="1"/>
          <w:color w:val="auto"/>
        </w:rPr>
        <w:t>Media, Licensing and Advertising</w:t>
      </w:r>
      <w:r>
        <w:rPr>
          <w:rFonts w:ascii="Arial" w:cs="Arial" w:eastAsia="Arial" w:hAnsi="Arial"/>
          <w:sz w:val="15"/>
          <w:szCs w:val="15"/>
          <w:color w:val="auto"/>
        </w:rPr>
        <w:t xml:space="preserve"> segment for the quarter ended August 31, 2012 increased by $3.9 million, or 37.1%, to $14.4 million, compared to $10.5 million in the prior fiscal year quarter. The increase in revenues was primarily due to strong audio format sales of The Hunger Games.</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Segment operating loss for the quarter ended August 31, 2012 was less than $0.1 million, compared to a loss of $4.6 million in the prior fiscal year quarter, primarily related to the increased revenue referred to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Overhead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Corporate overhead for the quarter ended August 31, 2012 decreased by $1.9 million to $17.3 million, compared to $19.2 million in the prior fiscal year quarter, primarily related to the timing of spending on the Company’s digital initiatives.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760"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and services are highest in the first and fourth quarters. The Company generally experiences a loss from operations in the first and third quarters of each fiscal year. Trade sales can vary through the year due to varying release dates of published titles.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cash and cash equivalents totaled $193.1 million at August 31, 2012, compared to $194.9 million at May 31, 2012 and $33.7 million at August 31, 2011.</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Cash provided by operating activities was $34.2 million for the quarter ended August 31, 2012, compared to cash used in operating activities of $49.3 million in the prior fiscal year period, representing an increase in cash provided by operating activities of $83.5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drivers of the improvement include:</w:t>
      </w:r>
    </w:p>
    <w:p>
      <w:pPr>
        <w:spacing w:after="0" w:line="239" w:lineRule="exact"/>
        <w:rPr>
          <w:sz w:val="20"/>
          <w:szCs w:val="20"/>
          <w:color w:val="auto"/>
        </w:rPr>
      </w:pPr>
    </w:p>
    <w:p>
      <w:pPr>
        <w:ind w:left="920" w:right="680" w:hanging="453"/>
        <w:spacing w:after="0" w:line="332"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$104.3 million increase in net collections primarily attributable to fourth quarter 2012 sales performance in the Company’s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Publishing and Distribution (</w:t>
      </w:r>
      <w:r>
        <w:rPr>
          <w:rFonts w:ascii="Arial" w:cs="Arial" w:eastAsia="Arial" w:hAnsi="Arial"/>
          <w:sz w:val="16"/>
          <w:szCs w:val="16"/>
          <w:color w:val="auto"/>
        </w:rPr>
        <w:t>primarily The Hunger Games) and</w:t>
      </w:r>
      <w:r>
        <w:rPr>
          <w:rFonts w:ascii="Arial" w:cs="Arial" w:eastAsia="Arial" w:hAnsi="Arial"/>
          <w:sz w:val="16"/>
          <w:szCs w:val="16"/>
          <w:i w:val="1"/>
          <w:iCs w:val="1"/>
          <w:color w:val="auto"/>
        </w:rPr>
        <w:t xml:space="preserve"> Educational Technology and Services </w:t>
      </w:r>
      <w:r>
        <w:rPr>
          <w:rFonts w:ascii="Arial" w:cs="Arial" w:eastAsia="Arial" w:hAnsi="Arial"/>
          <w:sz w:val="16"/>
          <w:szCs w:val="16"/>
          <w:color w:val="auto"/>
        </w:rPr>
        <w:t>segments.</w:t>
      </w:r>
    </w:p>
    <w:p>
      <w:pPr>
        <w:spacing w:after="0" w:line="71" w:lineRule="exact"/>
        <w:rPr>
          <w:rFonts w:ascii="Arial" w:cs="Arial" w:eastAsia="Arial" w:hAnsi="Arial"/>
          <w:sz w:val="16"/>
          <w:szCs w:val="16"/>
          <w:color w:val="auto"/>
        </w:rPr>
      </w:pPr>
    </w:p>
    <w:p>
      <w:pPr>
        <w:ind w:left="920" w:hanging="453"/>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$47.8 million cash improvement related to favorable accounts payable management, lower inventory purchases and timing of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Partially offset by:</w:t>
      </w:r>
    </w:p>
    <w:p>
      <w:pPr>
        <w:spacing w:after="0" w:line="239"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earnings for the quarter, as well as higher employee-incentive payouts.</w:t>
      </w:r>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Cash used in investing activities was $30.3 million for the three months ended August 31, 2012, compared to $18.7 million in the prior year fiscal quarter, representing an increase of $11.6 million. This increase is related primarily to higher spending on property, plant and equipment. The Company continues to invest in its ongoing digital initiatives.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$6.7 million for the three months ended August 31, 2012, compared to $4.0 million for the prior fiscal year period, primarily reflecting lower borrowings under lines of credit, as well as increased dividends, offset partially by an increase in proceeds pursuant to stock based compensation plans.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w:t>
      </w:r>
    </w:p>
    <w:p>
      <w:pPr>
        <w:spacing w:after="0" w:line="1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after the anticipated use of the credit facility to satisfy its repayment obligations in respect of the 5% Notes due in fiscal 2013, will be sufficient to finance its short-and long-term capital requirements.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August 31, 2012, the Company’s primary sources of liquidity consisted of cash and cash equivalents of $193.1 million, cash from operations and borrowings available under the Revolving Loan (as described under “Financing” below) totaling $325.0 million, less the amount anticipated to be utilized to satisfy the outstanding 5% Notes.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credit rating from Standard &amp; Poor’s Rating Services is “BB-” and its credit rating from Moody’s Investors Service is “Ba1.” Both Moody’s Investors Service and Standard and Poor’s Rating Services have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pacing w:after="0" w:line="16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Company amended its existing revolving credit facility, which was scheduled to mature on June 1, 2012, to extend the maturity date to June 1, 2014. The Company intends to draw on this credit facility to satisfy its repayment obligations in respect of the 5% Notes due April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1, 2007, Scholastic Corporation and Scholastic Inc. (each, a “Borrower” and together, the “Borrowers”) entered into a $525.0 million credit facility with certain banks (the “Loan Agreement”), consisting of a $325.0 million revolving credit component (the “Revolving Loan”) and a $200.0 million amortizing term loan component (the “Term Loan”). The Loan Agreement was amended on August 16, 2010, and again on October 25, 2011. The October 25, 2011 amendment extended the maturity of the Revolving Loan facility to June 1, 2014 from June 1, 2012 and provided for the repayment of the outstanding balance of the Term Loan on October 25, 2011.</w:t>
      </w:r>
    </w:p>
    <w:p>
      <w:pPr>
        <w:spacing w:after="0" w:line="1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$325.0 million Revolving Loan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w:t>
      </w:r>
    </w:p>
    <w:p>
      <w:pPr>
        <w:spacing w:after="0" w:line="19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Interest on the Revolving Loan is due and payable in arrears on the last day of the interest period (defined as the period commencing on the date of the advance and ending on the last day of the period selected by the Borrower at the time each advance is made). The interest pricing under the Revolving Loan is dependent upon the Borrower’s election of a rate that is either:</w:t>
      </w:r>
    </w:p>
    <w:p>
      <w:pPr>
        <w:spacing w:after="0" w:line="208" w:lineRule="exact"/>
        <w:rPr>
          <w:sz w:val="20"/>
          <w:szCs w:val="20"/>
          <w:color w:val="auto"/>
        </w:rPr>
      </w:pPr>
    </w:p>
    <w:p>
      <w:pPr>
        <w:ind w:left="920" w:right="180" w:hanging="453"/>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Base Rate equal to the higher of (i) the prime rate, (ii) the prevailing Federal Funds rate plus 0.500% or (iii) the Eurodollar Rate for a one month interest period plus 1% plus an applicable spread ranging from 0.18% to 0.60%, as determined by the Company’s prevailing consolidated debt to total capital ratio.</w:t>
      </w:r>
    </w:p>
    <w:p>
      <w:pPr>
        <w:spacing w:after="0" w:line="126" w:lineRule="exact"/>
        <w:rPr>
          <w:rFonts w:ascii="Arial" w:cs="Arial" w:eastAsia="Arial" w:hAnsi="Arial"/>
          <w:sz w:val="18"/>
          <w:szCs w:val="18"/>
          <w:color w:val="auto"/>
        </w:rPr>
      </w:pPr>
    </w:p>
    <w:p>
      <w:pPr>
        <w:ind w:left="1900" w:hanging="96"/>
        <w:spacing w:after="0"/>
        <w:tabs>
          <w:tab w:leader="none" w:pos="1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or -</w:t>
      </w:r>
    </w:p>
    <w:p>
      <w:pPr>
        <w:spacing w:after="0" w:line="225" w:lineRule="exact"/>
        <w:rPr>
          <w:rFonts w:ascii="Arial" w:cs="Arial" w:eastAsia="Arial" w:hAnsi="Arial"/>
          <w:sz w:val="18"/>
          <w:szCs w:val="18"/>
          <w:color w:val="auto"/>
        </w:rPr>
      </w:pPr>
    </w:p>
    <w:p>
      <w:pPr>
        <w:ind w:left="920" w:hanging="453"/>
        <w:spacing w:after="0" w:line="268"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Eurodollar Rate equal to the London interbank offered rate (LIBOR) plus an applicable spread ranging from 1.18% to 1.60%, as determined by the Company’s prevailing consolidated debt to total capital ratio.</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August 31, 2012, the indicated spread on Base Rate Advances was 0.18% and the indicated spread on Eurodollar Rate Advances was 1.18%, both based on the Company’s prevailing consolidated debt to total capital ratio.</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Loan Agreement also provides for the payment of a facility fee ranging from 0.20% to 0.40% per annum based upon the Company’s prevailing consolidated debt to total capital ratio. At August 31, 2012, the facility fee rate was 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borrowings under the Revolving Loan as of August 31,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August 31, 2012, standby letters of credit outstanding under the Loan Agreement totaled $1.4 million. The Loan Agreement contains certain covenants, including interest coverage and leverage ratio tests and certain limitations on the amount of dividends and other distributions, and at August 31, 2012, the Company was in compliance with these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has unsecured money market bid rate credit lines totaling $20.0 million. There were no outstanding borrowings under these credit lines at August 31, 2012, May 31, 2012 and August 31, 2011.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4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As of August 31, 2012, the Company also had various local currency credit lines, with maximum available borrowings in amounts equivalent to $33.8 million, underwritten by banks primarily in the United States, Canada, Australia and the United Kingdom. These credit lines are typically available for overdraft borrowings or loans up to 364 days and may be renewed, if requested by the Company, at the sole option of the lender. There were borrowings outstanding under these international facilities equivalent to $0.6 million at August 31, 2012 at a weighted average interest rate of 4.9%; $6.5 million at May 31, 2012 at a weighted average interest rate of 5.3%; and $7.9 million at August 31, 2011 at a weighted average interest rate of 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In April 2003, Scholastic Corporation issued $175.0 million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w:t>
      </w:r>
    </w:p>
    <w:p>
      <w:pPr>
        <w:spacing w:after="0" w:line="1" w:lineRule="exact"/>
        <w:rPr>
          <w:sz w:val="20"/>
          <w:szCs w:val="20"/>
          <w:color w:val="auto"/>
        </w:rPr>
      </w:pPr>
    </w:p>
    <w:p>
      <w:pPr>
        <w:ind w:right="60" w:firstLine="8"/>
        <w:spacing w:after="0" w:line="261" w:lineRule="auto"/>
        <w:tabs>
          <w:tab w:leader="none" w:pos="25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discounted to the date of redemption. The Company did not make any additional repurchases of the 5% Notes during the three-month period ended August 31, 2012.</w:t>
      </w:r>
    </w:p>
    <w:p>
      <w:pPr>
        <w:spacing w:after="0" w:line="19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amended its existing revolving credit facility, which was scheduled to mature on June 1, 2012, to extend the maturity date to June 1, 2014. The Company has the ability to use a portion of this credit facility to fully redeem the 5% Notes due April 2013 and intends to draw on this credit facility for this purpose. Accordingly, the balance of the Notes is excluded from current liabilities and classified as Long-term debt on the Company’s condensed consolidated balance sheet at August 31, 2012 and May 31, 2012.</w:t>
      </w:r>
    </w:p>
    <w:p>
      <w:pPr>
        <w:spacing w:after="0" w:line="19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August 31, 2012, the Company had open standby letters of credit totaling $6.6 million issued under certain credit lines, including the $1.4 million under the Loan Agreement discussed above.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total debt obligations were $153.4 million at August 31, 2012, $159.3 million at May 31, 2012 and $200.0 million at August 31, 2011. The lower level of debt at August 31, 2012 and May 31, 2012 was primarily due to the payment of the Term Loan.</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Reference is made to Note 1 of Notes to condensed consolidated financial statements in Item 1, “Financial Statements,” for information concerning recent accounting pronouncements since the filing of the Company’s Annual Report.</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840"/>
          </w:cols>
          <w:pgMar w:left="240" w:top="760" w:right="8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Quarterly Report on Form 10-Q contains forward-looking statements. Additional written and oral forward-looking statements may be made by the Company from time to time in Securities and Exchange Commission (“SEC”) filings and otherwise. The Company cautions readers that results or expectations expressed by forward-looking statements, including, without limitation, those relating to the Company’s future business prospects, plans, ecommerce and digital initiatives, new product introductions, strategies, goals, revenues, improved efficiencies, general costs, manufacturing costs, medical costs, pension estimates, merit pay, operating margins, working capital, liquidity, capital needs, financing intentions, interest costs, cash flows and income, are subject to risks and uncertainties that could cause actual results to differ materially from those indicated in the forward-looking statements, due to factors including those noted in the Annual Report and other risks and factors identified from time to time in the Company’s filings with the SEC.</w:t>
      </w:r>
    </w:p>
    <w:p>
      <w:pPr>
        <w:spacing w:after="0" w:line="1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Additionally,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As of August 31, 2012, the use of short-term forward exchange contracts was not significant. The Company does not enter into derivative transactions or use other financial instruments for trading or speculative purposes.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Less than 1% of the Company’s debt at August 31, 2012 bore interest at a variable rate and was sensitive to changes in interest rates, compared to approximately 4% at May 31, 2012 and approximately 25% at August 31, 2011. The decrease in variable-rate debt as of August 31, 2012 and May 31, 2012 compared to August 31, 2011 was primarily due to repayments made on the Term Loan.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August 31, 2012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8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amounts in millions</w:t>
            </w:r>
            <w:r>
              <w:rPr>
                <w:rFonts w:ascii="Arial" w:cs="Arial" w:eastAsia="Arial" w:hAnsi="Arial"/>
                <w:sz w:val="18"/>
                <w:szCs w:val="18"/>
                <w:b w:val="1"/>
                <w:bCs w:val="1"/>
                <w:color w:val="auto"/>
              </w:rPr>
              <w:t xml:space="preserve"> )</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Arial" w:cs="Arial" w:eastAsia="Arial" w:hAnsi="Arial"/>
                <w:sz w:val="18"/>
                <w:szCs w:val="18"/>
                <w:b w:val="1"/>
                <w:bCs w:val="1"/>
                <w:color w:val="auto"/>
                <w:w w:val="94"/>
              </w:rPr>
              <w:t>Fiscal Year Maturity</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22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29"/>
                <w:szCs w:val="29"/>
                <w:b w:val="1"/>
                <w:bCs w:val="1"/>
                <w:color w:val="auto"/>
                <w:vertAlign w:val="superscript"/>
              </w:rPr>
              <w:t>(1)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52"/>
              <w:spacing w:after="0"/>
              <w:rPr>
                <w:sz w:val="20"/>
                <w:szCs w:val="20"/>
                <w:color w:val="auto"/>
              </w:rPr>
            </w:pPr>
            <w:r>
              <w:rPr>
                <w:rFonts w:ascii="Arial" w:cs="Arial" w:eastAsia="Arial" w:hAnsi="Arial"/>
                <w:sz w:val="18"/>
                <w:szCs w:val="18"/>
                <w:b w:val="1"/>
                <w:bCs w:val="1"/>
                <w:color w:val="auto"/>
                <w:w w:val="90"/>
              </w:rPr>
              <w:t>Value @</w:t>
            </w:r>
          </w:p>
        </w:tc>
        <w:tc>
          <w:tcPr>
            <w:tcW w:w="0" w:type="dxa"/>
            <w:vAlign w:val="bottom"/>
          </w:tcPr>
          <w:p>
            <w:pPr>
              <w:spacing w:after="0"/>
              <w:rPr>
                <w:sz w:val="1"/>
                <w:szCs w:val="1"/>
                <w:color w:val="auto"/>
              </w:rPr>
            </w:pPr>
          </w:p>
        </w:tc>
      </w:tr>
      <w:tr>
        <w:trPr>
          <w:trHeight w:val="338"/>
        </w:trPr>
        <w:tc>
          <w:tcPr>
            <w:tcW w:w="27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gridSpan w:val="2"/>
            <w:vMerge w:val="continue"/>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ind w:left="6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352"/>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ind w:left="8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ind w:left="8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Thereafter</w:t>
            </w: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center"/>
              <w:ind w:right="152"/>
              <w:spacing w:after="0"/>
              <w:rPr>
                <w:sz w:val="20"/>
                <w:szCs w:val="20"/>
                <w:color w:val="auto"/>
              </w:rPr>
            </w:pPr>
            <w:r>
              <w:rPr>
                <w:rFonts w:ascii="Arial" w:cs="Arial" w:eastAsia="Arial" w:hAnsi="Arial"/>
                <w:sz w:val="18"/>
                <w:szCs w:val="18"/>
                <w:b w:val="1"/>
                <w:bCs w:val="1"/>
                <w:color w:val="auto"/>
                <w:w w:val="86"/>
              </w:rPr>
              <w:t>8/31/12</w:t>
            </w:r>
          </w:p>
        </w:tc>
        <w:tc>
          <w:tcPr>
            <w:tcW w:w="0" w:type="dxa"/>
            <w:vAlign w:val="bottom"/>
          </w:tcPr>
          <w:p>
            <w:pPr>
              <w:spacing w:after="0"/>
              <w:rPr>
                <w:sz w:val="1"/>
                <w:szCs w:val="1"/>
                <w:color w:val="auto"/>
              </w:rPr>
            </w:pPr>
          </w:p>
        </w:tc>
      </w:tr>
      <w:tr>
        <w:trPr>
          <w:trHeight w:val="458"/>
        </w:trPr>
        <w:tc>
          <w:tcPr>
            <w:tcW w:w="278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Lines of Credit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780" w:type="dxa"/>
            <w:vAlign w:val="bottom"/>
          </w:tcPr>
          <w:p>
            <w:pPr>
              <w:spacing w:after="0"/>
              <w:rPr>
                <w:sz w:val="20"/>
                <w:szCs w:val="20"/>
                <w:color w:val="auto"/>
              </w:rPr>
            </w:pPr>
            <w:r>
              <w:rPr>
                <w:rFonts w:ascii="Arial" w:cs="Arial" w:eastAsia="Arial" w:hAnsi="Arial"/>
                <w:sz w:val="18"/>
                <w:szCs w:val="18"/>
                <w:color w:val="auto"/>
              </w:rPr>
              <w:t>Long-term debt including current</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60"/>
              <w:spacing w:after="0"/>
              <w:rPr>
                <w:sz w:val="20"/>
                <w:szCs w:val="20"/>
                <w:color w:val="auto"/>
              </w:rPr>
            </w:pPr>
            <w:r>
              <w:rPr>
                <w:rFonts w:ascii="Arial" w:cs="Arial" w:eastAsia="Arial" w:hAnsi="Arial"/>
                <w:sz w:val="18"/>
                <w:szCs w:val="18"/>
                <w:color w:val="auto"/>
              </w:rPr>
              <w:t>Fixed-rate debt</w:t>
            </w: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153.0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680" w:type="dxa"/>
            <w:vAlign w:val="bottom"/>
          </w:tcPr>
          <w:p>
            <w:pPr>
              <w:spacing w:after="0"/>
              <w:rPr>
                <w:sz w:val="19"/>
                <w:szCs w:val="19"/>
                <w:color w:val="auto"/>
              </w:rPr>
            </w:pP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5620" w:right="4220" w:hanging="5612"/>
        <w:spacing w:after="0" w:line="519" w:lineRule="auto"/>
        <w:tabs>
          <w:tab w:leader="none" w:pos="4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Fiscal 2013 includes the remaining nine months of the current fiscal year, ending May 31, 2013.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60"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August 31, 2012,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August 31, 2012 that has materially affected, or is reasonably likely to materially affect, the Corporation’s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Exhibits:</w:t>
            </w:r>
          </w:p>
        </w:tc>
        <w:tc>
          <w:tcPr>
            <w:tcW w:w="9780" w:type="dxa"/>
            <w:vAlign w:val="bottom"/>
          </w:tcPr>
          <w:p>
            <w:pPr>
              <w:spacing w:after="0"/>
              <w:rPr>
                <w:sz w:val="19"/>
                <w:szCs w:val="19"/>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60"/>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6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1152"/>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40"/>
              <w:spacing w:after="0"/>
              <w:rPr>
                <w:sz w:val="20"/>
                <w:szCs w:val="20"/>
                <w:color w:val="auto"/>
              </w:rPr>
            </w:pPr>
            <w:r>
              <w:rPr>
                <w:rFonts w:ascii="Arial" w:cs="Arial" w:eastAsia="Arial" w:hAnsi="Arial"/>
                <w:sz w:val="18"/>
                <w:szCs w:val="18"/>
                <w:color w:val="auto"/>
                <w:w w:val="96"/>
              </w:rPr>
              <w:t>XBRL Taxonomy Extension Schema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40"/>
              <w:spacing w:after="0"/>
              <w:rPr>
                <w:sz w:val="20"/>
                <w:szCs w:val="20"/>
                <w:color w:val="auto"/>
              </w:rPr>
            </w:pPr>
            <w:r>
              <w:rPr>
                <w:rFonts w:ascii="Arial" w:cs="Arial" w:eastAsia="Arial" w:hAnsi="Arial"/>
                <w:sz w:val="18"/>
                <w:szCs w:val="18"/>
                <w:color w:val="auto"/>
                <w:w w:val="91"/>
              </w:rPr>
              <w:t>XBRL Taxonomy Extension Calculation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40"/>
              <w:spacing w:after="0"/>
              <w:rPr>
                <w:sz w:val="20"/>
                <w:szCs w:val="20"/>
                <w:color w:val="auto"/>
              </w:rPr>
            </w:pPr>
            <w:r>
              <w:rPr>
                <w:rFonts w:ascii="Arial" w:cs="Arial" w:eastAsia="Arial" w:hAnsi="Arial"/>
                <w:sz w:val="18"/>
                <w:szCs w:val="18"/>
                <w:color w:val="auto"/>
                <w:w w:val="92"/>
              </w:rPr>
              <w:t>XBRL Taxonomy Extension Definitions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40"/>
              <w:spacing w:after="0"/>
              <w:rPr>
                <w:sz w:val="20"/>
                <w:szCs w:val="20"/>
                <w:color w:val="auto"/>
              </w:rPr>
            </w:pPr>
            <w:r>
              <w:rPr>
                <w:rFonts w:ascii="Arial" w:cs="Arial" w:eastAsia="Arial" w:hAnsi="Arial"/>
                <w:sz w:val="18"/>
                <w:szCs w:val="18"/>
                <w:color w:val="auto"/>
              </w:rPr>
              <w:t>XBRL Taxonomy Extension Labels Document</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40"/>
              <w:spacing w:after="0"/>
              <w:rPr>
                <w:sz w:val="20"/>
                <w:szCs w:val="20"/>
                <w:color w:val="auto"/>
              </w:rPr>
            </w:pPr>
            <w:r>
              <w:rPr>
                <w:rFonts w:ascii="Arial" w:cs="Arial" w:eastAsia="Arial" w:hAnsi="Arial"/>
                <w:sz w:val="18"/>
                <w:szCs w:val="18"/>
                <w:color w:val="auto"/>
                <w:w w:val="88"/>
              </w:rPr>
              <w:t>XBRL Taxonomy Extension Presentation Document</w:t>
            </w:r>
          </w:p>
        </w:tc>
      </w:tr>
    </w:tbl>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760" w:right="6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September 28,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Officer</w:t>
      </w:r>
    </w:p>
    <w:p>
      <w:pPr>
        <w:spacing w:after="0" w:line="151"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September 28,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33445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1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760" w:right="6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AUGUST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00" w:type="dxa"/>
            <w:vAlign w:val="bottom"/>
          </w:tcPr>
          <w:p>
            <w:pPr>
              <w:spacing w:after="0"/>
              <w:rPr>
                <w:sz w:val="20"/>
                <w:szCs w:val="20"/>
                <w:color w:val="auto"/>
              </w:rPr>
            </w:pPr>
            <w:r>
              <w:rPr>
                <w:rFonts w:ascii="Arial" w:cs="Arial" w:eastAsia="Arial" w:hAnsi="Arial"/>
                <w:sz w:val="18"/>
                <w:szCs w:val="18"/>
                <w:b w:val="1"/>
                <w:bCs w:val="1"/>
                <w:color w:val="auto"/>
                <w:w w:val="96"/>
              </w:rPr>
              <w:t>Exhibit Number</w:t>
            </w:r>
          </w:p>
        </w:tc>
        <w:tc>
          <w:tcPr>
            <w:tcW w:w="9980" w:type="dxa"/>
            <w:vAlign w:val="bottom"/>
            <w:gridSpan w:val="3"/>
          </w:tcPr>
          <w:p>
            <w:pPr>
              <w:ind w:left="420"/>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7580" w:type="dxa"/>
            <w:vAlign w:val="bottom"/>
          </w:tcPr>
          <w:p>
            <w:pPr>
              <w:spacing w:after="0"/>
              <w:rPr>
                <w:sz w:val="9"/>
                <w:szCs w:val="9"/>
                <w:color w:val="auto"/>
              </w:rPr>
            </w:pPr>
          </w:p>
        </w:tc>
      </w:tr>
      <w:tr>
        <w:trPr>
          <w:trHeight w:val="464"/>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r>
        <w:trPr>
          <w:trHeight w:val="358"/>
        </w:trPr>
        <w:tc>
          <w:tcPr>
            <w:tcW w:w="1300" w:type="dxa"/>
            <w:vAlign w:val="bottom"/>
          </w:tcPr>
          <w:p>
            <w:pPr>
              <w:spacing w:after="0"/>
              <w:rPr>
                <w:sz w:val="20"/>
                <w:szCs w:val="20"/>
                <w:color w:val="auto"/>
              </w:rPr>
            </w:pPr>
            <w:r>
              <w:rPr>
                <w:rFonts w:ascii="Arial" w:cs="Arial" w:eastAsia="Arial" w:hAnsi="Arial"/>
                <w:sz w:val="18"/>
                <w:szCs w:val="18"/>
                <w:color w:val="auto"/>
              </w:rPr>
              <w:t>32</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 906 of</w:t>
            </w:r>
          </w:p>
        </w:tc>
      </w:tr>
      <w:tr>
        <w:trPr>
          <w:trHeight w:val="222"/>
        </w:trPr>
        <w:tc>
          <w:tcPr>
            <w:tcW w:w="130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the Sarbanes-Oxley Act of 2002.</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Instance Document *</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 *</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Document *</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Definitions Document *</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13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firstLine="8"/>
        <w:spacing w:after="0" w:line="268" w:lineRule="auto"/>
        <w:tabs>
          <w:tab w:leader="none" w:pos="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280" w:hanging="453"/>
        <w:spacing w:after="0" w:line="259"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2012</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14662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jc w:val="both"/>
        <w:ind w:left="920" w:right="280" w:hanging="453"/>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20" w:right="240" w:hanging="453"/>
        <w:spacing w:after="0" w:line="332"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20" w:right="320" w:hanging="453"/>
        <w:spacing w:after="0" w:line="259"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380" w:right="80" w:hanging="454"/>
        <w:spacing w:after="0" w:line="259"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380" w:right="380" w:hanging="454"/>
        <w:spacing w:after="0" w:line="259"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380" w:right="540" w:hanging="454"/>
        <w:spacing w:after="0" w:line="370" w:lineRule="auto"/>
        <w:tabs>
          <w:tab w:leader="none" w:pos="13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380" w:right="60" w:hanging="454"/>
        <w:spacing w:after="0" w:line="259"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20" w:right="180" w:hanging="453"/>
        <w:spacing w:after="0" w:line="332" w:lineRule="auto"/>
        <w:tabs>
          <w:tab w:leader="none" w:pos="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380" w:right="780" w:hanging="454"/>
        <w:spacing w:after="0" w:line="332" w:lineRule="auto"/>
        <w:tabs>
          <w:tab w:leader="none" w:pos="1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380" w:right="480" w:hanging="454"/>
        <w:spacing w:after="0" w:line="268" w:lineRule="auto"/>
        <w:tabs>
          <w:tab w:leader="none" w:pos="1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2012</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173990</wp:posOffset>
            </wp:positionV>
            <wp:extent cx="1826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August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920" w:right="200" w:hanging="453"/>
        <w:spacing w:after="0" w:line="268"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August 31, 2012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Date: September 28, 2012</w:t>
            </w:r>
          </w:p>
        </w:tc>
        <w:tc>
          <w:tcPr>
            <w:tcW w:w="2880" w:type="dxa"/>
            <w:vAlign w:val="bottom"/>
          </w:tcPr>
          <w:p>
            <w:pPr>
              <w:spacing w:after="0"/>
              <w:rPr>
                <w:sz w:val="20"/>
                <w:szCs w:val="20"/>
                <w:color w:val="auto"/>
              </w:rPr>
            </w:pPr>
            <w:r>
              <w:rPr>
                <w:rFonts w:ascii="Arial" w:cs="Arial" w:eastAsia="Arial" w:hAnsi="Arial"/>
                <w:sz w:val="18"/>
                <w:szCs w:val="18"/>
                <w:color w:val="auto"/>
              </w:rPr>
              <w:t>/s/Richard Robinson</w:t>
            </w:r>
          </w:p>
        </w:tc>
      </w:tr>
      <w:tr>
        <w:trPr>
          <w:trHeight w:val="259"/>
        </w:trPr>
        <w:tc>
          <w:tcPr>
            <w:tcW w:w="5720" w:type="dxa"/>
            <w:vAlign w:val="bottom"/>
          </w:tcPr>
          <w:p>
            <w:pPr>
              <w:spacing w:after="0"/>
              <w:rPr>
                <w:sz w:val="22"/>
                <w:szCs w:val="22"/>
                <w:color w:val="auto"/>
              </w:rPr>
            </w:pPr>
          </w:p>
        </w:tc>
        <w:tc>
          <w:tcPr>
            <w:tcW w:w="2880" w:type="dxa"/>
            <w:vAlign w:val="bottom"/>
            <w:tcBorders>
              <w:bottom w:val="single" w:sz="8" w:color="808080"/>
            </w:tcBorders>
          </w:tcPr>
          <w:p>
            <w:pPr>
              <w:spacing w:after="0"/>
              <w:rPr>
                <w:sz w:val="22"/>
                <w:szCs w:val="22"/>
                <w:color w:val="auto"/>
              </w:rPr>
            </w:pPr>
          </w:p>
        </w:tc>
      </w:tr>
      <w:tr>
        <w:trPr>
          <w:trHeight w:val="309"/>
        </w:trPr>
        <w:tc>
          <w:tcPr>
            <w:tcW w:w="572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5720" w:type="dxa"/>
            <w:vAlign w:val="bottom"/>
          </w:tcPr>
          <w:p>
            <w:pPr>
              <w:spacing w:after="0"/>
              <w:rPr>
                <w:sz w:val="20"/>
                <w:szCs w:val="20"/>
                <w:color w:val="auto"/>
              </w:rPr>
            </w:pPr>
            <w:r>
              <w:rPr>
                <w:rFonts w:ascii="Arial" w:cs="Arial" w:eastAsia="Arial" w:hAnsi="Arial"/>
                <w:sz w:val="18"/>
                <w:szCs w:val="18"/>
                <w:color w:val="auto"/>
              </w:rPr>
              <w:t>Date: September 28, 2012</w:t>
            </w:r>
          </w:p>
        </w:tc>
        <w:tc>
          <w:tcPr>
            <w:tcW w:w="2880" w:type="dxa"/>
            <w:vAlign w:val="bottom"/>
          </w:tcPr>
          <w:p>
            <w:pPr>
              <w:spacing w:after="0"/>
              <w:rPr>
                <w:sz w:val="20"/>
                <w:szCs w:val="20"/>
                <w:color w:val="auto"/>
              </w:rPr>
            </w:pPr>
            <w:r>
              <w:rPr>
                <w:rFonts w:ascii="Arial" w:cs="Arial" w:eastAsia="Arial" w:hAnsi="Arial"/>
                <w:sz w:val="18"/>
                <w:szCs w:val="18"/>
                <w:color w:val="auto"/>
              </w:rPr>
              <w:t>/s/Maureen O’Connell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164465</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7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lvl w:ilvl="1">
      <w:lvlJc w:val="left"/>
      <w:lvlText w:val="o"/>
      <w:numFmt w:val="bullet"/>
      <w:start w:val="1"/>
    </w:lvl>
  </w:abstractNum>
  <w:abstractNum w:abstractNumId="8">
    <w:nsid w:val="41A7C4C9"/>
    <w:multiLevelType w:val="hybridMultilevel"/>
    <w:lvl w:ilvl="0">
      <w:lvlJc w:val="left"/>
      <w:lvlText w:val="%1."/>
      <w:numFmt w:val="decimal"/>
      <w:start w:val="13"/>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lvl w:ilvl="1">
      <w:lvlJc w:val="left"/>
      <w:lvlText w:val="-"/>
      <w:numFmt w:val="bullet"/>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2019-12-09T09:41:52Z</dcterms:created>
  <dcterms:modified xsi:type="dcterms:W3CDTF">2019-12-09T09:41:52Z</dcterms:modified>
</cp:coreProperties>
</file>